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8576" w14:textId="30AC3B3A" w:rsidR="00AD5FC5" w:rsidRPr="00430168" w:rsidRDefault="00DA13BA" w:rsidP="006D5483">
      <w:pPr>
        <w:pStyle w:val="EndNoteBibliography"/>
        <w:adjustRightInd w:val="0"/>
        <w:spacing w:afterLines="50" w:after="156" w:line="360" w:lineRule="auto"/>
        <w:jc w:val="both"/>
        <w:rPr>
          <w:color w:val="000000" w:themeColor="text1"/>
          <w:szCs w:val="20"/>
          <w:lang w:eastAsia="zh-CN"/>
        </w:rPr>
      </w:pPr>
      <w:r w:rsidRPr="00430168">
        <w:rPr>
          <w:b/>
          <w:bCs/>
          <w:color w:val="000000" w:themeColor="text1"/>
          <w:szCs w:val="20"/>
          <w:lang w:eastAsia="zh-CN"/>
        </w:rPr>
        <w:t xml:space="preserve">Supplementary Table 1. </w:t>
      </w:r>
      <w:r w:rsidR="00E57267" w:rsidRPr="00430168">
        <w:rPr>
          <w:color w:val="000000" w:themeColor="text1"/>
          <w:szCs w:val="20"/>
          <w:lang w:eastAsia="zh-CN"/>
        </w:rPr>
        <w:t>Recovery rates overall and by individual domains</w:t>
      </w:r>
      <w:r w:rsidR="00E57267" w:rsidRPr="00430168">
        <w:rPr>
          <w:b/>
          <w:bCs/>
          <w:color w:val="000000" w:themeColor="text1"/>
          <w:szCs w:val="20"/>
          <w:lang w:eastAsia="zh-CN"/>
        </w:rPr>
        <w:t xml:space="preserve"> </w:t>
      </w:r>
      <w:r w:rsidRPr="00430168">
        <w:rPr>
          <w:color w:val="000000" w:themeColor="text1"/>
          <w:szCs w:val="20"/>
          <w:lang w:eastAsia="zh-CN"/>
        </w:rPr>
        <w:t>for elderly patients</w:t>
      </w:r>
      <w:r w:rsidR="004A404D" w:rsidRPr="00430168">
        <w:rPr>
          <w:color w:val="000000" w:themeColor="text1"/>
          <w:szCs w:val="20"/>
          <w:lang w:eastAsia="zh-CN"/>
        </w:rPr>
        <w:t xml:space="preserve"> </w:t>
      </w:r>
      <w:r w:rsidRPr="00430168">
        <w:rPr>
          <w:color w:val="000000" w:themeColor="text1"/>
          <w:szCs w:val="20"/>
          <w:lang w:eastAsia="zh-CN"/>
        </w:rPr>
        <w:t>undergoing colonoscopy.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2127"/>
        <w:gridCol w:w="1984"/>
        <w:gridCol w:w="851"/>
      </w:tblGrid>
      <w:tr w:rsidR="00182EDF" w:rsidRPr="00430168" w14:paraId="2193E7CA" w14:textId="77777777" w:rsidTr="00673268">
        <w:trPr>
          <w:trHeight w:val="397"/>
        </w:trPr>
        <w:tc>
          <w:tcPr>
            <w:tcW w:w="2127" w:type="dxa"/>
            <w:vMerge w:val="restart"/>
            <w:noWrap/>
            <w:vAlign w:val="center"/>
            <w:hideMark/>
          </w:tcPr>
          <w:p w14:paraId="0D3F14AA" w14:textId="71A7264A" w:rsidR="00182EDF" w:rsidRPr="00430168" w:rsidRDefault="00182EDF" w:rsidP="00FB450E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C1C912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Remimazolam</w:t>
            </w:r>
          </w:p>
          <w:p w14:paraId="48087953" w14:textId="07522A4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(</w:t>
            </w:r>
            <w:r w:rsidRPr="0043016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430168">
              <w:rPr>
                <w:rFonts w:ascii="Arial" w:hAnsi="Arial" w:cs="Arial"/>
                <w:sz w:val="20"/>
                <w:szCs w:val="20"/>
              </w:rPr>
              <w:t xml:space="preserve"> = 114)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A83CF03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Propofol</w:t>
            </w:r>
          </w:p>
          <w:p w14:paraId="09830CA5" w14:textId="3DA98673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(</w:t>
            </w:r>
            <w:r w:rsidRPr="004301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 </w:t>
            </w:r>
            <w:r w:rsidRPr="00430168">
              <w:rPr>
                <w:rFonts w:ascii="Arial" w:hAnsi="Arial" w:cs="Arial"/>
                <w:sz w:val="20"/>
                <w:szCs w:val="20"/>
              </w:rPr>
              <w:t>= 114)</w:t>
            </w:r>
          </w:p>
        </w:tc>
        <w:tc>
          <w:tcPr>
            <w:tcW w:w="2127" w:type="dxa"/>
            <w:vMerge w:val="restart"/>
            <w:noWrap/>
            <w:vAlign w:val="center"/>
            <w:hideMark/>
          </w:tcPr>
          <w:p w14:paraId="7724BDB6" w14:textId="3EDEEEFC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Abosolute difference</w:t>
            </w:r>
          </w:p>
          <w:p w14:paraId="08234E81" w14:textId="578EF889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34B5C8F5" w14:textId="1F89B685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Odd ratio</w:t>
            </w:r>
          </w:p>
          <w:p w14:paraId="5F7427AB" w14:textId="3CEB413C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7E411372" w14:textId="2D19C2E7" w:rsidR="00182EDF" w:rsidRPr="00430168" w:rsidRDefault="00182EDF" w:rsidP="0067326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182EDF" w:rsidRPr="00430168" w14:paraId="18583755" w14:textId="77777777" w:rsidTr="00673268">
        <w:trPr>
          <w:trHeight w:val="397"/>
        </w:trPr>
        <w:tc>
          <w:tcPr>
            <w:tcW w:w="2127" w:type="dxa"/>
            <w:vMerge/>
            <w:vAlign w:val="center"/>
            <w:hideMark/>
          </w:tcPr>
          <w:p w14:paraId="422FEF19" w14:textId="77777777" w:rsidR="00182EDF" w:rsidRPr="00430168" w:rsidRDefault="00182EDF" w:rsidP="00FB450E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0" w:name="_Hlk178893529"/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30DEC36" w14:textId="334AFFF2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430168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2127" w:type="dxa"/>
            <w:vMerge/>
            <w:noWrap/>
            <w:vAlign w:val="center"/>
            <w:hideMark/>
          </w:tcPr>
          <w:p w14:paraId="182B8D51" w14:textId="2F09D11D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  <w:hideMark/>
          </w:tcPr>
          <w:p w14:paraId="767AABA4" w14:textId="08CB0501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  <w:hideMark/>
          </w:tcPr>
          <w:p w14:paraId="345E14FF" w14:textId="76DC6DA1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182EDF" w:rsidRPr="00430168" w14:paraId="1C6AEBF8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5D4753E5" w14:textId="77777777" w:rsidR="00182EDF" w:rsidRPr="00430168" w:rsidRDefault="00182EDF" w:rsidP="00FB450E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Recovery at 30 min</w:t>
            </w:r>
          </w:p>
        </w:tc>
        <w:tc>
          <w:tcPr>
            <w:tcW w:w="1559" w:type="dxa"/>
            <w:noWrap/>
            <w:vAlign w:val="center"/>
            <w:hideMark/>
          </w:tcPr>
          <w:p w14:paraId="146A6AAF" w14:textId="77777777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18B8407" w14:textId="77777777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054F32E" w14:textId="77777777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1BD747B5" w14:textId="5D62090D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6F4E7BC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EDF" w:rsidRPr="00430168" w14:paraId="1099AC06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4CEB464F" w14:textId="425CCB27" w:rsidR="00182EDF" w:rsidRPr="00430168" w:rsidRDefault="00182EDF" w:rsidP="00FB450E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Cognitive</w:t>
            </w:r>
          </w:p>
        </w:tc>
        <w:tc>
          <w:tcPr>
            <w:tcW w:w="1559" w:type="dxa"/>
            <w:noWrap/>
            <w:vAlign w:val="center"/>
            <w:hideMark/>
          </w:tcPr>
          <w:p w14:paraId="78F52DE5" w14:textId="2A7C816F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64 (56.1%)</w:t>
            </w:r>
          </w:p>
        </w:tc>
        <w:tc>
          <w:tcPr>
            <w:tcW w:w="1559" w:type="dxa"/>
            <w:noWrap/>
            <w:vAlign w:val="center"/>
            <w:hideMark/>
          </w:tcPr>
          <w:p w14:paraId="70EEAB4A" w14:textId="75E1B304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68 (59.6%)</w:t>
            </w:r>
          </w:p>
        </w:tc>
        <w:tc>
          <w:tcPr>
            <w:tcW w:w="2127" w:type="dxa"/>
            <w:noWrap/>
            <w:vAlign w:val="center"/>
            <w:hideMark/>
          </w:tcPr>
          <w:p w14:paraId="0F2E34E4" w14:textId="74541AB9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-0.04 (-0.16 to 0.09)</w:t>
            </w:r>
          </w:p>
        </w:tc>
        <w:tc>
          <w:tcPr>
            <w:tcW w:w="1984" w:type="dxa"/>
            <w:noWrap/>
            <w:vAlign w:val="center"/>
            <w:hideMark/>
          </w:tcPr>
          <w:p w14:paraId="431183C4" w14:textId="0E98EE42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0.87 (0.51 to 1.47)</w:t>
            </w:r>
          </w:p>
        </w:tc>
        <w:tc>
          <w:tcPr>
            <w:tcW w:w="851" w:type="dxa"/>
            <w:noWrap/>
            <w:vAlign w:val="center"/>
            <w:hideMark/>
          </w:tcPr>
          <w:p w14:paraId="13D5EAB4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0.592</w:t>
            </w:r>
          </w:p>
        </w:tc>
      </w:tr>
      <w:tr w:rsidR="00182EDF" w:rsidRPr="00430168" w14:paraId="69A402A4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71F893AF" w14:textId="48D5ED35" w:rsidR="00182EDF" w:rsidRPr="00430168" w:rsidRDefault="00182EDF" w:rsidP="00FB450E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Nociceptive </w:t>
            </w:r>
          </w:p>
        </w:tc>
        <w:tc>
          <w:tcPr>
            <w:tcW w:w="1559" w:type="dxa"/>
            <w:noWrap/>
            <w:vAlign w:val="center"/>
            <w:hideMark/>
          </w:tcPr>
          <w:p w14:paraId="68468460" w14:textId="3ECDA9F0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95 (83.3%)</w:t>
            </w:r>
          </w:p>
        </w:tc>
        <w:tc>
          <w:tcPr>
            <w:tcW w:w="1559" w:type="dxa"/>
            <w:noWrap/>
            <w:vAlign w:val="center"/>
            <w:hideMark/>
          </w:tcPr>
          <w:p w14:paraId="745154FA" w14:textId="392998BF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98 (86.0%)</w:t>
            </w:r>
          </w:p>
        </w:tc>
        <w:tc>
          <w:tcPr>
            <w:tcW w:w="2127" w:type="dxa"/>
            <w:noWrap/>
            <w:vAlign w:val="center"/>
            <w:hideMark/>
          </w:tcPr>
          <w:p w14:paraId="6F35EF8E" w14:textId="5EA8385E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-0.03 (-0.12 to 0.07)</w:t>
            </w:r>
          </w:p>
        </w:tc>
        <w:tc>
          <w:tcPr>
            <w:tcW w:w="1984" w:type="dxa"/>
            <w:noWrap/>
            <w:vAlign w:val="center"/>
            <w:hideMark/>
          </w:tcPr>
          <w:p w14:paraId="00F48922" w14:textId="3F490D00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0.82 (0.40 to 1.68)</w:t>
            </w:r>
          </w:p>
        </w:tc>
        <w:tc>
          <w:tcPr>
            <w:tcW w:w="851" w:type="dxa"/>
            <w:noWrap/>
            <w:vAlign w:val="center"/>
            <w:hideMark/>
          </w:tcPr>
          <w:p w14:paraId="15E41270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0.582</w:t>
            </w:r>
          </w:p>
        </w:tc>
      </w:tr>
      <w:tr w:rsidR="00182EDF" w:rsidRPr="00430168" w14:paraId="521E0D0B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54063102" w14:textId="51F9F6F9" w:rsidR="00182EDF" w:rsidRPr="00430168" w:rsidRDefault="00182EDF" w:rsidP="00FB450E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Emotion </w:t>
            </w:r>
          </w:p>
        </w:tc>
        <w:tc>
          <w:tcPr>
            <w:tcW w:w="1559" w:type="dxa"/>
            <w:noWrap/>
            <w:vAlign w:val="center"/>
            <w:hideMark/>
          </w:tcPr>
          <w:p w14:paraId="0C92F4FE" w14:textId="22ECC0E6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97 (85.1%)</w:t>
            </w:r>
          </w:p>
        </w:tc>
        <w:tc>
          <w:tcPr>
            <w:tcW w:w="1559" w:type="dxa"/>
            <w:noWrap/>
            <w:vAlign w:val="center"/>
            <w:hideMark/>
          </w:tcPr>
          <w:p w14:paraId="7CCD70E3" w14:textId="4BC0B46F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96 (84.2%)</w:t>
            </w:r>
          </w:p>
        </w:tc>
        <w:tc>
          <w:tcPr>
            <w:tcW w:w="2127" w:type="dxa"/>
            <w:noWrap/>
            <w:vAlign w:val="center"/>
            <w:hideMark/>
          </w:tcPr>
          <w:p w14:paraId="7070B2A4" w14:textId="53FBF91A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0.01 (-0.08 to 0.10)</w:t>
            </w:r>
          </w:p>
        </w:tc>
        <w:tc>
          <w:tcPr>
            <w:tcW w:w="1984" w:type="dxa"/>
            <w:noWrap/>
            <w:vAlign w:val="center"/>
            <w:hideMark/>
          </w:tcPr>
          <w:p w14:paraId="54DC7B29" w14:textId="267E30C0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1.07 (0.52 to 2.20)</w:t>
            </w:r>
          </w:p>
        </w:tc>
        <w:tc>
          <w:tcPr>
            <w:tcW w:w="851" w:type="dxa"/>
            <w:noWrap/>
            <w:vAlign w:val="center"/>
            <w:hideMark/>
          </w:tcPr>
          <w:p w14:paraId="73384E3A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0.854</w:t>
            </w:r>
          </w:p>
        </w:tc>
      </w:tr>
      <w:tr w:rsidR="00182EDF" w:rsidRPr="00430168" w14:paraId="43E58CEC" w14:textId="77777777" w:rsidTr="00673268">
        <w:trPr>
          <w:trHeight w:val="397"/>
        </w:trPr>
        <w:tc>
          <w:tcPr>
            <w:tcW w:w="2127" w:type="dxa"/>
            <w:noWrap/>
            <w:vAlign w:val="center"/>
          </w:tcPr>
          <w:p w14:paraId="68034C78" w14:textId="7D849DCC" w:rsidR="00182EDF" w:rsidRPr="00430168" w:rsidRDefault="00182EDF" w:rsidP="00FB450E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Physiological </w:t>
            </w:r>
          </w:p>
        </w:tc>
        <w:tc>
          <w:tcPr>
            <w:tcW w:w="1559" w:type="dxa"/>
            <w:noWrap/>
            <w:vAlign w:val="center"/>
          </w:tcPr>
          <w:p w14:paraId="61999625" w14:textId="3C0434CC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111 (97.4%)</w:t>
            </w:r>
          </w:p>
        </w:tc>
        <w:tc>
          <w:tcPr>
            <w:tcW w:w="1559" w:type="dxa"/>
            <w:noWrap/>
            <w:vAlign w:val="center"/>
          </w:tcPr>
          <w:p w14:paraId="5C2201A0" w14:textId="0288BD02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109 (95.6%)</w:t>
            </w:r>
          </w:p>
        </w:tc>
        <w:tc>
          <w:tcPr>
            <w:tcW w:w="2127" w:type="dxa"/>
            <w:noWrap/>
            <w:vAlign w:val="center"/>
          </w:tcPr>
          <w:p w14:paraId="1FA53E74" w14:textId="418FB54C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0.02 (0.03 to 0.07)</w:t>
            </w:r>
          </w:p>
        </w:tc>
        <w:tc>
          <w:tcPr>
            <w:tcW w:w="1984" w:type="dxa"/>
            <w:noWrap/>
            <w:vAlign w:val="center"/>
          </w:tcPr>
          <w:p w14:paraId="2159AE20" w14:textId="53F0A41F" w:rsidR="00182EDF" w:rsidRPr="00430168" w:rsidRDefault="00182EDF" w:rsidP="00FB450E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1.70 (0.40 to 7.28)</w:t>
            </w:r>
          </w:p>
        </w:tc>
        <w:tc>
          <w:tcPr>
            <w:tcW w:w="851" w:type="dxa"/>
            <w:noWrap/>
            <w:vAlign w:val="center"/>
          </w:tcPr>
          <w:p w14:paraId="0879CE21" w14:textId="7B8939EE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0.476</w:t>
            </w:r>
          </w:p>
        </w:tc>
      </w:tr>
      <w:tr w:rsidR="00182EDF" w:rsidRPr="00430168" w14:paraId="45C1ACC6" w14:textId="77777777" w:rsidTr="00673268">
        <w:trPr>
          <w:trHeight w:val="397"/>
        </w:trPr>
        <w:tc>
          <w:tcPr>
            <w:tcW w:w="2127" w:type="dxa"/>
            <w:noWrap/>
            <w:vAlign w:val="center"/>
          </w:tcPr>
          <w:p w14:paraId="44E4CB5C" w14:textId="52F98723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Overall </w:t>
            </w:r>
          </w:p>
        </w:tc>
        <w:tc>
          <w:tcPr>
            <w:tcW w:w="1559" w:type="dxa"/>
            <w:noWrap/>
            <w:vAlign w:val="center"/>
          </w:tcPr>
          <w:p w14:paraId="185A5F44" w14:textId="0FF6942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51 (44.7%)</w:t>
            </w:r>
          </w:p>
        </w:tc>
        <w:tc>
          <w:tcPr>
            <w:tcW w:w="1559" w:type="dxa"/>
            <w:noWrap/>
            <w:vAlign w:val="center"/>
          </w:tcPr>
          <w:p w14:paraId="5E057B2F" w14:textId="14DF0661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54 (47.4%)</w:t>
            </w:r>
          </w:p>
        </w:tc>
        <w:tc>
          <w:tcPr>
            <w:tcW w:w="2127" w:type="dxa"/>
            <w:noWrap/>
            <w:vAlign w:val="center"/>
          </w:tcPr>
          <w:p w14:paraId="13539EDB" w14:textId="5A982489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-0.03 (-0.16 to 0.10)</w:t>
            </w:r>
          </w:p>
        </w:tc>
        <w:tc>
          <w:tcPr>
            <w:tcW w:w="1984" w:type="dxa"/>
            <w:noWrap/>
            <w:vAlign w:val="center"/>
          </w:tcPr>
          <w:p w14:paraId="0A01F6CD" w14:textId="6344C321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0.9</w:t>
            </w:r>
            <w:r w:rsidR="001611F4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430168">
              <w:rPr>
                <w:rFonts w:ascii="Arial" w:hAnsi="Arial" w:cs="Arial"/>
                <w:sz w:val="20"/>
                <w:szCs w:val="20"/>
              </w:rPr>
              <w:t xml:space="preserve"> (0.53 to 1.51)</w:t>
            </w:r>
          </w:p>
        </w:tc>
        <w:tc>
          <w:tcPr>
            <w:tcW w:w="851" w:type="dxa"/>
            <w:noWrap/>
            <w:vAlign w:val="center"/>
          </w:tcPr>
          <w:p w14:paraId="0865D5A4" w14:textId="7E33D9D4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0.690</w:t>
            </w:r>
          </w:p>
        </w:tc>
      </w:tr>
      <w:tr w:rsidR="00182EDF" w:rsidRPr="00430168" w14:paraId="75649F42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65E73024" w14:textId="2CA6FD72" w:rsidR="00182EDF" w:rsidRPr="00430168" w:rsidRDefault="00182EDF" w:rsidP="00B715C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Recovery on Day 1</w:t>
            </w:r>
          </w:p>
        </w:tc>
        <w:tc>
          <w:tcPr>
            <w:tcW w:w="1559" w:type="dxa"/>
            <w:noWrap/>
            <w:vAlign w:val="center"/>
            <w:hideMark/>
          </w:tcPr>
          <w:p w14:paraId="712ECA6A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B182F95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59E63055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198CD3DE" w14:textId="3BB5C928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4FB3D1F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EDF" w:rsidRPr="00430168" w14:paraId="527488FA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303E8E61" w14:textId="63A6982A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Cognitive </w:t>
            </w:r>
          </w:p>
        </w:tc>
        <w:tc>
          <w:tcPr>
            <w:tcW w:w="1559" w:type="dxa"/>
            <w:noWrap/>
            <w:vAlign w:val="center"/>
            <w:hideMark/>
          </w:tcPr>
          <w:p w14:paraId="6AE8EC30" w14:textId="2852F76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88 (77.2%)</w:t>
            </w:r>
          </w:p>
        </w:tc>
        <w:tc>
          <w:tcPr>
            <w:tcW w:w="1559" w:type="dxa"/>
            <w:noWrap/>
            <w:vAlign w:val="center"/>
            <w:hideMark/>
          </w:tcPr>
          <w:p w14:paraId="04B9DC2F" w14:textId="2A22D02F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88 (77.2%)</w:t>
            </w:r>
          </w:p>
        </w:tc>
        <w:tc>
          <w:tcPr>
            <w:tcW w:w="2127" w:type="dxa"/>
            <w:noWrap/>
            <w:vAlign w:val="center"/>
            <w:hideMark/>
          </w:tcPr>
          <w:p w14:paraId="6940BC88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 (-0.11 to 0.11)</w:t>
            </w:r>
          </w:p>
        </w:tc>
        <w:tc>
          <w:tcPr>
            <w:tcW w:w="1984" w:type="dxa"/>
            <w:noWrap/>
            <w:vAlign w:val="center"/>
            <w:hideMark/>
          </w:tcPr>
          <w:p w14:paraId="19BAD458" w14:textId="56B4773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</w:t>
            </w:r>
            <w:r w:rsidR="001611F4">
              <w:rPr>
                <w:rFonts w:ascii="Arial" w:hAnsi="Arial" w:cs="Arial" w:hint="eastAsia"/>
                <w:sz w:val="20"/>
                <w:szCs w:val="20"/>
              </w:rPr>
              <w:t>.00</w:t>
            </w:r>
            <w:r w:rsidRPr="00430168">
              <w:rPr>
                <w:rFonts w:ascii="Arial" w:hAnsi="Arial" w:cs="Arial"/>
                <w:sz w:val="20"/>
                <w:szCs w:val="20"/>
              </w:rPr>
              <w:t xml:space="preserve"> (0.54 to 1.86)</w:t>
            </w:r>
          </w:p>
        </w:tc>
        <w:tc>
          <w:tcPr>
            <w:tcW w:w="851" w:type="dxa"/>
            <w:noWrap/>
            <w:vAlign w:val="center"/>
            <w:hideMark/>
          </w:tcPr>
          <w:p w14:paraId="19AB0F3E" w14:textId="12AA81C5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&gt; 0.99</w:t>
            </w:r>
          </w:p>
        </w:tc>
      </w:tr>
      <w:tr w:rsidR="00182EDF" w:rsidRPr="00430168" w14:paraId="3BFA165C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4DD7E5CD" w14:textId="6D740F26" w:rsidR="00182EDF" w:rsidRPr="00430168" w:rsidRDefault="00182EDF" w:rsidP="00B715C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  ADL </w:t>
            </w:r>
          </w:p>
        </w:tc>
        <w:tc>
          <w:tcPr>
            <w:tcW w:w="1559" w:type="dxa"/>
            <w:noWrap/>
            <w:vAlign w:val="center"/>
            <w:hideMark/>
          </w:tcPr>
          <w:p w14:paraId="6E97CDE0" w14:textId="7B532F03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110 (96.5%)</w:t>
            </w:r>
          </w:p>
        </w:tc>
        <w:tc>
          <w:tcPr>
            <w:tcW w:w="1559" w:type="dxa"/>
            <w:noWrap/>
            <w:vAlign w:val="center"/>
            <w:hideMark/>
          </w:tcPr>
          <w:p w14:paraId="50C20A80" w14:textId="7A90CFF5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109 (95.6%)</w:t>
            </w:r>
          </w:p>
        </w:tc>
        <w:tc>
          <w:tcPr>
            <w:tcW w:w="2127" w:type="dxa"/>
            <w:noWrap/>
            <w:vAlign w:val="center"/>
            <w:hideMark/>
          </w:tcPr>
          <w:p w14:paraId="3F19C1B8" w14:textId="59D8D63B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 (-0.04 to 0.06)</w:t>
            </w:r>
          </w:p>
        </w:tc>
        <w:tc>
          <w:tcPr>
            <w:tcW w:w="1984" w:type="dxa"/>
            <w:noWrap/>
            <w:vAlign w:val="center"/>
            <w:hideMark/>
          </w:tcPr>
          <w:p w14:paraId="03779413" w14:textId="2053DAAE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1.26 (0.33 to 4.82)</w:t>
            </w:r>
          </w:p>
        </w:tc>
        <w:tc>
          <w:tcPr>
            <w:tcW w:w="851" w:type="dxa"/>
            <w:noWrap/>
            <w:vAlign w:val="center"/>
            <w:hideMark/>
          </w:tcPr>
          <w:p w14:paraId="2A37DBDA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0.734</w:t>
            </w:r>
          </w:p>
        </w:tc>
      </w:tr>
      <w:tr w:rsidR="00182EDF" w:rsidRPr="00430168" w14:paraId="2EE037F6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04388AF0" w14:textId="1876058A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Nociceptive </w:t>
            </w:r>
          </w:p>
        </w:tc>
        <w:tc>
          <w:tcPr>
            <w:tcW w:w="1559" w:type="dxa"/>
            <w:noWrap/>
            <w:vAlign w:val="center"/>
            <w:hideMark/>
          </w:tcPr>
          <w:p w14:paraId="0836BF8E" w14:textId="36B859B4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109 (95.6%)</w:t>
            </w:r>
          </w:p>
        </w:tc>
        <w:tc>
          <w:tcPr>
            <w:tcW w:w="1559" w:type="dxa"/>
            <w:noWrap/>
            <w:vAlign w:val="center"/>
            <w:hideMark/>
          </w:tcPr>
          <w:p w14:paraId="375F5E10" w14:textId="681B51F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111 (97.4%)</w:t>
            </w:r>
          </w:p>
        </w:tc>
        <w:tc>
          <w:tcPr>
            <w:tcW w:w="2127" w:type="dxa"/>
            <w:noWrap/>
            <w:vAlign w:val="center"/>
            <w:hideMark/>
          </w:tcPr>
          <w:p w14:paraId="60A85D7C" w14:textId="3BB4A2D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-0.02 (-0.07 to 0.03)</w:t>
            </w:r>
          </w:p>
        </w:tc>
        <w:tc>
          <w:tcPr>
            <w:tcW w:w="1984" w:type="dxa"/>
            <w:noWrap/>
            <w:vAlign w:val="center"/>
            <w:hideMark/>
          </w:tcPr>
          <w:p w14:paraId="33B691EA" w14:textId="2A9CDBC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0.59 (0.14 to 2.53)</w:t>
            </w:r>
          </w:p>
        </w:tc>
        <w:tc>
          <w:tcPr>
            <w:tcW w:w="851" w:type="dxa"/>
            <w:noWrap/>
            <w:vAlign w:val="center"/>
            <w:hideMark/>
          </w:tcPr>
          <w:p w14:paraId="2899C9D2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0.476</w:t>
            </w:r>
          </w:p>
        </w:tc>
      </w:tr>
      <w:tr w:rsidR="00182EDF" w:rsidRPr="00430168" w14:paraId="6EC4425F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6ACF9475" w14:textId="02BF45CB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Emotion </w:t>
            </w:r>
          </w:p>
        </w:tc>
        <w:tc>
          <w:tcPr>
            <w:tcW w:w="1559" w:type="dxa"/>
            <w:noWrap/>
            <w:vAlign w:val="center"/>
            <w:hideMark/>
          </w:tcPr>
          <w:p w14:paraId="387F4045" w14:textId="639CD6E8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102 (89.5%)</w:t>
            </w:r>
          </w:p>
        </w:tc>
        <w:tc>
          <w:tcPr>
            <w:tcW w:w="1559" w:type="dxa"/>
            <w:noWrap/>
            <w:vAlign w:val="center"/>
            <w:hideMark/>
          </w:tcPr>
          <w:p w14:paraId="04D162F9" w14:textId="352CC31B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99 (86.8%)</w:t>
            </w:r>
          </w:p>
        </w:tc>
        <w:tc>
          <w:tcPr>
            <w:tcW w:w="2127" w:type="dxa"/>
            <w:noWrap/>
            <w:vAlign w:val="center"/>
            <w:hideMark/>
          </w:tcPr>
          <w:p w14:paraId="6FCE9E01" w14:textId="79FA99A9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0.03 (-0.06 to 0.11)</w:t>
            </w:r>
          </w:p>
        </w:tc>
        <w:tc>
          <w:tcPr>
            <w:tcW w:w="1984" w:type="dxa"/>
            <w:noWrap/>
            <w:vAlign w:val="center"/>
            <w:hideMark/>
          </w:tcPr>
          <w:p w14:paraId="183F6A7F" w14:textId="6E491CBB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1.29 (0.57 to 2.89)</w:t>
            </w:r>
          </w:p>
        </w:tc>
        <w:tc>
          <w:tcPr>
            <w:tcW w:w="851" w:type="dxa"/>
            <w:noWrap/>
            <w:vAlign w:val="center"/>
            <w:hideMark/>
          </w:tcPr>
          <w:p w14:paraId="1BD5A915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0.539</w:t>
            </w:r>
          </w:p>
        </w:tc>
      </w:tr>
      <w:tr w:rsidR="00182EDF" w:rsidRPr="00430168" w14:paraId="4E16AC78" w14:textId="77777777" w:rsidTr="00673268">
        <w:trPr>
          <w:trHeight w:val="397"/>
        </w:trPr>
        <w:tc>
          <w:tcPr>
            <w:tcW w:w="2127" w:type="dxa"/>
            <w:noWrap/>
            <w:vAlign w:val="center"/>
          </w:tcPr>
          <w:p w14:paraId="5A496614" w14:textId="792636B6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Overall </w:t>
            </w:r>
          </w:p>
        </w:tc>
        <w:tc>
          <w:tcPr>
            <w:tcW w:w="1559" w:type="dxa"/>
            <w:noWrap/>
            <w:vAlign w:val="center"/>
          </w:tcPr>
          <w:p w14:paraId="4CDDEDD9" w14:textId="4F48837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78 (68.4%)</w:t>
            </w:r>
          </w:p>
        </w:tc>
        <w:tc>
          <w:tcPr>
            <w:tcW w:w="1559" w:type="dxa"/>
            <w:noWrap/>
            <w:vAlign w:val="center"/>
          </w:tcPr>
          <w:p w14:paraId="78FA7CD7" w14:textId="6A06711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75 (65.8%)</w:t>
            </w:r>
          </w:p>
        </w:tc>
        <w:tc>
          <w:tcPr>
            <w:tcW w:w="2127" w:type="dxa"/>
            <w:noWrap/>
            <w:vAlign w:val="center"/>
          </w:tcPr>
          <w:p w14:paraId="3C942A3C" w14:textId="096AED4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0.03 (-0.10 to 0.15)</w:t>
            </w:r>
          </w:p>
        </w:tc>
        <w:tc>
          <w:tcPr>
            <w:tcW w:w="1984" w:type="dxa"/>
            <w:noWrap/>
            <w:vAlign w:val="center"/>
          </w:tcPr>
          <w:p w14:paraId="1B250974" w14:textId="03D9671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1.13 (0.65 to1.96)</w:t>
            </w:r>
          </w:p>
        </w:tc>
        <w:tc>
          <w:tcPr>
            <w:tcW w:w="851" w:type="dxa"/>
            <w:noWrap/>
            <w:vAlign w:val="center"/>
          </w:tcPr>
          <w:p w14:paraId="76E86FD1" w14:textId="73900796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0.672</w:t>
            </w:r>
          </w:p>
        </w:tc>
      </w:tr>
      <w:tr w:rsidR="00182EDF" w:rsidRPr="00430168" w14:paraId="45EA930F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7A333C1B" w14:textId="0099F05E" w:rsidR="00182EDF" w:rsidRPr="00430168" w:rsidRDefault="00182EDF" w:rsidP="00B715C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Recovery on Day 3</w:t>
            </w:r>
          </w:p>
        </w:tc>
        <w:tc>
          <w:tcPr>
            <w:tcW w:w="1559" w:type="dxa"/>
            <w:noWrap/>
            <w:vAlign w:val="center"/>
            <w:hideMark/>
          </w:tcPr>
          <w:p w14:paraId="1A95D2EB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0C945A3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44811D89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90604B9" w14:textId="2E34FE6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07F1237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EDF" w:rsidRPr="00430168" w14:paraId="53D25B5B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53188070" w14:textId="7EE53B3C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Cognitive </w:t>
            </w:r>
          </w:p>
        </w:tc>
        <w:tc>
          <w:tcPr>
            <w:tcW w:w="1559" w:type="dxa"/>
            <w:noWrap/>
            <w:vAlign w:val="center"/>
            <w:hideMark/>
          </w:tcPr>
          <w:p w14:paraId="6E04284B" w14:textId="0D2A0F0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96 (84.2%)</w:t>
            </w:r>
          </w:p>
        </w:tc>
        <w:tc>
          <w:tcPr>
            <w:tcW w:w="1559" w:type="dxa"/>
            <w:noWrap/>
            <w:vAlign w:val="center"/>
            <w:hideMark/>
          </w:tcPr>
          <w:p w14:paraId="308ABCC2" w14:textId="1BEA8DD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97 (85.1%)</w:t>
            </w:r>
          </w:p>
        </w:tc>
        <w:tc>
          <w:tcPr>
            <w:tcW w:w="2127" w:type="dxa"/>
            <w:noWrap/>
            <w:vAlign w:val="center"/>
            <w:hideMark/>
          </w:tcPr>
          <w:p w14:paraId="55782D86" w14:textId="3D19BAC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-0.01 (-0.10 to 0.08)</w:t>
            </w:r>
          </w:p>
        </w:tc>
        <w:tc>
          <w:tcPr>
            <w:tcW w:w="1984" w:type="dxa"/>
            <w:noWrap/>
            <w:vAlign w:val="center"/>
            <w:hideMark/>
          </w:tcPr>
          <w:p w14:paraId="44A00137" w14:textId="08086839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0.93 (0.45 to 1.92)</w:t>
            </w:r>
          </w:p>
        </w:tc>
        <w:tc>
          <w:tcPr>
            <w:tcW w:w="851" w:type="dxa"/>
            <w:noWrap/>
            <w:vAlign w:val="center"/>
            <w:hideMark/>
          </w:tcPr>
          <w:p w14:paraId="564C9A90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0.854</w:t>
            </w:r>
          </w:p>
        </w:tc>
      </w:tr>
      <w:tr w:rsidR="00182EDF" w:rsidRPr="00430168" w14:paraId="0C696BB9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1A837F71" w14:textId="16576390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ADL </w:t>
            </w:r>
          </w:p>
        </w:tc>
        <w:tc>
          <w:tcPr>
            <w:tcW w:w="1559" w:type="dxa"/>
            <w:noWrap/>
            <w:vAlign w:val="center"/>
            <w:hideMark/>
          </w:tcPr>
          <w:p w14:paraId="41BCD9C2" w14:textId="19674D08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112 (98.2%)</w:t>
            </w:r>
          </w:p>
        </w:tc>
        <w:tc>
          <w:tcPr>
            <w:tcW w:w="1559" w:type="dxa"/>
            <w:noWrap/>
            <w:vAlign w:val="center"/>
            <w:hideMark/>
          </w:tcPr>
          <w:p w14:paraId="04FABACD" w14:textId="58800F64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111 (97.4%)</w:t>
            </w:r>
          </w:p>
        </w:tc>
        <w:tc>
          <w:tcPr>
            <w:tcW w:w="2127" w:type="dxa"/>
            <w:noWrap/>
            <w:vAlign w:val="center"/>
            <w:hideMark/>
          </w:tcPr>
          <w:p w14:paraId="21DCFD5A" w14:textId="676615D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 (-0.03 to 0.05)</w:t>
            </w:r>
          </w:p>
        </w:tc>
        <w:tc>
          <w:tcPr>
            <w:tcW w:w="1984" w:type="dxa"/>
            <w:noWrap/>
            <w:vAlign w:val="center"/>
            <w:hideMark/>
          </w:tcPr>
          <w:p w14:paraId="58EE088A" w14:textId="3686120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1.51 (0.25 to 9.23)</w:t>
            </w:r>
          </w:p>
        </w:tc>
        <w:tc>
          <w:tcPr>
            <w:tcW w:w="851" w:type="dxa"/>
            <w:noWrap/>
            <w:vAlign w:val="center"/>
            <w:hideMark/>
          </w:tcPr>
          <w:p w14:paraId="7AC5AC21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0.653</w:t>
            </w:r>
          </w:p>
        </w:tc>
      </w:tr>
      <w:tr w:rsidR="00182EDF" w:rsidRPr="00430168" w14:paraId="2AE19989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435643E4" w14:textId="31933AD1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Nociceptive</w:t>
            </w:r>
          </w:p>
        </w:tc>
        <w:tc>
          <w:tcPr>
            <w:tcW w:w="1559" w:type="dxa"/>
            <w:noWrap/>
            <w:vAlign w:val="center"/>
            <w:hideMark/>
          </w:tcPr>
          <w:p w14:paraId="5F7757B2" w14:textId="0B37ABF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112 (98.2%)</w:t>
            </w:r>
          </w:p>
        </w:tc>
        <w:tc>
          <w:tcPr>
            <w:tcW w:w="1559" w:type="dxa"/>
            <w:noWrap/>
            <w:vAlign w:val="center"/>
            <w:hideMark/>
          </w:tcPr>
          <w:p w14:paraId="006C27A7" w14:textId="54F068CC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114 (100.0%)</w:t>
            </w:r>
          </w:p>
        </w:tc>
        <w:tc>
          <w:tcPr>
            <w:tcW w:w="2127" w:type="dxa"/>
            <w:noWrap/>
            <w:vAlign w:val="center"/>
            <w:hideMark/>
          </w:tcPr>
          <w:p w14:paraId="5039D8EE" w14:textId="24C172F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-0.02 (-0.04 to 0)</w:t>
            </w:r>
          </w:p>
        </w:tc>
        <w:tc>
          <w:tcPr>
            <w:tcW w:w="1984" w:type="dxa"/>
            <w:noWrap/>
            <w:vAlign w:val="center"/>
            <w:hideMark/>
          </w:tcPr>
          <w:p w14:paraId="0A3B6737" w14:textId="518DE93F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 (0 to +</w:t>
            </w:r>
            <w:r w:rsidRPr="00430168">
              <w:rPr>
                <w:rFonts w:ascii="Arial" w:eastAsia="等线" w:hAnsi="Arial" w:cs="Arial"/>
                <w:sz w:val="20"/>
                <w:szCs w:val="20"/>
              </w:rPr>
              <w:t>∞</w:t>
            </w:r>
            <w:r w:rsidRPr="004301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noWrap/>
            <w:vAlign w:val="center"/>
            <w:hideMark/>
          </w:tcPr>
          <w:p w14:paraId="49966D08" w14:textId="2D791FFE" w:rsidR="00182EDF" w:rsidRPr="00430168" w:rsidRDefault="00182EDF" w:rsidP="00D7559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&gt; 0.99</w:t>
            </w:r>
          </w:p>
        </w:tc>
      </w:tr>
      <w:tr w:rsidR="00182EDF" w:rsidRPr="00430168" w14:paraId="39377972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2BCBD724" w14:textId="784443E8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Emotion</w:t>
            </w:r>
          </w:p>
        </w:tc>
        <w:tc>
          <w:tcPr>
            <w:tcW w:w="1559" w:type="dxa"/>
            <w:noWrap/>
            <w:vAlign w:val="center"/>
            <w:hideMark/>
          </w:tcPr>
          <w:p w14:paraId="460946A9" w14:textId="2271807F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108 (94.7%)</w:t>
            </w:r>
          </w:p>
        </w:tc>
        <w:tc>
          <w:tcPr>
            <w:tcW w:w="1559" w:type="dxa"/>
            <w:noWrap/>
            <w:vAlign w:val="center"/>
            <w:hideMark/>
          </w:tcPr>
          <w:p w14:paraId="6CE89F47" w14:textId="19763379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103 (90.4%)</w:t>
            </w:r>
          </w:p>
        </w:tc>
        <w:tc>
          <w:tcPr>
            <w:tcW w:w="2127" w:type="dxa"/>
            <w:noWrap/>
            <w:vAlign w:val="center"/>
            <w:hideMark/>
          </w:tcPr>
          <w:p w14:paraId="3333577C" w14:textId="15C423E0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0.04 (-0.02 to 0.11)</w:t>
            </w:r>
          </w:p>
        </w:tc>
        <w:tc>
          <w:tcPr>
            <w:tcW w:w="1984" w:type="dxa"/>
            <w:noWrap/>
            <w:vAlign w:val="center"/>
            <w:hideMark/>
          </w:tcPr>
          <w:p w14:paraId="248C0EB9" w14:textId="66411DA5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1.92 (0.69 to 5.39)</w:t>
            </w:r>
          </w:p>
        </w:tc>
        <w:tc>
          <w:tcPr>
            <w:tcW w:w="851" w:type="dxa"/>
            <w:noWrap/>
            <w:vAlign w:val="center"/>
            <w:hideMark/>
          </w:tcPr>
          <w:p w14:paraId="070DD881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0.214</w:t>
            </w:r>
          </w:p>
        </w:tc>
      </w:tr>
      <w:tr w:rsidR="00182EDF" w:rsidRPr="00430168" w14:paraId="7DC6023B" w14:textId="77777777" w:rsidTr="00673268">
        <w:trPr>
          <w:trHeight w:val="397"/>
        </w:trPr>
        <w:tc>
          <w:tcPr>
            <w:tcW w:w="2127" w:type="dxa"/>
            <w:noWrap/>
            <w:vAlign w:val="center"/>
          </w:tcPr>
          <w:p w14:paraId="2E29F6BD" w14:textId="73DDC153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Overall </w:t>
            </w:r>
          </w:p>
        </w:tc>
        <w:tc>
          <w:tcPr>
            <w:tcW w:w="1559" w:type="dxa"/>
            <w:noWrap/>
            <w:vAlign w:val="center"/>
          </w:tcPr>
          <w:p w14:paraId="1AEB846F" w14:textId="1D6D147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90 (78.9%)</w:t>
            </w:r>
          </w:p>
        </w:tc>
        <w:tc>
          <w:tcPr>
            <w:tcW w:w="1559" w:type="dxa"/>
            <w:noWrap/>
            <w:vAlign w:val="center"/>
          </w:tcPr>
          <w:p w14:paraId="58444CA5" w14:textId="556E43E3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87 (76.3%)</w:t>
            </w:r>
          </w:p>
        </w:tc>
        <w:tc>
          <w:tcPr>
            <w:tcW w:w="2127" w:type="dxa"/>
            <w:noWrap/>
            <w:vAlign w:val="center"/>
          </w:tcPr>
          <w:p w14:paraId="4F3D4A3B" w14:textId="6034FEEB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0.03 (-0.08 to 0.13)</w:t>
            </w:r>
          </w:p>
        </w:tc>
        <w:tc>
          <w:tcPr>
            <w:tcW w:w="1984" w:type="dxa"/>
            <w:noWrap/>
            <w:vAlign w:val="center"/>
          </w:tcPr>
          <w:p w14:paraId="7D558FAC" w14:textId="0D1A3494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1.16 (0.62 to 2.17)</w:t>
            </w:r>
          </w:p>
        </w:tc>
        <w:tc>
          <w:tcPr>
            <w:tcW w:w="851" w:type="dxa"/>
            <w:noWrap/>
            <w:vAlign w:val="center"/>
          </w:tcPr>
          <w:p w14:paraId="5675BC4F" w14:textId="745B2016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0.634</w:t>
            </w:r>
          </w:p>
        </w:tc>
      </w:tr>
      <w:tr w:rsidR="00182EDF" w:rsidRPr="00430168" w14:paraId="5A0C02C9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203AE72D" w14:textId="3474D19B" w:rsidR="00182EDF" w:rsidRPr="00430168" w:rsidRDefault="00182EDF" w:rsidP="00B715C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Recovery on Day 7</w:t>
            </w:r>
          </w:p>
        </w:tc>
        <w:tc>
          <w:tcPr>
            <w:tcW w:w="1559" w:type="dxa"/>
            <w:noWrap/>
            <w:vAlign w:val="center"/>
            <w:hideMark/>
          </w:tcPr>
          <w:p w14:paraId="0EC37E3F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CCEE2A4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27D9B0C8" w14:textId="7777777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0461268" w14:textId="11D9B04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7649DF2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EDF" w:rsidRPr="00430168" w14:paraId="5B99D4DD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19D3C9DD" w14:textId="6DEE0F45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Cognitive </w:t>
            </w:r>
          </w:p>
        </w:tc>
        <w:tc>
          <w:tcPr>
            <w:tcW w:w="1559" w:type="dxa"/>
            <w:noWrap/>
            <w:vAlign w:val="center"/>
            <w:hideMark/>
          </w:tcPr>
          <w:p w14:paraId="6CF3EBE3" w14:textId="2214E195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108 (94.7%)</w:t>
            </w:r>
          </w:p>
        </w:tc>
        <w:tc>
          <w:tcPr>
            <w:tcW w:w="1559" w:type="dxa"/>
            <w:noWrap/>
            <w:vAlign w:val="center"/>
            <w:hideMark/>
          </w:tcPr>
          <w:p w14:paraId="64AD640A" w14:textId="3B6CA64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102 (89.5%)</w:t>
            </w:r>
          </w:p>
        </w:tc>
        <w:tc>
          <w:tcPr>
            <w:tcW w:w="2127" w:type="dxa"/>
            <w:noWrap/>
            <w:vAlign w:val="center"/>
            <w:hideMark/>
          </w:tcPr>
          <w:p w14:paraId="6AE3C825" w14:textId="2C0AFE3A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0.05 (-0.02 to 0.12)</w:t>
            </w:r>
          </w:p>
        </w:tc>
        <w:tc>
          <w:tcPr>
            <w:tcW w:w="1984" w:type="dxa"/>
            <w:noWrap/>
            <w:vAlign w:val="center"/>
            <w:hideMark/>
          </w:tcPr>
          <w:p w14:paraId="7DDC571A" w14:textId="1A1700F3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2.12 (0.77 to 5.85)</w:t>
            </w:r>
          </w:p>
        </w:tc>
        <w:tc>
          <w:tcPr>
            <w:tcW w:w="851" w:type="dxa"/>
            <w:noWrap/>
            <w:vAlign w:val="center"/>
            <w:hideMark/>
          </w:tcPr>
          <w:p w14:paraId="56D8F0C7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0.148</w:t>
            </w:r>
          </w:p>
        </w:tc>
      </w:tr>
      <w:tr w:rsidR="00182EDF" w:rsidRPr="00430168" w14:paraId="698F8854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20CF318C" w14:textId="26C14122" w:rsidR="00182EDF" w:rsidRPr="00430168" w:rsidRDefault="00182EDF" w:rsidP="00B715C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  ADL </w:t>
            </w:r>
          </w:p>
        </w:tc>
        <w:tc>
          <w:tcPr>
            <w:tcW w:w="1559" w:type="dxa"/>
            <w:noWrap/>
            <w:vAlign w:val="center"/>
            <w:hideMark/>
          </w:tcPr>
          <w:p w14:paraId="47AC7EC8" w14:textId="78C5BB0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113 (99.1%)</w:t>
            </w:r>
          </w:p>
        </w:tc>
        <w:tc>
          <w:tcPr>
            <w:tcW w:w="1559" w:type="dxa"/>
            <w:noWrap/>
            <w:vAlign w:val="center"/>
            <w:hideMark/>
          </w:tcPr>
          <w:p w14:paraId="3F889DF7" w14:textId="7C33C6B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112 (98.2%)</w:t>
            </w:r>
          </w:p>
        </w:tc>
        <w:tc>
          <w:tcPr>
            <w:tcW w:w="2127" w:type="dxa"/>
            <w:noWrap/>
            <w:vAlign w:val="center"/>
            <w:hideMark/>
          </w:tcPr>
          <w:p w14:paraId="7720E85D" w14:textId="333B3479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 (-0.02 to 0.04)</w:t>
            </w:r>
          </w:p>
        </w:tc>
        <w:tc>
          <w:tcPr>
            <w:tcW w:w="1984" w:type="dxa"/>
            <w:noWrap/>
            <w:vAlign w:val="center"/>
            <w:hideMark/>
          </w:tcPr>
          <w:p w14:paraId="606B4D08" w14:textId="3C6CD1A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2.02 (0.18 to 22.57)</w:t>
            </w:r>
          </w:p>
        </w:tc>
        <w:tc>
          <w:tcPr>
            <w:tcW w:w="851" w:type="dxa"/>
            <w:noWrap/>
            <w:vAlign w:val="center"/>
            <w:hideMark/>
          </w:tcPr>
          <w:p w14:paraId="65D64E87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0.569</w:t>
            </w:r>
          </w:p>
        </w:tc>
      </w:tr>
      <w:tr w:rsidR="00182EDF" w:rsidRPr="00430168" w14:paraId="003E9BDE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426DDEF3" w14:textId="5EEC73D7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Nociceptive</w:t>
            </w:r>
          </w:p>
        </w:tc>
        <w:tc>
          <w:tcPr>
            <w:tcW w:w="1559" w:type="dxa"/>
            <w:noWrap/>
            <w:vAlign w:val="center"/>
            <w:hideMark/>
          </w:tcPr>
          <w:p w14:paraId="0C0EE15A" w14:textId="14B3EE6D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112 (98.2%)</w:t>
            </w:r>
          </w:p>
        </w:tc>
        <w:tc>
          <w:tcPr>
            <w:tcW w:w="1559" w:type="dxa"/>
            <w:noWrap/>
            <w:vAlign w:val="center"/>
            <w:hideMark/>
          </w:tcPr>
          <w:p w14:paraId="31E801B4" w14:textId="348D5E7B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100 (100.0%)</w:t>
            </w:r>
          </w:p>
        </w:tc>
        <w:tc>
          <w:tcPr>
            <w:tcW w:w="2127" w:type="dxa"/>
            <w:noWrap/>
            <w:vAlign w:val="center"/>
            <w:hideMark/>
          </w:tcPr>
          <w:p w14:paraId="2C961F39" w14:textId="30793947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-0.02 (-0.04 to 0)</w:t>
            </w:r>
          </w:p>
        </w:tc>
        <w:tc>
          <w:tcPr>
            <w:tcW w:w="1984" w:type="dxa"/>
            <w:noWrap/>
            <w:vAlign w:val="center"/>
            <w:hideMark/>
          </w:tcPr>
          <w:p w14:paraId="13F11505" w14:textId="48370714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 (0 to +∞)</w:t>
            </w:r>
          </w:p>
        </w:tc>
        <w:tc>
          <w:tcPr>
            <w:tcW w:w="851" w:type="dxa"/>
            <w:noWrap/>
            <w:vAlign w:val="center"/>
            <w:hideMark/>
          </w:tcPr>
          <w:p w14:paraId="409A731B" w14:textId="671BFFC2" w:rsidR="00182EDF" w:rsidRPr="00430168" w:rsidRDefault="00182EDF" w:rsidP="00D75595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&gt; 0.99</w:t>
            </w:r>
          </w:p>
        </w:tc>
      </w:tr>
      <w:tr w:rsidR="00182EDF" w:rsidRPr="00430168" w14:paraId="446B4BFB" w14:textId="77777777" w:rsidTr="00673268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7CEE4AF1" w14:textId="3024EBAE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Emotion </w:t>
            </w:r>
          </w:p>
        </w:tc>
        <w:tc>
          <w:tcPr>
            <w:tcW w:w="1559" w:type="dxa"/>
            <w:noWrap/>
            <w:vAlign w:val="center"/>
            <w:hideMark/>
          </w:tcPr>
          <w:p w14:paraId="5CBE01B4" w14:textId="4DE907A3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112 (98.2%)</w:t>
            </w:r>
          </w:p>
        </w:tc>
        <w:tc>
          <w:tcPr>
            <w:tcW w:w="1559" w:type="dxa"/>
            <w:noWrap/>
            <w:vAlign w:val="center"/>
            <w:hideMark/>
          </w:tcPr>
          <w:p w14:paraId="00542BE3" w14:textId="4FFE6505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110 (96.5%)</w:t>
            </w:r>
          </w:p>
        </w:tc>
        <w:tc>
          <w:tcPr>
            <w:tcW w:w="2127" w:type="dxa"/>
            <w:noWrap/>
            <w:vAlign w:val="center"/>
            <w:hideMark/>
          </w:tcPr>
          <w:p w14:paraId="3824609B" w14:textId="31757A8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0.02 (-0.02 to 0.06)</w:t>
            </w:r>
          </w:p>
        </w:tc>
        <w:tc>
          <w:tcPr>
            <w:tcW w:w="1984" w:type="dxa"/>
            <w:noWrap/>
            <w:vAlign w:val="center"/>
            <w:hideMark/>
          </w:tcPr>
          <w:p w14:paraId="62D72760" w14:textId="5725E8F2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2.04 (0.37 to 11.34)</w:t>
            </w:r>
          </w:p>
        </w:tc>
        <w:tc>
          <w:tcPr>
            <w:tcW w:w="851" w:type="dxa"/>
            <w:noWrap/>
            <w:vAlign w:val="center"/>
            <w:hideMark/>
          </w:tcPr>
          <w:p w14:paraId="0F763210" w14:textId="77777777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0.417</w:t>
            </w:r>
          </w:p>
        </w:tc>
      </w:tr>
      <w:tr w:rsidR="00182EDF" w:rsidRPr="00430168" w14:paraId="75CC6BAF" w14:textId="77777777" w:rsidTr="00673268">
        <w:trPr>
          <w:trHeight w:val="397"/>
        </w:trPr>
        <w:tc>
          <w:tcPr>
            <w:tcW w:w="2127" w:type="dxa"/>
            <w:noWrap/>
            <w:vAlign w:val="center"/>
          </w:tcPr>
          <w:p w14:paraId="3360E5CB" w14:textId="77C1D088" w:rsidR="00182EDF" w:rsidRPr="00430168" w:rsidRDefault="00182EDF" w:rsidP="00B715C6">
            <w:pPr>
              <w:adjustRightInd w:val="0"/>
              <w:snapToGrid w:val="0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 xml:space="preserve">Overall </w:t>
            </w:r>
          </w:p>
        </w:tc>
        <w:tc>
          <w:tcPr>
            <w:tcW w:w="1559" w:type="dxa"/>
            <w:noWrap/>
            <w:vAlign w:val="center"/>
          </w:tcPr>
          <w:p w14:paraId="275C76BD" w14:textId="437B9769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104 (91.2%)</w:t>
            </w:r>
          </w:p>
        </w:tc>
        <w:tc>
          <w:tcPr>
            <w:tcW w:w="1559" w:type="dxa"/>
            <w:noWrap/>
            <w:vAlign w:val="center"/>
          </w:tcPr>
          <w:p w14:paraId="2143E9E8" w14:textId="3A81BE0E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97 (85.1%)</w:t>
            </w:r>
          </w:p>
        </w:tc>
        <w:tc>
          <w:tcPr>
            <w:tcW w:w="2127" w:type="dxa"/>
            <w:noWrap/>
            <w:vAlign w:val="center"/>
          </w:tcPr>
          <w:p w14:paraId="45713A6E" w14:textId="69D0BA46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0.06 (-0.02 to 0.15)</w:t>
            </w:r>
          </w:p>
        </w:tc>
        <w:tc>
          <w:tcPr>
            <w:tcW w:w="1984" w:type="dxa"/>
            <w:noWrap/>
            <w:vAlign w:val="center"/>
          </w:tcPr>
          <w:p w14:paraId="23DB5CF0" w14:textId="21E4D825" w:rsidR="00182EDF" w:rsidRPr="00430168" w:rsidRDefault="00182EDF" w:rsidP="00B715C6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1.82 (0.8</w:t>
            </w:r>
            <w:r w:rsidR="001611F4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430168">
              <w:rPr>
                <w:rFonts w:ascii="Arial" w:hAnsi="Arial" w:cs="Arial"/>
                <w:sz w:val="20"/>
                <w:szCs w:val="20"/>
              </w:rPr>
              <w:t xml:space="preserve"> to 4.17)</w:t>
            </w:r>
          </w:p>
        </w:tc>
        <w:tc>
          <w:tcPr>
            <w:tcW w:w="851" w:type="dxa"/>
            <w:noWrap/>
            <w:vAlign w:val="center"/>
          </w:tcPr>
          <w:p w14:paraId="318927E6" w14:textId="0807C37F" w:rsidR="00182EDF" w:rsidRPr="00430168" w:rsidRDefault="00182EDF" w:rsidP="008E03BD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168"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</w:tr>
    </w:tbl>
    <w:p w14:paraId="4CE03BF5" w14:textId="4B9C8515" w:rsidR="00F00BA8" w:rsidRPr="00430168" w:rsidRDefault="00316797" w:rsidP="008E03BD">
      <w:pPr>
        <w:widowControl/>
        <w:snapToGrid w:val="0"/>
        <w:spacing w:beforeLines="50" w:before="156" w:line="360" w:lineRule="auto"/>
        <w:rPr>
          <w:rFonts w:ascii="Arial" w:eastAsia="宋体" w:hAnsi="Arial" w:cs="Arial"/>
          <w:bCs/>
          <w:kern w:val="0"/>
          <w:sz w:val="20"/>
          <w:szCs w:val="20"/>
          <w14:ligatures w14:val="none"/>
        </w:rPr>
      </w:pPr>
      <w:r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 xml:space="preserve">Note: </w:t>
      </w:r>
      <w:r w:rsidR="007C1C0F"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Risk differences and odd ratio are unadjusted estimates.</w:t>
      </w:r>
    </w:p>
    <w:p w14:paraId="2ED39FDF" w14:textId="43A7FDF8" w:rsidR="005E3730" w:rsidRDefault="00316797" w:rsidP="008E03B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kern w:val="0"/>
          <w:sz w:val="24"/>
          <w:szCs w:val="24"/>
          <w14:ligatures w14:val="none"/>
        </w:rPr>
      </w:pPr>
      <w:r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Abbreviation</w:t>
      </w:r>
      <w:r w:rsidR="00F00BA8"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s</w:t>
      </w:r>
      <w:r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: ADL, activities of daily living</w:t>
      </w:r>
      <w:r w:rsidR="00F00BA8"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; CI, confidence interval.</w:t>
      </w:r>
      <w:r w:rsidR="005E3730">
        <w:rPr>
          <w:rFonts w:ascii="Times New Roman" w:eastAsia="宋体" w:hAnsi="Times New Roman" w:cs="Times New Roman"/>
          <w:bCs/>
          <w:kern w:val="0"/>
          <w:sz w:val="24"/>
          <w:szCs w:val="24"/>
          <w14:ligatures w14:val="none"/>
        </w:rPr>
        <w:br w:type="page"/>
      </w:r>
    </w:p>
    <w:p w14:paraId="1EC6E704" w14:textId="688F7A9F" w:rsidR="004C04C6" w:rsidRDefault="005E3730" w:rsidP="005E3730">
      <w:pPr>
        <w:widowControl/>
        <w:adjustRightInd w:val="0"/>
        <w:snapToGrid w:val="0"/>
        <w:spacing w:afterLines="50" w:after="156" w:line="360" w:lineRule="auto"/>
        <w:jc w:val="center"/>
        <w:rPr>
          <w:rFonts w:ascii="Times New Roman" w:eastAsia="宋体" w:hAnsi="Times New Roman" w:cs="Times New Roman"/>
          <w:bCs/>
          <w:kern w:val="0"/>
          <w:sz w:val="24"/>
          <w:szCs w:val="24"/>
          <w14:ligatures w14:val="none"/>
        </w:rPr>
      </w:pPr>
      <w:r w:rsidRPr="005E373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CD70AB" wp14:editId="05FD679E">
            <wp:extent cx="5711474" cy="4142969"/>
            <wp:effectExtent l="0" t="0" r="3810" b="0"/>
            <wp:docPr id="13826339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12" cy="41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49A1" w14:textId="3CE0A835" w:rsidR="005E3730" w:rsidRPr="00430168" w:rsidRDefault="005E3730" w:rsidP="005E3730">
      <w:pPr>
        <w:widowControl/>
        <w:adjustRightInd w:val="0"/>
        <w:snapToGrid w:val="0"/>
        <w:spacing w:line="480" w:lineRule="auto"/>
        <w:rPr>
          <w:rFonts w:ascii="Arial" w:eastAsia="宋体" w:hAnsi="Arial" w:cs="Arial"/>
          <w:bCs/>
          <w:kern w:val="0"/>
          <w:sz w:val="20"/>
          <w:szCs w:val="20"/>
          <w14:ligatures w14:val="none"/>
        </w:rPr>
      </w:pPr>
      <w:r w:rsidRPr="00430168">
        <w:rPr>
          <w:rFonts w:ascii="Arial" w:eastAsia="宋体" w:hAnsi="Arial" w:cs="Arial"/>
          <w:b/>
          <w:kern w:val="0"/>
          <w:sz w:val="20"/>
          <w:szCs w:val="20"/>
          <w14:ligatures w14:val="none"/>
        </w:rPr>
        <w:t>Supplementary Figure 1.</w:t>
      </w:r>
      <w:r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 xml:space="preserve"> Kaplan-Meier curves for discharge time based on Modified Postanesthesia Discharge Scoring System (PADSS) score ≥ 9.</w:t>
      </w:r>
    </w:p>
    <w:p w14:paraId="4DA31BD9" w14:textId="17E94C74" w:rsidR="005E3730" w:rsidRPr="00430168" w:rsidRDefault="005E3730" w:rsidP="005E3730">
      <w:pPr>
        <w:widowControl/>
        <w:adjustRightInd w:val="0"/>
        <w:snapToGrid w:val="0"/>
        <w:spacing w:line="480" w:lineRule="auto"/>
        <w:rPr>
          <w:rFonts w:ascii="Arial" w:eastAsia="宋体" w:hAnsi="Arial" w:cs="Arial"/>
          <w:bCs/>
          <w:kern w:val="0"/>
          <w:sz w:val="20"/>
          <w:szCs w:val="20"/>
          <w14:ligatures w14:val="none"/>
        </w:rPr>
      </w:pPr>
      <w:r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Note: Cumulative discharge probability over time was analyzed using Kaplan-Meier survival analysis. The log-rank test was used to compare time-to-event distributions between groups. Hazard ratios with 95% confidence intervals were calculated using a Cox proportional hazards model. Median time to discharge readiness was similar between groups (remimazolam: 23.7 min, 95% CI: 23.0–24.0; propofol: 24.0 min, 95% CI: 23.0–25.0; Hazard ratio: 1.23, 95% CI: 0.94–1.59; log-rank p = 0.120). No significant differences were observed between the remimazolam and propofol groups.</w:t>
      </w:r>
    </w:p>
    <w:p w14:paraId="6F59E675" w14:textId="6C26AA92" w:rsidR="005E3730" w:rsidRPr="00430168" w:rsidRDefault="005E3730" w:rsidP="005E3730">
      <w:pPr>
        <w:widowControl/>
        <w:adjustRightInd w:val="0"/>
        <w:snapToGrid w:val="0"/>
        <w:spacing w:line="480" w:lineRule="auto"/>
        <w:rPr>
          <w:rFonts w:ascii="Arial" w:eastAsia="宋体" w:hAnsi="Arial" w:cs="Arial"/>
          <w:bCs/>
          <w:kern w:val="0"/>
          <w:sz w:val="20"/>
          <w:szCs w:val="20"/>
          <w14:ligatures w14:val="none"/>
        </w:rPr>
      </w:pPr>
      <w:r w:rsidRPr="00430168">
        <w:rPr>
          <w:rFonts w:ascii="Arial" w:eastAsia="宋体" w:hAnsi="Arial" w:cs="Arial"/>
          <w:bCs/>
          <w:kern w:val="0"/>
          <w:sz w:val="20"/>
          <w:szCs w:val="20"/>
          <w14:ligatures w14:val="none"/>
        </w:rPr>
        <w:t>Abbreviations: CI, confidence interval; PADSS, Modified Postanesthesia Discharge Scoring System.</w:t>
      </w:r>
    </w:p>
    <w:sectPr w:rsidR="005E3730" w:rsidRPr="00430168" w:rsidSect="00120FA9">
      <w:pgSz w:w="11906" w:h="16838"/>
      <w:pgMar w:top="720" w:right="851" w:bottom="72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590D7" w14:textId="77777777" w:rsidR="00DB5632" w:rsidRDefault="00DB5632" w:rsidP="004C04C6">
      <w:pPr>
        <w:rPr>
          <w:rFonts w:hint="eastAsia"/>
        </w:rPr>
      </w:pPr>
      <w:r>
        <w:separator/>
      </w:r>
    </w:p>
  </w:endnote>
  <w:endnote w:type="continuationSeparator" w:id="0">
    <w:p w14:paraId="58DBACE6" w14:textId="77777777" w:rsidR="00DB5632" w:rsidRDefault="00DB5632" w:rsidP="004C04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A409" w14:textId="77777777" w:rsidR="00DB5632" w:rsidRDefault="00DB5632" w:rsidP="004C04C6">
      <w:pPr>
        <w:rPr>
          <w:rFonts w:hint="eastAsia"/>
        </w:rPr>
      </w:pPr>
      <w:r>
        <w:separator/>
      </w:r>
    </w:p>
  </w:footnote>
  <w:footnote w:type="continuationSeparator" w:id="0">
    <w:p w14:paraId="108C9533" w14:textId="77777777" w:rsidR="00DB5632" w:rsidRDefault="00DB5632" w:rsidP="004C04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5178D"/>
    <w:multiLevelType w:val="hybridMultilevel"/>
    <w:tmpl w:val="622EF898"/>
    <w:lvl w:ilvl="0" w:tplc="95D8EDB2">
      <w:numFmt w:val="bullet"/>
      <w:lvlText w:val="&gt;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B86522"/>
    <w:multiLevelType w:val="hybridMultilevel"/>
    <w:tmpl w:val="28360132"/>
    <w:lvl w:ilvl="0" w:tplc="DB8C3352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4875115">
    <w:abstractNumId w:val="1"/>
  </w:num>
  <w:num w:numId="2" w16cid:durableId="183830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C6"/>
    <w:rsid w:val="00033742"/>
    <w:rsid w:val="0007023A"/>
    <w:rsid w:val="00086449"/>
    <w:rsid w:val="000A303A"/>
    <w:rsid w:val="000B2F90"/>
    <w:rsid w:val="000C6846"/>
    <w:rsid w:val="000D6E59"/>
    <w:rsid w:val="00104FFF"/>
    <w:rsid w:val="00120FA9"/>
    <w:rsid w:val="001611F4"/>
    <w:rsid w:val="00163D7E"/>
    <w:rsid w:val="001724E0"/>
    <w:rsid w:val="00182EDF"/>
    <w:rsid w:val="00190F2D"/>
    <w:rsid w:val="001D0693"/>
    <w:rsid w:val="00207BFF"/>
    <w:rsid w:val="00225153"/>
    <w:rsid w:val="002343A5"/>
    <w:rsid w:val="00243675"/>
    <w:rsid w:val="002534BE"/>
    <w:rsid w:val="00254BBA"/>
    <w:rsid w:val="002A5F5C"/>
    <w:rsid w:val="00313099"/>
    <w:rsid w:val="0031362B"/>
    <w:rsid w:val="00316797"/>
    <w:rsid w:val="003437F0"/>
    <w:rsid w:val="00364DA5"/>
    <w:rsid w:val="0038075D"/>
    <w:rsid w:val="003E7FD1"/>
    <w:rsid w:val="00430168"/>
    <w:rsid w:val="00433F79"/>
    <w:rsid w:val="00491665"/>
    <w:rsid w:val="004930FD"/>
    <w:rsid w:val="004A404D"/>
    <w:rsid w:val="004A6DD4"/>
    <w:rsid w:val="004C04C6"/>
    <w:rsid w:val="004D2183"/>
    <w:rsid w:val="005249D2"/>
    <w:rsid w:val="00544233"/>
    <w:rsid w:val="005E3730"/>
    <w:rsid w:val="005F469B"/>
    <w:rsid w:val="00626B5E"/>
    <w:rsid w:val="0063127F"/>
    <w:rsid w:val="006664A9"/>
    <w:rsid w:val="00673268"/>
    <w:rsid w:val="006D5483"/>
    <w:rsid w:val="00730054"/>
    <w:rsid w:val="007378DD"/>
    <w:rsid w:val="00753F56"/>
    <w:rsid w:val="007612F5"/>
    <w:rsid w:val="007A17F9"/>
    <w:rsid w:val="007B7F9B"/>
    <w:rsid w:val="007C0C65"/>
    <w:rsid w:val="007C0DDB"/>
    <w:rsid w:val="007C1C0F"/>
    <w:rsid w:val="00871C0F"/>
    <w:rsid w:val="00877D90"/>
    <w:rsid w:val="008C5E4A"/>
    <w:rsid w:val="008E03BD"/>
    <w:rsid w:val="00916C4B"/>
    <w:rsid w:val="0097312F"/>
    <w:rsid w:val="0098083E"/>
    <w:rsid w:val="00991BBA"/>
    <w:rsid w:val="0099225F"/>
    <w:rsid w:val="00995F77"/>
    <w:rsid w:val="009A5175"/>
    <w:rsid w:val="009C633B"/>
    <w:rsid w:val="009F030C"/>
    <w:rsid w:val="00A551C3"/>
    <w:rsid w:val="00A964D1"/>
    <w:rsid w:val="00AC3EAA"/>
    <w:rsid w:val="00AD5FC5"/>
    <w:rsid w:val="00B066F3"/>
    <w:rsid w:val="00B35045"/>
    <w:rsid w:val="00B715C6"/>
    <w:rsid w:val="00B8554B"/>
    <w:rsid w:val="00B86D08"/>
    <w:rsid w:val="00B969D5"/>
    <w:rsid w:val="00BA31B2"/>
    <w:rsid w:val="00BE2BE3"/>
    <w:rsid w:val="00C17441"/>
    <w:rsid w:val="00C368E7"/>
    <w:rsid w:val="00CB69DD"/>
    <w:rsid w:val="00CF1C5A"/>
    <w:rsid w:val="00D05D4A"/>
    <w:rsid w:val="00D13C25"/>
    <w:rsid w:val="00D140BB"/>
    <w:rsid w:val="00D3678D"/>
    <w:rsid w:val="00D722D6"/>
    <w:rsid w:val="00D75595"/>
    <w:rsid w:val="00D95E38"/>
    <w:rsid w:val="00DA06F8"/>
    <w:rsid w:val="00DA13BA"/>
    <w:rsid w:val="00DB49D4"/>
    <w:rsid w:val="00DB5632"/>
    <w:rsid w:val="00DC4832"/>
    <w:rsid w:val="00DE6042"/>
    <w:rsid w:val="00DF6DF2"/>
    <w:rsid w:val="00E22AD0"/>
    <w:rsid w:val="00E468D3"/>
    <w:rsid w:val="00E57267"/>
    <w:rsid w:val="00EB5C4B"/>
    <w:rsid w:val="00EF5321"/>
    <w:rsid w:val="00F00BA8"/>
    <w:rsid w:val="00F042E5"/>
    <w:rsid w:val="00F05624"/>
    <w:rsid w:val="00F13B0C"/>
    <w:rsid w:val="00F23D46"/>
    <w:rsid w:val="00F84555"/>
    <w:rsid w:val="00F8659B"/>
    <w:rsid w:val="00FB450E"/>
    <w:rsid w:val="00FD7546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331F"/>
  <w15:chartTrackingRefBased/>
  <w15:docId w15:val="{092A3350-CCDD-4EE1-A4BD-75B3EDF4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4C04C6"/>
    <w:pPr>
      <w:widowControl/>
      <w:jc w:val="left"/>
    </w:pPr>
    <w:rPr>
      <w:rFonts w:ascii="Arial" w:eastAsia="宋体" w:hAnsi="Arial" w:cs="Arial"/>
      <w:noProof/>
      <w:kern w:val="0"/>
      <w:sz w:val="20"/>
      <w:szCs w:val="24"/>
      <w:lang w:eastAsia="en-US"/>
      <w14:ligatures w14:val="none"/>
    </w:rPr>
  </w:style>
  <w:style w:type="character" w:customStyle="1" w:styleId="EndNoteBibliographyChar">
    <w:name w:val="EndNote Bibliography Char"/>
    <w:link w:val="EndNoteBibliography"/>
    <w:rsid w:val="004C04C6"/>
    <w:rPr>
      <w:rFonts w:ascii="Arial" w:eastAsia="宋体" w:hAnsi="Arial" w:cs="Arial"/>
      <w:noProof/>
      <w:kern w:val="0"/>
      <w:sz w:val="20"/>
      <w:szCs w:val="24"/>
      <w:lang w:eastAsia="en-US"/>
      <w14:ligatures w14:val="none"/>
    </w:rPr>
  </w:style>
  <w:style w:type="table" w:styleId="a3">
    <w:name w:val="Table Grid"/>
    <w:basedOn w:val="a1"/>
    <w:uiPriority w:val="39"/>
    <w:rsid w:val="004C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4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04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0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04C6"/>
    <w:rPr>
      <w:sz w:val="18"/>
      <w:szCs w:val="18"/>
    </w:rPr>
  </w:style>
  <w:style w:type="paragraph" w:styleId="a8">
    <w:name w:val="List Paragraph"/>
    <w:basedOn w:val="a"/>
    <w:uiPriority w:val="34"/>
    <w:qFormat/>
    <w:rsid w:val="008E0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EBB0-5B1F-4AAF-9B65-57F8B20A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Wenjun Lin</dc:creator>
  <cp:keywords/>
  <dc:description/>
  <cp:lastModifiedBy>Yusheng Yao</cp:lastModifiedBy>
  <cp:revision>31</cp:revision>
  <dcterms:created xsi:type="dcterms:W3CDTF">2024-09-18T14:26:00Z</dcterms:created>
  <dcterms:modified xsi:type="dcterms:W3CDTF">2024-11-26T12:00:00Z</dcterms:modified>
</cp:coreProperties>
</file>