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8B6E9EC" w14:textId="77777777" w:rsidR="00F04F17" w:rsidRPr="007C4195" w:rsidRDefault="007C4195">
      <w:pPr>
        <w:rPr>
          <w:color w:val="000000"/>
        </w:rPr>
      </w:pPr>
      <w:bookmarkStart w:id="0" w:name="OLE_LINK5"/>
      <w:r w:rsidRPr="007C4195">
        <w:rPr>
          <w:rFonts w:ascii="Arial" w:eastAsia="Times New Roman" w:hAnsi="Arial" w:cs="Arial" w:hint="eastAsia"/>
          <w:b/>
          <w:bCs/>
          <w:color w:val="000000"/>
          <w:kern w:val="0"/>
          <w:sz w:val="20"/>
        </w:rPr>
        <w:t>Supplemental Figure.1</w:t>
      </w:r>
      <w:r w:rsidRPr="007C4195">
        <w:rPr>
          <w:rFonts w:hint="eastAsia"/>
          <w:color w:val="000000"/>
        </w:rPr>
        <w:t xml:space="preserve"> </w:t>
      </w:r>
      <w:r w:rsidRPr="007C4195">
        <w:rPr>
          <w:rFonts w:ascii="Arial" w:eastAsia="Times New Roman" w:hAnsi="Arial" w:cs="Arial" w:hint="eastAsia"/>
          <w:color w:val="000000"/>
          <w:kern w:val="0"/>
          <w:sz w:val="20"/>
        </w:rPr>
        <w:t>The ROC Curve of CAR,PLR,NLR,IINS and CALLY for overall survival(OS) in the training cohort</w:t>
      </w:r>
      <w:r w:rsidRPr="007C4195">
        <w:rPr>
          <w:rFonts w:hint="eastAsia"/>
          <w:color w:val="000000"/>
        </w:rPr>
        <w:t>.</w:t>
      </w:r>
    </w:p>
    <w:p w14:paraId="2C38F06E" w14:textId="77777777" w:rsidR="00F04F17" w:rsidRPr="007C4195" w:rsidRDefault="007C4195">
      <w:pPr>
        <w:rPr>
          <w:rFonts w:ascii="Arial" w:eastAsia="Times New Roman" w:hAnsi="Arial" w:cs="Arial"/>
          <w:color w:val="000000"/>
          <w:kern w:val="0"/>
          <w:sz w:val="20"/>
        </w:rPr>
      </w:pPr>
      <w:r w:rsidRPr="007C4195">
        <w:rPr>
          <w:rFonts w:hint="eastAsia"/>
          <w:color w:val="00000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1278255</wp:posOffset>
            </wp:positionH>
            <wp:positionV relativeFrom="paragraph">
              <wp:posOffset>36195</wp:posOffset>
            </wp:positionV>
            <wp:extent cx="2633345" cy="2127885"/>
            <wp:effectExtent l="0" t="0" r="3175" b="5715"/>
            <wp:wrapTopAndBottom/>
            <wp:docPr id="5" name="图片 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33345" cy="2127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C4195">
        <w:rPr>
          <w:rFonts w:hint="eastAsia"/>
          <w:color w:val="000000"/>
        </w:rPr>
        <w:br/>
      </w:r>
      <w:bookmarkStart w:id="1" w:name="OLE_LINK3"/>
      <w:r w:rsidRPr="007C4195">
        <w:rPr>
          <w:rFonts w:ascii="Arial" w:eastAsia="Times New Roman" w:hAnsi="Arial" w:cs="Arial" w:hint="eastAsia"/>
          <w:b/>
          <w:bCs/>
          <w:color w:val="000000"/>
          <w:kern w:val="0"/>
          <w:sz w:val="20"/>
        </w:rPr>
        <w:t xml:space="preserve">Abbreviations: </w:t>
      </w:r>
      <w:r w:rsidRPr="007C4195">
        <w:rPr>
          <w:rFonts w:ascii="Arial" w:eastAsia="Times New Roman" w:hAnsi="Arial" w:cs="Arial" w:hint="eastAsia"/>
          <w:color w:val="000000"/>
          <w:kern w:val="0"/>
          <w:sz w:val="20"/>
        </w:rPr>
        <w:t>ROC</w:t>
      </w:r>
      <w:bookmarkStart w:id="2" w:name="OLE_LINK1"/>
      <w:r w:rsidRPr="007C4195">
        <w:rPr>
          <w:rFonts w:ascii="Arial" w:eastAsia="Times New Roman" w:hAnsi="Arial" w:cs="Arial" w:hint="eastAsia"/>
          <w:color w:val="000000"/>
          <w:kern w:val="0"/>
          <w:sz w:val="20"/>
        </w:rPr>
        <w:t>,</w:t>
      </w:r>
      <w:bookmarkEnd w:id="2"/>
      <w:r w:rsidRPr="007C4195">
        <w:rPr>
          <w:rFonts w:ascii="Arial" w:eastAsia="Times New Roman" w:hAnsi="Arial" w:cs="Arial" w:hint="eastAsia"/>
          <w:color w:val="000000"/>
          <w:kern w:val="0"/>
          <w:sz w:val="20"/>
        </w:rPr>
        <w:t xml:space="preserve"> receiver operating characteristic; CAR, CRP/ALB;PLR, PLT/LYM; NLR</w:t>
      </w:r>
      <w:bookmarkStart w:id="3" w:name="OLE_LINK12"/>
      <w:r w:rsidRPr="007C4195">
        <w:rPr>
          <w:rFonts w:ascii="Arial" w:eastAsia="Times New Roman" w:hAnsi="Arial" w:cs="Arial" w:hint="eastAsia"/>
          <w:color w:val="000000"/>
          <w:kern w:val="0"/>
          <w:sz w:val="20"/>
        </w:rPr>
        <w:t>, NEU/LYM</w:t>
      </w:r>
      <w:bookmarkEnd w:id="3"/>
      <w:r w:rsidRPr="007C4195">
        <w:rPr>
          <w:rFonts w:ascii="Arial" w:eastAsia="Times New Roman" w:hAnsi="Arial" w:cs="Arial" w:hint="eastAsia"/>
          <w:color w:val="000000"/>
          <w:kern w:val="0"/>
          <w:sz w:val="20"/>
        </w:rPr>
        <w:t>; IINS, inflammation-immunity-nutrition score; CALLY, high-sensitivity C-reactive protein-albumin-lymphocyte index.</w:t>
      </w:r>
    </w:p>
    <w:bookmarkEnd w:id="1"/>
    <w:p w14:paraId="1F6C82CE" w14:textId="77777777" w:rsidR="00F04F17" w:rsidRPr="007C4195" w:rsidRDefault="00F04F17">
      <w:pPr>
        <w:rPr>
          <w:color w:val="000000"/>
        </w:rPr>
      </w:pPr>
    </w:p>
    <w:p w14:paraId="20E2E052" w14:textId="77777777" w:rsidR="00F04F17" w:rsidRPr="007C4195" w:rsidRDefault="007C4195">
      <w:pPr>
        <w:rPr>
          <w:rFonts w:ascii="Arial" w:eastAsia="Times New Roman" w:hAnsi="Arial" w:cs="Arial"/>
          <w:color w:val="000000"/>
          <w:kern w:val="0"/>
          <w:sz w:val="20"/>
        </w:rPr>
      </w:pPr>
      <w:bookmarkStart w:id="4" w:name="OLE_LINK6"/>
      <w:r w:rsidRPr="007C4195">
        <w:rPr>
          <w:rFonts w:ascii="Arial" w:eastAsia="Times New Roman" w:hAnsi="Arial" w:cs="Arial" w:hint="eastAsia"/>
          <w:b/>
          <w:bCs/>
          <w:color w:val="000000"/>
          <w:kern w:val="0"/>
          <w:sz w:val="20"/>
        </w:rPr>
        <w:t xml:space="preserve">Supplemental </w:t>
      </w:r>
      <w:r w:rsidRPr="007C4195">
        <w:rPr>
          <w:rFonts w:ascii="Arial" w:eastAsia="Times New Roman" w:hAnsi="Arial" w:cs="Arial"/>
          <w:b/>
          <w:bCs/>
          <w:color w:val="000000"/>
          <w:kern w:val="0"/>
          <w:sz w:val="20"/>
        </w:rPr>
        <w:t>T</w:t>
      </w:r>
      <w:r w:rsidRPr="007C4195">
        <w:rPr>
          <w:rFonts w:ascii="Arial" w:eastAsia="Times New Roman" w:hAnsi="Arial" w:cs="Arial" w:hint="eastAsia"/>
          <w:b/>
          <w:bCs/>
          <w:color w:val="000000"/>
          <w:kern w:val="0"/>
          <w:sz w:val="20"/>
        </w:rPr>
        <w:t>able.1</w:t>
      </w:r>
      <w:bookmarkEnd w:id="4"/>
      <w:r w:rsidRPr="007C4195">
        <w:rPr>
          <w:rFonts w:hint="eastAsia"/>
          <w:color w:val="000000"/>
        </w:rPr>
        <w:t xml:space="preserve"> </w:t>
      </w:r>
      <w:r w:rsidRPr="007C4195">
        <w:rPr>
          <w:rFonts w:ascii="Arial" w:eastAsia="Times New Roman" w:hAnsi="Arial" w:cs="Arial" w:hint="eastAsia"/>
          <w:color w:val="000000"/>
          <w:kern w:val="0"/>
          <w:sz w:val="20"/>
        </w:rPr>
        <w:t>The AUC of CAR,PLR,NLR,IINS and CALLY for overall survival(OS) in the training cohort</w:t>
      </w:r>
    </w:p>
    <w:tbl>
      <w:tblPr>
        <w:tblStyle w:val="TableGrid"/>
        <w:tblpPr w:leftFromText="180" w:rightFromText="180" w:vertAnchor="text" w:horzAnchor="page" w:tblpXSpec="center" w:tblpY="280"/>
        <w:tblOverlap w:val="never"/>
        <w:tblW w:w="8963" w:type="dxa"/>
        <w:jc w:val="center"/>
        <w:tblBorders>
          <w:left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1"/>
        <w:gridCol w:w="2301"/>
        <w:gridCol w:w="1928"/>
        <w:gridCol w:w="1342"/>
        <w:gridCol w:w="1253"/>
        <w:gridCol w:w="1008"/>
      </w:tblGrid>
      <w:tr w:rsidR="00F04F17" w:rsidRPr="007C4195" w14:paraId="3B8351B9" w14:textId="77777777" w:rsidTr="007C4195">
        <w:trPr>
          <w:trHeight w:val="336"/>
          <w:jc w:val="center"/>
        </w:trPr>
        <w:tc>
          <w:tcPr>
            <w:tcW w:w="1131" w:type="dxa"/>
            <w:vAlign w:val="center"/>
          </w:tcPr>
          <w:p w14:paraId="4CFCBE1C" w14:textId="77777777" w:rsidR="00F04F17" w:rsidRPr="007C4195" w:rsidRDefault="007C4195">
            <w:pP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</w:rPr>
            </w:pPr>
            <w:bookmarkStart w:id="5" w:name="OLE_LINK2" w:colFirst="0" w:colLast="4"/>
            <w:r w:rsidRPr="007C419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</w:rPr>
              <w:t>Variable</w:t>
            </w:r>
          </w:p>
        </w:tc>
        <w:tc>
          <w:tcPr>
            <w:tcW w:w="2301" w:type="dxa"/>
            <w:tcBorders>
              <w:bottom w:val="single" w:sz="4" w:space="0" w:color="auto"/>
            </w:tcBorders>
          </w:tcPr>
          <w:p w14:paraId="2660A85A" w14:textId="77777777" w:rsidR="00F04F17" w:rsidRPr="007C4195" w:rsidRDefault="007C4195">
            <w:pP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</w:rPr>
            </w:pPr>
            <w:r w:rsidRPr="007C419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</w:rPr>
              <w:t>Calculations</w:t>
            </w:r>
          </w:p>
        </w:tc>
        <w:tc>
          <w:tcPr>
            <w:tcW w:w="1928" w:type="dxa"/>
            <w:tcBorders>
              <w:bottom w:val="single" w:sz="4" w:space="0" w:color="auto"/>
            </w:tcBorders>
          </w:tcPr>
          <w:p w14:paraId="6259D700" w14:textId="77777777" w:rsidR="00F04F17" w:rsidRPr="007C4195" w:rsidRDefault="007C4195">
            <w:pP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</w:rPr>
            </w:pPr>
            <w:bookmarkStart w:id="6" w:name="OLE_LINK13"/>
            <w:r w:rsidRPr="007C419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</w:rPr>
              <w:t>AUC</w:t>
            </w:r>
            <w:bookmarkEnd w:id="6"/>
            <w:r w:rsidRPr="007C419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</w:rPr>
              <w:t xml:space="preserve"> (95% CI)</w:t>
            </w:r>
          </w:p>
        </w:tc>
        <w:tc>
          <w:tcPr>
            <w:tcW w:w="1342" w:type="dxa"/>
            <w:tcBorders>
              <w:bottom w:val="single" w:sz="4" w:space="0" w:color="auto"/>
            </w:tcBorders>
          </w:tcPr>
          <w:p w14:paraId="54E37EFB" w14:textId="77777777" w:rsidR="00F04F17" w:rsidRPr="007C4195" w:rsidRDefault="007C4195">
            <w:pP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</w:rPr>
            </w:pPr>
            <w:r w:rsidRPr="007C419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</w:rPr>
              <w:t>Specificity</w:t>
            </w:r>
          </w:p>
        </w:tc>
        <w:tc>
          <w:tcPr>
            <w:tcW w:w="1253" w:type="dxa"/>
            <w:tcBorders>
              <w:bottom w:val="single" w:sz="4" w:space="0" w:color="auto"/>
            </w:tcBorders>
          </w:tcPr>
          <w:p w14:paraId="492133B3" w14:textId="77777777" w:rsidR="00F04F17" w:rsidRPr="007C4195" w:rsidRDefault="007C4195">
            <w:pP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</w:rPr>
            </w:pPr>
            <w:r w:rsidRPr="007C419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</w:rPr>
              <w:t xml:space="preserve">Sensitivity </w:t>
            </w:r>
          </w:p>
        </w:tc>
        <w:tc>
          <w:tcPr>
            <w:tcW w:w="1008" w:type="dxa"/>
            <w:tcBorders>
              <w:bottom w:val="single" w:sz="4" w:space="0" w:color="auto"/>
            </w:tcBorders>
          </w:tcPr>
          <w:p w14:paraId="3F3612BC" w14:textId="77777777" w:rsidR="00F04F17" w:rsidRPr="007C4195" w:rsidRDefault="007C4195">
            <w:pP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</w:rPr>
            </w:pPr>
            <w:r w:rsidRPr="007C4195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kern w:val="0"/>
                <w:sz w:val="20"/>
              </w:rPr>
              <w:t xml:space="preserve">p </w:t>
            </w:r>
            <w:r w:rsidRPr="007C419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</w:rPr>
              <w:t>value</w:t>
            </w:r>
          </w:p>
        </w:tc>
      </w:tr>
      <w:tr w:rsidR="00F04F17" w:rsidRPr="007C4195" w14:paraId="78A5A3E6" w14:textId="77777777" w:rsidTr="007C4195">
        <w:trPr>
          <w:jc w:val="center"/>
        </w:trPr>
        <w:tc>
          <w:tcPr>
            <w:tcW w:w="1131" w:type="dxa"/>
            <w:tcBorders>
              <w:top w:val="nil"/>
              <w:bottom w:val="nil"/>
            </w:tcBorders>
          </w:tcPr>
          <w:p w14:paraId="5C0B74C0" w14:textId="77777777" w:rsidR="00F04F17" w:rsidRPr="007C4195" w:rsidRDefault="007C4195">
            <w:pP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</w:rPr>
            </w:pPr>
            <w:r w:rsidRPr="007C4195">
              <w:rPr>
                <w:rFonts w:ascii="Arial" w:eastAsia="Times New Roman" w:hAnsi="Arial" w:cs="Arial" w:hint="eastAsia"/>
                <w:b/>
                <w:bCs/>
                <w:color w:val="000000"/>
                <w:kern w:val="0"/>
                <w:sz w:val="20"/>
              </w:rPr>
              <w:t>IINS</w:t>
            </w:r>
          </w:p>
        </w:tc>
        <w:tc>
          <w:tcPr>
            <w:tcW w:w="2301" w:type="dxa"/>
            <w:tcBorders>
              <w:top w:val="nil"/>
              <w:bottom w:val="nil"/>
            </w:tcBorders>
          </w:tcPr>
          <w:p w14:paraId="028A0A73" w14:textId="77777777" w:rsidR="00F04F17" w:rsidRPr="007C4195" w:rsidRDefault="00F04F17">
            <w:pPr>
              <w:rPr>
                <w:rFonts w:ascii="Arial" w:eastAsia="Times New Roman" w:hAnsi="Arial" w:cs="Arial"/>
                <w:color w:val="000000"/>
                <w:kern w:val="0"/>
                <w:sz w:val="20"/>
              </w:rPr>
            </w:pPr>
          </w:p>
        </w:tc>
        <w:tc>
          <w:tcPr>
            <w:tcW w:w="1928" w:type="dxa"/>
            <w:tcBorders>
              <w:top w:val="nil"/>
              <w:bottom w:val="nil"/>
            </w:tcBorders>
          </w:tcPr>
          <w:p w14:paraId="190F2ABC" w14:textId="77777777" w:rsidR="00F04F17" w:rsidRPr="007C4195" w:rsidRDefault="007C4195">
            <w:pPr>
              <w:rPr>
                <w:rFonts w:ascii="Arial" w:eastAsia="Times New Roman" w:hAnsi="Arial" w:cs="Arial"/>
                <w:color w:val="000000"/>
                <w:kern w:val="0"/>
                <w:sz w:val="20"/>
              </w:rPr>
            </w:pPr>
            <w:r w:rsidRPr="007C4195">
              <w:rPr>
                <w:rFonts w:ascii="Arial" w:eastAsia="Times New Roman" w:hAnsi="Arial" w:cs="Arial" w:hint="eastAsia"/>
                <w:color w:val="000000"/>
                <w:kern w:val="0"/>
                <w:sz w:val="20"/>
              </w:rPr>
              <w:t>0.</w:t>
            </w:r>
            <w:r w:rsidRPr="007C4195">
              <w:rPr>
                <w:rFonts w:ascii="Arial" w:eastAsia="Times New Roman" w:hAnsi="Arial" w:cs="Arial"/>
                <w:color w:val="000000"/>
                <w:kern w:val="0"/>
                <w:sz w:val="20"/>
              </w:rPr>
              <w:t>602</w:t>
            </w:r>
            <w:r w:rsidRPr="007C4195">
              <w:rPr>
                <w:rFonts w:ascii="Arial" w:eastAsia="Times New Roman" w:hAnsi="Arial" w:cs="Arial" w:hint="eastAsia"/>
                <w:color w:val="000000"/>
                <w:kern w:val="0"/>
                <w:sz w:val="20"/>
              </w:rPr>
              <w:t>(0.533,0.672)</w:t>
            </w:r>
          </w:p>
        </w:tc>
        <w:tc>
          <w:tcPr>
            <w:tcW w:w="1342" w:type="dxa"/>
            <w:tcBorders>
              <w:top w:val="nil"/>
              <w:bottom w:val="nil"/>
            </w:tcBorders>
          </w:tcPr>
          <w:p w14:paraId="7A6DCCED" w14:textId="77777777" w:rsidR="00F04F17" w:rsidRPr="007C4195" w:rsidRDefault="007C4195">
            <w:pPr>
              <w:rPr>
                <w:rFonts w:ascii="Arial" w:eastAsia="Times New Roman" w:hAnsi="Arial" w:cs="Arial"/>
                <w:color w:val="000000"/>
                <w:kern w:val="0"/>
                <w:sz w:val="20"/>
              </w:rPr>
            </w:pPr>
            <w:r w:rsidRPr="007C4195">
              <w:rPr>
                <w:rFonts w:ascii="Arial" w:eastAsia="Times New Roman" w:hAnsi="Arial" w:cs="Arial" w:hint="eastAsia"/>
                <w:color w:val="000000"/>
                <w:kern w:val="0"/>
                <w:sz w:val="20"/>
              </w:rPr>
              <w:t>0.165</w:t>
            </w:r>
          </w:p>
        </w:tc>
        <w:tc>
          <w:tcPr>
            <w:tcW w:w="1253" w:type="dxa"/>
            <w:tcBorders>
              <w:top w:val="nil"/>
              <w:bottom w:val="nil"/>
            </w:tcBorders>
          </w:tcPr>
          <w:p w14:paraId="4CA8C2E4" w14:textId="77777777" w:rsidR="00F04F17" w:rsidRPr="007C4195" w:rsidRDefault="007C4195">
            <w:pPr>
              <w:rPr>
                <w:rFonts w:ascii="Arial" w:eastAsia="Times New Roman" w:hAnsi="Arial" w:cs="Arial"/>
                <w:color w:val="000000"/>
                <w:kern w:val="0"/>
                <w:sz w:val="20"/>
              </w:rPr>
            </w:pPr>
            <w:r w:rsidRPr="007C4195">
              <w:rPr>
                <w:rFonts w:ascii="Arial" w:eastAsia="Times New Roman" w:hAnsi="Arial" w:cs="Arial" w:hint="eastAsia"/>
                <w:color w:val="000000"/>
                <w:kern w:val="0"/>
                <w:sz w:val="20"/>
              </w:rPr>
              <w:t>0.098</w:t>
            </w:r>
          </w:p>
        </w:tc>
        <w:tc>
          <w:tcPr>
            <w:tcW w:w="1008" w:type="dxa"/>
            <w:tcBorders>
              <w:top w:val="nil"/>
              <w:bottom w:val="nil"/>
            </w:tcBorders>
          </w:tcPr>
          <w:p w14:paraId="2DEC3C0E" w14:textId="77777777" w:rsidR="00F04F17" w:rsidRPr="007C4195" w:rsidRDefault="007C4195">
            <w:pPr>
              <w:rPr>
                <w:rFonts w:ascii="Arial" w:eastAsia="Times New Roman" w:hAnsi="Arial" w:cs="Arial"/>
                <w:color w:val="000000"/>
                <w:kern w:val="0"/>
                <w:sz w:val="20"/>
              </w:rPr>
            </w:pPr>
            <w:r w:rsidRPr="007C4195">
              <w:rPr>
                <w:rFonts w:ascii="Arial" w:eastAsia="Times New Roman" w:hAnsi="Arial" w:cs="Arial" w:hint="eastAsia"/>
                <w:color w:val="000000"/>
                <w:kern w:val="0"/>
                <w:sz w:val="20"/>
              </w:rPr>
              <w:t>0.004</w:t>
            </w:r>
          </w:p>
        </w:tc>
      </w:tr>
      <w:tr w:rsidR="00F04F17" w:rsidRPr="007C4195" w14:paraId="0FAD12C5" w14:textId="77777777" w:rsidTr="007C4195">
        <w:trPr>
          <w:jc w:val="center"/>
        </w:trPr>
        <w:tc>
          <w:tcPr>
            <w:tcW w:w="1131" w:type="dxa"/>
            <w:tcBorders>
              <w:top w:val="nil"/>
              <w:bottom w:val="nil"/>
            </w:tcBorders>
          </w:tcPr>
          <w:p w14:paraId="5676DD64" w14:textId="77777777" w:rsidR="00F04F17" w:rsidRPr="007C4195" w:rsidRDefault="007C4195">
            <w:pP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</w:rPr>
            </w:pPr>
            <w:r w:rsidRPr="007C4195">
              <w:rPr>
                <w:rFonts w:ascii="Arial" w:eastAsia="Times New Roman" w:hAnsi="Arial" w:cs="Arial" w:hint="eastAsia"/>
                <w:b/>
                <w:bCs/>
                <w:color w:val="000000"/>
                <w:kern w:val="0"/>
                <w:sz w:val="20"/>
              </w:rPr>
              <w:t>CALLY</w:t>
            </w:r>
          </w:p>
        </w:tc>
        <w:tc>
          <w:tcPr>
            <w:tcW w:w="2301" w:type="dxa"/>
            <w:tcBorders>
              <w:top w:val="nil"/>
              <w:bottom w:val="nil"/>
            </w:tcBorders>
          </w:tcPr>
          <w:p w14:paraId="7923138B" w14:textId="77777777" w:rsidR="00F04F17" w:rsidRPr="007C4195" w:rsidRDefault="007C4195">
            <w:pPr>
              <w:rPr>
                <w:rFonts w:ascii="Arial" w:eastAsia="Times New Roman" w:hAnsi="Arial" w:cs="Arial"/>
                <w:color w:val="000000"/>
                <w:kern w:val="0"/>
                <w:sz w:val="20"/>
              </w:rPr>
            </w:pPr>
            <w:r w:rsidRPr="007C4195">
              <w:rPr>
                <w:rFonts w:ascii="Arial" w:eastAsia="Times New Roman" w:hAnsi="Arial" w:cs="Times New Roman"/>
                <w:color w:val="000000"/>
                <w:kern w:val="0"/>
                <w:sz w:val="20"/>
              </w:rPr>
              <w:t>ALB×LYM/(hsCRP×10)</w:t>
            </w:r>
          </w:p>
        </w:tc>
        <w:tc>
          <w:tcPr>
            <w:tcW w:w="1928" w:type="dxa"/>
            <w:tcBorders>
              <w:top w:val="nil"/>
              <w:bottom w:val="nil"/>
            </w:tcBorders>
          </w:tcPr>
          <w:p w14:paraId="7FEB1257" w14:textId="77777777" w:rsidR="00F04F17" w:rsidRPr="007C4195" w:rsidRDefault="007C4195">
            <w:pPr>
              <w:rPr>
                <w:rFonts w:ascii="Arial" w:eastAsia="Times New Roman" w:hAnsi="Arial" w:cs="Arial"/>
                <w:color w:val="000000"/>
                <w:kern w:val="0"/>
                <w:sz w:val="20"/>
              </w:rPr>
            </w:pPr>
            <w:r w:rsidRPr="007C4195">
              <w:rPr>
                <w:rFonts w:ascii="Arial" w:eastAsia="Times New Roman" w:hAnsi="Arial" w:cs="Arial" w:hint="eastAsia"/>
                <w:color w:val="000000"/>
                <w:kern w:val="0"/>
                <w:sz w:val="20"/>
              </w:rPr>
              <w:t>0.460(0.388,0.532)</w:t>
            </w:r>
          </w:p>
        </w:tc>
        <w:tc>
          <w:tcPr>
            <w:tcW w:w="1342" w:type="dxa"/>
            <w:tcBorders>
              <w:top w:val="nil"/>
              <w:bottom w:val="nil"/>
            </w:tcBorders>
          </w:tcPr>
          <w:p w14:paraId="5D04A690" w14:textId="77777777" w:rsidR="00F04F17" w:rsidRPr="007C4195" w:rsidRDefault="007C4195">
            <w:pPr>
              <w:rPr>
                <w:rFonts w:ascii="Arial" w:eastAsia="Times New Roman" w:hAnsi="Arial" w:cs="Arial"/>
                <w:color w:val="000000"/>
                <w:kern w:val="0"/>
                <w:sz w:val="20"/>
              </w:rPr>
            </w:pPr>
            <w:r w:rsidRPr="007C4195">
              <w:rPr>
                <w:rFonts w:ascii="Arial" w:eastAsia="Times New Roman" w:hAnsi="Arial" w:cs="Arial" w:hint="eastAsia"/>
                <w:color w:val="000000"/>
                <w:kern w:val="0"/>
                <w:sz w:val="20"/>
              </w:rPr>
              <w:t>0.784</w:t>
            </w:r>
          </w:p>
        </w:tc>
        <w:tc>
          <w:tcPr>
            <w:tcW w:w="1253" w:type="dxa"/>
            <w:tcBorders>
              <w:top w:val="nil"/>
              <w:bottom w:val="nil"/>
            </w:tcBorders>
          </w:tcPr>
          <w:p w14:paraId="21BCEF6E" w14:textId="77777777" w:rsidR="00F04F17" w:rsidRPr="007C4195" w:rsidRDefault="007C4195">
            <w:pPr>
              <w:rPr>
                <w:rFonts w:ascii="Arial" w:eastAsia="Times New Roman" w:hAnsi="Arial" w:cs="Arial"/>
                <w:color w:val="000000"/>
                <w:kern w:val="0"/>
                <w:sz w:val="20"/>
              </w:rPr>
            </w:pPr>
            <w:r w:rsidRPr="007C4195">
              <w:rPr>
                <w:rFonts w:ascii="Arial" w:eastAsia="Times New Roman" w:hAnsi="Arial" w:cs="Arial" w:hint="eastAsia"/>
                <w:color w:val="000000"/>
                <w:kern w:val="0"/>
                <w:sz w:val="20"/>
              </w:rPr>
              <w:t>0.854</w:t>
            </w:r>
          </w:p>
        </w:tc>
        <w:tc>
          <w:tcPr>
            <w:tcW w:w="1008" w:type="dxa"/>
            <w:tcBorders>
              <w:top w:val="nil"/>
              <w:bottom w:val="nil"/>
            </w:tcBorders>
          </w:tcPr>
          <w:p w14:paraId="1A6DFED0" w14:textId="77777777" w:rsidR="00F04F17" w:rsidRPr="007C4195" w:rsidRDefault="007C4195">
            <w:pPr>
              <w:rPr>
                <w:rFonts w:ascii="Arial" w:eastAsia="Times New Roman" w:hAnsi="Arial" w:cs="Arial"/>
                <w:color w:val="000000"/>
                <w:kern w:val="0"/>
                <w:sz w:val="20"/>
              </w:rPr>
            </w:pPr>
            <w:r w:rsidRPr="007C4195">
              <w:rPr>
                <w:rFonts w:ascii="Arial" w:eastAsia="Times New Roman" w:hAnsi="Arial" w:cs="Arial" w:hint="eastAsia"/>
                <w:color w:val="000000"/>
                <w:kern w:val="0"/>
                <w:sz w:val="20"/>
              </w:rPr>
              <w:t>0.261</w:t>
            </w:r>
          </w:p>
        </w:tc>
      </w:tr>
      <w:tr w:rsidR="00F04F17" w:rsidRPr="007C4195" w14:paraId="60EBE663" w14:textId="77777777" w:rsidTr="007C4195">
        <w:trPr>
          <w:jc w:val="center"/>
        </w:trPr>
        <w:tc>
          <w:tcPr>
            <w:tcW w:w="1131" w:type="dxa"/>
            <w:tcBorders>
              <w:top w:val="nil"/>
              <w:bottom w:val="nil"/>
            </w:tcBorders>
          </w:tcPr>
          <w:p w14:paraId="689FFAC4" w14:textId="77777777" w:rsidR="00F04F17" w:rsidRPr="007C4195" w:rsidRDefault="007C4195">
            <w:pP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</w:rPr>
            </w:pPr>
            <w:r w:rsidRPr="007C4195">
              <w:rPr>
                <w:rFonts w:ascii="Arial" w:eastAsia="Times New Roman" w:hAnsi="Arial" w:cs="Arial" w:hint="eastAsia"/>
                <w:b/>
                <w:bCs/>
                <w:color w:val="000000"/>
                <w:kern w:val="0"/>
                <w:sz w:val="20"/>
              </w:rPr>
              <w:t>CAR</w:t>
            </w:r>
          </w:p>
        </w:tc>
        <w:tc>
          <w:tcPr>
            <w:tcW w:w="2301" w:type="dxa"/>
            <w:tcBorders>
              <w:top w:val="nil"/>
              <w:bottom w:val="nil"/>
            </w:tcBorders>
          </w:tcPr>
          <w:p w14:paraId="353CF289" w14:textId="77777777" w:rsidR="00F04F17" w:rsidRPr="007C4195" w:rsidRDefault="007C4195">
            <w:pPr>
              <w:rPr>
                <w:rFonts w:ascii="Arial" w:eastAsia="Times New Roman" w:hAnsi="Arial" w:cs="Arial"/>
                <w:color w:val="000000"/>
                <w:kern w:val="0"/>
                <w:sz w:val="20"/>
              </w:rPr>
            </w:pPr>
            <w:r w:rsidRPr="007C4195">
              <w:rPr>
                <w:rFonts w:hint="eastAsia"/>
                <w:color w:val="000000"/>
              </w:rPr>
              <w:t>CRP/ALB</w:t>
            </w:r>
          </w:p>
        </w:tc>
        <w:tc>
          <w:tcPr>
            <w:tcW w:w="1928" w:type="dxa"/>
            <w:tcBorders>
              <w:top w:val="nil"/>
              <w:bottom w:val="nil"/>
            </w:tcBorders>
          </w:tcPr>
          <w:p w14:paraId="23671FF9" w14:textId="77777777" w:rsidR="00F04F17" w:rsidRPr="007C4195" w:rsidRDefault="007C4195">
            <w:pPr>
              <w:rPr>
                <w:rFonts w:ascii="Arial" w:eastAsia="Times New Roman" w:hAnsi="Arial" w:cs="Arial"/>
                <w:color w:val="000000"/>
                <w:kern w:val="0"/>
                <w:sz w:val="20"/>
              </w:rPr>
            </w:pPr>
            <w:r w:rsidRPr="007C4195">
              <w:rPr>
                <w:rFonts w:ascii="Arial" w:eastAsia="Times New Roman" w:hAnsi="Arial" w:cs="Arial" w:hint="eastAsia"/>
                <w:color w:val="000000"/>
                <w:kern w:val="0"/>
                <w:sz w:val="20"/>
              </w:rPr>
              <w:t>0.524(0.453,0.594)</w:t>
            </w:r>
          </w:p>
        </w:tc>
        <w:tc>
          <w:tcPr>
            <w:tcW w:w="1342" w:type="dxa"/>
            <w:tcBorders>
              <w:top w:val="nil"/>
              <w:bottom w:val="nil"/>
            </w:tcBorders>
          </w:tcPr>
          <w:p w14:paraId="638B825C" w14:textId="77777777" w:rsidR="00F04F17" w:rsidRPr="007C4195" w:rsidRDefault="007C4195">
            <w:pPr>
              <w:rPr>
                <w:rFonts w:ascii="Arial" w:eastAsia="Times New Roman" w:hAnsi="Arial" w:cs="Arial"/>
                <w:color w:val="000000"/>
                <w:kern w:val="0"/>
                <w:sz w:val="20"/>
              </w:rPr>
            </w:pPr>
            <w:r w:rsidRPr="007C4195">
              <w:rPr>
                <w:rFonts w:ascii="Arial" w:eastAsia="Times New Roman" w:hAnsi="Arial" w:cs="Arial" w:hint="eastAsia"/>
                <w:color w:val="000000"/>
                <w:kern w:val="0"/>
                <w:sz w:val="20"/>
              </w:rPr>
              <w:t>0.835</w:t>
            </w:r>
          </w:p>
        </w:tc>
        <w:tc>
          <w:tcPr>
            <w:tcW w:w="1253" w:type="dxa"/>
            <w:tcBorders>
              <w:top w:val="nil"/>
              <w:bottom w:val="nil"/>
            </w:tcBorders>
          </w:tcPr>
          <w:p w14:paraId="71864FF8" w14:textId="77777777" w:rsidR="00F04F17" w:rsidRPr="007C4195" w:rsidRDefault="007C4195">
            <w:pPr>
              <w:rPr>
                <w:rFonts w:ascii="Arial" w:eastAsia="Times New Roman" w:hAnsi="Arial" w:cs="Arial"/>
                <w:color w:val="000000"/>
                <w:kern w:val="0"/>
                <w:sz w:val="20"/>
              </w:rPr>
            </w:pPr>
            <w:r w:rsidRPr="007C4195">
              <w:rPr>
                <w:rFonts w:ascii="Arial" w:eastAsia="Times New Roman" w:hAnsi="Arial" w:cs="Arial" w:hint="eastAsia"/>
                <w:color w:val="000000"/>
                <w:kern w:val="0"/>
                <w:sz w:val="20"/>
              </w:rPr>
              <w:t>0.824</w:t>
            </w:r>
          </w:p>
        </w:tc>
        <w:tc>
          <w:tcPr>
            <w:tcW w:w="1008" w:type="dxa"/>
            <w:tcBorders>
              <w:top w:val="nil"/>
              <w:bottom w:val="nil"/>
            </w:tcBorders>
          </w:tcPr>
          <w:p w14:paraId="0CCEF5F5" w14:textId="77777777" w:rsidR="00F04F17" w:rsidRPr="007C4195" w:rsidRDefault="007C4195">
            <w:pPr>
              <w:rPr>
                <w:rFonts w:ascii="Arial" w:eastAsia="Times New Roman" w:hAnsi="Arial" w:cs="Arial"/>
                <w:color w:val="000000"/>
                <w:kern w:val="0"/>
                <w:sz w:val="20"/>
              </w:rPr>
            </w:pPr>
            <w:r w:rsidRPr="007C4195">
              <w:rPr>
                <w:rFonts w:ascii="Arial" w:eastAsia="Times New Roman" w:hAnsi="Arial" w:cs="Arial" w:hint="eastAsia"/>
                <w:color w:val="000000"/>
                <w:kern w:val="0"/>
                <w:sz w:val="20"/>
              </w:rPr>
              <w:t>0.507</w:t>
            </w:r>
          </w:p>
        </w:tc>
      </w:tr>
      <w:tr w:rsidR="00F04F17" w:rsidRPr="007C4195" w14:paraId="67B04116" w14:textId="77777777" w:rsidTr="007C4195">
        <w:trPr>
          <w:jc w:val="center"/>
        </w:trPr>
        <w:tc>
          <w:tcPr>
            <w:tcW w:w="1131" w:type="dxa"/>
            <w:tcBorders>
              <w:top w:val="nil"/>
              <w:bottom w:val="nil"/>
            </w:tcBorders>
          </w:tcPr>
          <w:p w14:paraId="7805A383" w14:textId="77777777" w:rsidR="00F04F17" w:rsidRPr="007C4195" w:rsidRDefault="007C4195">
            <w:pP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</w:rPr>
            </w:pPr>
            <w:r w:rsidRPr="007C4195">
              <w:rPr>
                <w:rFonts w:ascii="Arial" w:eastAsia="Times New Roman" w:hAnsi="Arial" w:cs="Arial" w:hint="eastAsia"/>
                <w:b/>
                <w:bCs/>
                <w:color w:val="000000"/>
                <w:kern w:val="0"/>
                <w:sz w:val="20"/>
              </w:rPr>
              <w:t>PLR</w:t>
            </w:r>
          </w:p>
        </w:tc>
        <w:tc>
          <w:tcPr>
            <w:tcW w:w="2301" w:type="dxa"/>
            <w:tcBorders>
              <w:top w:val="nil"/>
              <w:bottom w:val="nil"/>
            </w:tcBorders>
          </w:tcPr>
          <w:p w14:paraId="5500943A" w14:textId="77777777" w:rsidR="00F04F17" w:rsidRPr="007C4195" w:rsidRDefault="007C4195">
            <w:pPr>
              <w:rPr>
                <w:rFonts w:ascii="Arial" w:eastAsia="Times New Roman" w:hAnsi="Arial" w:cs="Arial"/>
                <w:color w:val="000000"/>
                <w:kern w:val="0"/>
                <w:sz w:val="20"/>
              </w:rPr>
            </w:pPr>
            <w:r w:rsidRPr="007C4195">
              <w:rPr>
                <w:rFonts w:hint="eastAsia"/>
                <w:color w:val="000000"/>
              </w:rPr>
              <w:t>PLT/LYM</w:t>
            </w:r>
          </w:p>
        </w:tc>
        <w:tc>
          <w:tcPr>
            <w:tcW w:w="1928" w:type="dxa"/>
            <w:tcBorders>
              <w:top w:val="nil"/>
              <w:bottom w:val="nil"/>
            </w:tcBorders>
          </w:tcPr>
          <w:p w14:paraId="64051A74" w14:textId="77777777" w:rsidR="00F04F17" w:rsidRPr="007C4195" w:rsidRDefault="007C4195">
            <w:pPr>
              <w:rPr>
                <w:rFonts w:ascii="Arial" w:eastAsia="Times New Roman" w:hAnsi="Arial" w:cs="Arial"/>
                <w:color w:val="000000"/>
                <w:kern w:val="0"/>
                <w:sz w:val="20"/>
              </w:rPr>
            </w:pPr>
            <w:r w:rsidRPr="007C4195">
              <w:rPr>
                <w:rFonts w:ascii="Arial" w:eastAsia="Times New Roman" w:hAnsi="Arial" w:cs="Arial" w:hint="eastAsia"/>
                <w:color w:val="000000"/>
                <w:kern w:val="0"/>
                <w:sz w:val="20"/>
              </w:rPr>
              <w:t>0.579(0.509,0.649)</w:t>
            </w:r>
          </w:p>
        </w:tc>
        <w:tc>
          <w:tcPr>
            <w:tcW w:w="1342" w:type="dxa"/>
            <w:tcBorders>
              <w:top w:val="nil"/>
              <w:bottom w:val="nil"/>
            </w:tcBorders>
          </w:tcPr>
          <w:p w14:paraId="53C028DE" w14:textId="77777777" w:rsidR="00F04F17" w:rsidRPr="007C4195" w:rsidRDefault="007C4195">
            <w:pPr>
              <w:rPr>
                <w:rFonts w:ascii="Arial" w:eastAsia="Times New Roman" w:hAnsi="Arial" w:cs="Arial"/>
                <w:color w:val="000000"/>
                <w:kern w:val="0"/>
                <w:sz w:val="20"/>
              </w:rPr>
            </w:pPr>
            <w:r w:rsidRPr="007C4195">
              <w:rPr>
                <w:rFonts w:ascii="Arial" w:eastAsia="Times New Roman" w:hAnsi="Arial" w:cs="Arial" w:hint="eastAsia"/>
                <w:color w:val="000000"/>
                <w:kern w:val="0"/>
                <w:sz w:val="20"/>
              </w:rPr>
              <w:t>0.887</w:t>
            </w:r>
          </w:p>
        </w:tc>
        <w:tc>
          <w:tcPr>
            <w:tcW w:w="1253" w:type="dxa"/>
            <w:tcBorders>
              <w:top w:val="nil"/>
              <w:bottom w:val="nil"/>
            </w:tcBorders>
          </w:tcPr>
          <w:p w14:paraId="0F4BB385" w14:textId="77777777" w:rsidR="00F04F17" w:rsidRPr="007C4195" w:rsidRDefault="007C4195">
            <w:pPr>
              <w:rPr>
                <w:rFonts w:ascii="Arial" w:eastAsia="Times New Roman" w:hAnsi="Arial" w:cs="Arial"/>
                <w:color w:val="000000"/>
                <w:kern w:val="0"/>
                <w:sz w:val="20"/>
              </w:rPr>
            </w:pPr>
            <w:r w:rsidRPr="007C4195">
              <w:rPr>
                <w:rFonts w:ascii="Arial" w:eastAsia="Times New Roman" w:hAnsi="Arial" w:cs="Arial" w:hint="eastAsia"/>
                <w:color w:val="000000"/>
                <w:kern w:val="0"/>
                <w:sz w:val="20"/>
              </w:rPr>
              <w:t>0.805</w:t>
            </w:r>
          </w:p>
        </w:tc>
        <w:tc>
          <w:tcPr>
            <w:tcW w:w="1008" w:type="dxa"/>
            <w:tcBorders>
              <w:top w:val="nil"/>
              <w:bottom w:val="nil"/>
            </w:tcBorders>
          </w:tcPr>
          <w:p w14:paraId="16F7A445" w14:textId="77777777" w:rsidR="00F04F17" w:rsidRPr="007C4195" w:rsidRDefault="007C4195">
            <w:pPr>
              <w:rPr>
                <w:rFonts w:ascii="Arial" w:eastAsia="Times New Roman" w:hAnsi="Arial" w:cs="Arial"/>
                <w:color w:val="000000"/>
                <w:kern w:val="0"/>
                <w:sz w:val="20"/>
              </w:rPr>
            </w:pPr>
            <w:r w:rsidRPr="007C4195">
              <w:rPr>
                <w:rFonts w:ascii="Arial" w:eastAsia="Times New Roman" w:hAnsi="Arial" w:cs="Arial" w:hint="eastAsia"/>
                <w:color w:val="000000"/>
                <w:kern w:val="0"/>
                <w:sz w:val="20"/>
              </w:rPr>
              <w:t>0.026</w:t>
            </w:r>
          </w:p>
        </w:tc>
      </w:tr>
      <w:tr w:rsidR="00F04F17" w:rsidRPr="007C4195" w14:paraId="0396F073" w14:textId="77777777" w:rsidTr="007C4195">
        <w:trPr>
          <w:jc w:val="center"/>
        </w:trPr>
        <w:tc>
          <w:tcPr>
            <w:tcW w:w="1131" w:type="dxa"/>
            <w:tcBorders>
              <w:top w:val="nil"/>
              <w:bottom w:val="single" w:sz="4" w:space="0" w:color="auto"/>
            </w:tcBorders>
          </w:tcPr>
          <w:p w14:paraId="44B022AF" w14:textId="77777777" w:rsidR="00F04F17" w:rsidRPr="007C4195" w:rsidRDefault="007C4195">
            <w:pP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</w:rPr>
            </w:pPr>
            <w:r w:rsidRPr="007C4195">
              <w:rPr>
                <w:rFonts w:ascii="Arial" w:eastAsia="Times New Roman" w:hAnsi="Arial" w:cs="Arial" w:hint="eastAsia"/>
                <w:b/>
                <w:bCs/>
                <w:color w:val="000000"/>
                <w:kern w:val="0"/>
                <w:sz w:val="20"/>
              </w:rPr>
              <w:t>NLR</w:t>
            </w:r>
          </w:p>
        </w:tc>
        <w:tc>
          <w:tcPr>
            <w:tcW w:w="2301" w:type="dxa"/>
            <w:tcBorders>
              <w:top w:val="nil"/>
              <w:bottom w:val="single" w:sz="4" w:space="0" w:color="auto"/>
            </w:tcBorders>
          </w:tcPr>
          <w:p w14:paraId="6A739121" w14:textId="77777777" w:rsidR="00F04F17" w:rsidRPr="007C4195" w:rsidRDefault="007C4195">
            <w:pPr>
              <w:rPr>
                <w:rFonts w:ascii="Arial" w:eastAsia="Times New Roman" w:hAnsi="Arial" w:cs="Arial"/>
                <w:color w:val="000000"/>
                <w:kern w:val="0"/>
                <w:sz w:val="20"/>
              </w:rPr>
            </w:pPr>
            <w:r w:rsidRPr="007C4195">
              <w:rPr>
                <w:rFonts w:hint="eastAsia"/>
                <w:color w:val="000000"/>
              </w:rPr>
              <w:t>NEU/LYM</w:t>
            </w:r>
          </w:p>
        </w:tc>
        <w:tc>
          <w:tcPr>
            <w:tcW w:w="1928" w:type="dxa"/>
            <w:tcBorders>
              <w:top w:val="nil"/>
              <w:bottom w:val="single" w:sz="4" w:space="0" w:color="auto"/>
            </w:tcBorders>
          </w:tcPr>
          <w:p w14:paraId="05096E34" w14:textId="77777777" w:rsidR="00F04F17" w:rsidRPr="007C4195" w:rsidRDefault="007C4195">
            <w:pPr>
              <w:rPr>
                <w:rFonts w:ascii="Arial" w:eastAsia="Times New Roman" w:hAnsi="Arial" w:cs="Arial"/>
                <w:color w:val="000000"/>
                <w:kern w:val="0"/>
                <w:sz w:val="20"/>
              </w:rPr>
            </w:pPr>
            <w:r w:rsidRPr="007C4195">
              <w:rPr>
                <w:rFonts w:ascii="Arial" w:eastAsia="Times New Roman" w:hAnsi="Arial" w:cs="Arial" w:hint="eastAsia"/>
                <w:color w:val="000000"/>
                <w:kern w:val="0"/>
                <w:sz w:val="20"/>
              </w:rPr>
              <w:t>0.588(0.516,0.661)</w:t>
            </w:r>
          </w:p>
        </w:tc>
        <w:tc>
          <w:tcPr>
            <w:tcW w:w="1342" w:type="dxa"/>
            <w:tcBorders>
              <w:top w:val="nil"/>
              <w:bottom w:val="single" w:sz="4" w:space="0" w:color="auto"/>
            </w:tcBorders>
          </w:tcPr>
          <w:p w14:paraId="408D4457" w14:textId="77777777" w:rsidR="00F04F17" w:rsidRPr="007C4195" w:rsidRDefault="007C4195">
            <w:pPr>
              <w:rPr>
                <w:rFonts w:ascii="Arial" w:eastAsia="Times New Roman" w:hAnsi="Arial" w:cs="Arial"/>
                <w:color w:val="000000"/>
                <w:kern w:val="0"/>
                <w:sz w:val="20"/>
              </w:rPr>
            </w:pPr>
            <w:r w:rsidRPr="007C4195">
              <w:rPr>
                <w:rFonts w:ascii="Arial" w:eastAsia="Times New Roman" w:hAnsi="Arial" w:cs="Arial" w:hint="eastAsia"/>
                <w:color w:val="000000"/>
                <w:kern w:val="0"/>
                <w:sz w:val="20"/>
              </w:rPr>
              <w:t>0.825</w:t>
            </w:r>
          </w:p>
        </w:tc>
        <w:tc>
          <w:tcPr>
            <w:tcW w:w="1253" w:type="dxa"/>
            <w:tcBorders>
              <w:top w:val="nil"/>
              <w:bottom w:val="single" w:sz="4" w:space="0" w:color="auto"/>
            </w:tcBorders>
          </w:tcPr>
          <w:p w14:paraId="3011BAE7" w14:textId="77777777" w:rsidR="00F04F17" w:rsidRPr="007C4195" w:rsidRDefault="007C4195">
            <w:pPr>
              <w:rPr>
                <w:rFonts w:ascii="Arial" w:eastAsia="Times New Roman" w:hAnsi="Arial" w:cs="Arial"/>
                <w:color w:val="000000"/>
                <w:kern w:val="0"/>
                <w:sz w:val="20"/>
              </w:rPr>
            </w:pPr>
            <w:r w:rsidRPr="007C4195">
              <w:rPr>
                <w:rFonts w:ascii="Arial" w:eastAsia="Times New Roman" w:hAnsi="Arial" w:cs="Arial" w:hint="eastAsia"/>
                <w:color w:val="000000"/>
                <w:kern w:val="0"/>
                <w:sz w:val="20"/>
              </w:rPr>
              <w:t>0.839</w:t>
            </w:r>
          </w:p>
        </w:tc>
        <w:tc>
          <w:tcPr>
            <w:tcW w:w="1008" w:type="dxa"/>
            <w:tcBorders>
              <w:top w:val="nil"/>
              <w:bottom w:val="single" w:sz="4" w:space="0" w:color="auto"/>
            </w:tcBorders>
          </w:tcPr>
          <w:p w14:paraId="729ECD92" w14:textId="77777777" w:rsidR="00F04F17" w:rsidRPr="007C4195" w:rsidRDefault="007C4195">
            <w:pPr>
              <w:rPr>
                <w:rFonts w:ascii="Arial" w:eastAsia="Times New Roman" w:hAnsi="Arial" w:cs="Arial"/>
                <w:color w:val="000000"/>
                <w:kern w:val="0"/>
                <w:sz w:val="20"/>
              </w:rPr>
            </w:pPr>
            <w:r w:rsidRPr="007C4195">
              <w:rPr>
                <w:rFonts w:ascii="Arial" w:eastAsia="Times New Roman" w:hAnsi="Arial" w:cs="Arial" w:hint="eastAsia"/>
                <w:color w:val="000000"/>
                <w:kern w:val="0"/>
                <w:sz w:val="20"/>
              </w:rPr>
              <w:t>0.013</w:t>
            </w:r>
          </w:p>
        </w:tc>
      </w:tr>
      <w:bookmarkEnd w:id="5"/>
    </w:tbl>
    <w:p w14:paraId="3220D4DE" w14:textId="77777777" w:rsidR="00F04F17" w:rsidRPr="007C4195" w:rsidRDefault="00F04F17">
      <w:pPr>
        <w:rPr>
          <w:rFonts w:ascii="Arial" w:eastAsia="Times New Roman" w:hAnsi="Arial" w:cs="Arial"/>
          <w:color w:val="000000"/>
          <w:kern w:val="0"/>
          <w:sz w:val="20"/>
        </w:rPr>
      </w:pPr>
    </w:p>
    <w:p w14:paraId="1F55D335" w14:textId="77777777" w:rsidR="00F04F17" w:rsidRPr="007C4195" w:rsidRDefault="007C4195">
      <w:pPr>
        <w:rPr>
          <w:rFonts w:ascii="Arial" w:eastAsia="Times New Roman" w:hAnsi="Arial" w:cs="Arial"/>
          <w:color w:val="000000"/>
          <w:kern w:val="0"/>
          <w:sz w:val="20"/>
        </w:rPr>
      </w:pPr>
      <w:r w:rsidRPr="007C4195">
        <w:rPr>
          <w:rFonts w:ascii="Arial" w:eastAsia="Times New Roman" w:hAnsi="Arial" w:cs="Arial" w:hint="eastAsia"/>
          <w:b/>
          <w:bCs/>
          <w:color w:val="000000"/>
          <w:kern w:val="0"/>
          <w:sz w:val="20"/>
        </w:rPr>
        <w:t xml:space="preserve">Abbreviations: </w:t>
      </w:r>
      <w:r w:rsidRPr="007C4195">
        <w:rPr>
          <w:rFonts w:ascii="Arial" w:eastAsia="Times New Roman" w:hAnsi="Arial" w:cs="Arial" w:hint="eastAsia"/>
          <w:color w:val="000000"/>
          <w:kern w:val="0"/>
          <w:sz w:val="20"/>
        </w:rPr>
        <w:t xml:space="preserve">IINS, inflammation-immunity-nutrition score; CALLY, high-sensitivity C-reactive </w:t>
      </w:r>
      <w:r w:rsidRPr="007C4195">
        <w:rPr>
          <w:rFonts w:ascii="Arial" w:eastAsia="Times New Roman" w:hAnsi="Arial" w:cs="Arial" w:hint="eastAsia"/>
          <w:color w:val="000000"/>
          <w:kern w:val="0"/>
          <w:sz w:val="20"/>
        </w:rPr>
        <w:t>protein-albumin-lymphocyte index; CAR, CRP/ALB; PLR, PLT/LYM; NLR, NEU/LYM.</w:t>
      </w:r>
    </w:p>
    <w:p w14:paraId="3A945851" w14:textId="77777777" w:rsidR="00F04F17" w:rsidRPr="007C4195" w:rsidRDefault="00F04F17">
      <w:pPr>
        <w:rPr>
          <w:b/>
          <w:bCs/>
          <w:color w:val="000000"/>
        </w:rPr>
      </w:pPr>
      <w:bookmarkStart w:id="7" w:name="OLE_LINK4"/>
    </w:p>
    <w:p w14:paraId="55E78F54" w14:textId="77777777" w:rsidR="00F04F17" w:rsidRPr="007C4195" w:rsidRDefault="007C4195">
      <w:pPr>
        <w:rPr>
          <w:color w:val="000000"/>
        </w:rPr>
      </w:pPr>
      <w:r w:rsidRPr="007C4195">
        <w:rPr>
          <w:rFonts w:ascii="Arial" w:eastAsia="Times New Roman" w:hAnsi="Arial" w:cs="Arial" w:hint="eastAsia"/>
          <w:b/>
          <w:bCs/>
          <w:color w:val="000000"/>
          <w:kern w:val="0"/>
          <w:sz w:val="20"/>
        </w:rPr>
        <w:t>Supplemental Figure.2</w:t>
      </w:r>
      <w:r w:rsidRPr="007C4195">
        <w:rPr>
          <w:rFonts w:ascii="Arial" w:eastAsia="Times New Roman" w:hAnsi="Arial" w:cs="Arial" w:hint="eastAsia"/>
          <w:color w:val="000000"/>
          <w:kern w:val="0"/>
          <w:sz w:val="20"/>
        </w:rPr>
        <w:t xml:space="preserve"> </w:t>
      </w:r>
      <w:bookmarkEnd w:id="7"/>
      <w:r w:rsidRPr="007C4195">
        <w:rPr>
          <w:rFonts w:ascii="Arial" w:eastAsia="Times New Roman" w:hAnsi="Arial" w:cs="Arial" w:hint="eastAsia"/>
          <w:color w:val="000000"/>
          <w:kern w:val="0"/>
          <w:sz w:val="20"/>
        </w:rPr>
        <w:t>Kaplan–Meier survival curve of IINS and CALLY in the training cohort and the validation cohort for overall survival(OS). (a) Kaplan–Meier curve of IINS for OS; (b) Kaplan–Meier curve of CALLY for OS.</w:t>
      </w:r>
    </w:p>
    <w:p w14:paraId="49E467A5" w14:textId="77777777" w:rsidR="00F04F17" w:rsidRPr="007C4195" w:rsidRDefault="007C4195">
      <w:pPr>
        <w:rPr>
          <w:color w:val="000000"/>
        </w:rPr>
      </w:pPr>
      <w:r w:rsidRPr="007C4195">
        <w:rPr>
          <w:rFonts w:hint="eastAsia"/>
          <w:color w:val="000000"/>
        </w:rPr>
        <w:drawing>
          <wp:inline distT="0" distB="0" distL="114300" distR="114300">
            <wp:extent cx="5269865" cy="1780540"/>
            <wp:effectExtent l="0" t="0" r="3175" b="2540"/>
            <wp:docPr id="3" name="图片 3" descr="Supplemental Figure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Supplemental Figure.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78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4D2A0F" w14:textId="77777777" w:rsidR="00F04F17" w:rsidRPr="007C4195" w:rsidRDefault="00F04F17">
      <w:pPr>
        <w:rPr>
          <w:color w:val="000000"/>
        </w:rPr>
      </w:pPr>
    </w:p>
    <w:p w14:paraId="55DB2B32" w14:textId="77777777" w:rsidR="00F04F17" w:rsidRPr="007C4195" w:rsidRDefault="007C4195">
      <w:pPr>
        <w:rPr>
          <w:color w:val="000000"/>
        </w:rPr>
      </w:pPr>
      <w:r w:rsidRPr="007C4195">
        <w:rPr>
          <w:rFonts w:ascii="Arial" w:eastAsia="Times New Roman" w:hAnsi="Arial" w:cs="Arial" w:hint="eastAsia"/>
          <w:b/>
          <w:bCs/>
          <w:color w:val="000000"/>
          <w:kern w:val="0"/>
          <w:sz w:val="20"/>
        </w:rPr>
        <w:t xml:space="preserve">Abbreviations: </w:t>
      </w:r>
      <w:r w:rsidRPr="007C4195">
        <w:rPr>
          <w:rFonts w:ascii="Arial" w:eastAsia="Times New Roman" w:hAnsi="Arial" w:cs="Arial" w:hint="eastAsia"/>
          <w:color w:val="000000"/>
          <w:kern w:val="0"/>
          <w:sz w:val="20"/>
        </w:rPr>
        <w:t>IINS, inflammation-immunity-nutrition score; CALLY, high-sensitivity C-reactive protein-albumin-lymphocyte index.</w:t>
      </w:r>
    </w:p>
    <w:p w14:paraId="54151101" w14:textId="77777777" w:rsidR="00F04F17" w:rsidRPr="007C4195" w:rsidRDefault="007C4195">
      <w:pPr>
        <w:rPr>
          <w:rFonts w:ascii="Arial" w:eastAsia="Times New Roman" w:hAnsi="Arial" w:cs="Arial"/>
          <w:color w:val="000000"/>
          <w:kern w:val="0"/>
          <w:sz w:val="20"/>
        </w:rPr>
      </w:pPr>
      <w:r w:rsidRPr="007C4195">
        <w:rPr>
          <w:rFonts w:ascii="Arial" w:eastAsia="Times New Roman" w:hAnsi="Arial" w:cs="Arial" w:hint="eastAsia"/>
          <w:b/>
          <w:bCs/>
          <w:color w:val="000000"/>
          <w:kern w:val="0"/>
          <w:sz w:val="20"/>
        </w:rPr>
        <w:t>Supplemental Figure.3</w:t>
      </w:r>
      <w:r w:rsidRPr="007C4195">
        <w:rPr>
          <w:rFonts w:hint="eastAsia"/>
          <w:color w:val="000000"/>
        </w:rPr>
        <w:t xml:space="preserve"> </w:t>
      </w:r>
      <w:r w:rsidRPr="007C4195">
        <w:rPr>
          <w:rFonts w:ascii="Arial" w:eastAsia="Times New Roman" w:hAnsi="Arial" w:cs="Arial" w:hint="eastAsia"/>
          <w:color w:val="000000"/>
          <w:kern w:val="0"/>
          <w:sz w:val="20"/>
        </w:rPr>
        <w:t>Decision curve analysis (DCA) of models in the training cohort and the validation cohort for overall survival (OS). (A) Comparison of IINS and CALLY for predicting 1-year survival; (B) Comparison of IINS and CALLY for predicting 2-year survival; (C) Comparison of IINS and CALLY for predicting 3-year survival.</w:t>
      </w:r>
    </w:p>
    <w:p w14:paraId="473A2629" w14:textId="77777777" w:rsidR="00F04F17" w:rsidRPr="007C4195" w:rsidRDefault="007C4195">
      <w:pPr>
        <w:rPr>
          <w:color w:val="000000"/>
        </w:rPr>
      </w:pPr>
      <w:r w:rsidRPr="007C4195">
        <w:rPr>
          <w:rFonts w:hint="eastAsia"/>
          <w:color w:val="00000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-25400</wp:posOffset>
            </wp:positionH>
            <wp:positionV relativeFrom="paragraph">
              <wp:posOffset>78105</wp:posOffset>
            </wp:positionV>
            <wp:extent cx="5268595" cy="1911350"/>
            <wp:effectExtent l="0" t="0" r="4445" b="8890"/>
            <wp:wrapNone/>
            <wp:docPr id="2" name="图片 2" descr="Supplemental Figur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Supplemental Figure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911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D6C1B9" w14:textId="77777777" w:rsidR="00F04F17" w:rsidRPr="007C4195" w:rsidRDefault="00F04F17">
      <w:pPr>
        <w:rPr>
          <w:color w:val="000000"/>
        </w:rPr>
      </w:pPr>
    </w:p>
    <w:p w14:paraId="75D28CFA" w14:textId="77777777" w:rsidR="00F04F17" w:rsidRPr="007C4195" w:rsidRDefault="00F04F17">
      <w:pPr>
        <w:rPr>
          <w:color w:val="000000"/>
        </w:rPr>
      </w:pPr>
    </w:p>
    <w:p w14:paraId="29774A8F" w14:textId="77777777" w:rsidR="00F04F17" w:rsidRPr="007C4195" w:rsidRDefault="00F04F17">
      <w:pPr>
        <w:rPr>
          <w:color w:val="000000"/>
        </w:rPr>
      </w:pPr>
    </w:p>
    <w:p w14:paraId="60740D9D" w14:textId="77777777" w:rsidR="00F04F17" w:rsidRPr="007C4195" w:rsidRDefault="00F04F17">
      <w:pPr>
        <w:rPr>
          <w:color w:val="000000"/>
        </w:rPr>
      </w:pPr>
    </w:p>
    <w:p w14:paraId="5F3B2CAE" w14:textId="77777777" w:rsidR="00F04F17" w:rsidRPr="007C4195" w:rsidRDefault="00F04F17">
      <w:pPr>
        <w:rPr>
          <w:color w:val="000000"/>
        </w:rPr>
      </w:pPr>
    </w:p>
    <w:p w14:paraId="7C2DF795" w14:textId="77777777" w:rsidR="00F04F17" w:rsidRPr="007C4195" w:rsidRDefault="00F04F17">
      <w:pPr>
        <w:rPr>
          <w:color w:val="000000"/>
        </w:rPr>
      </w:pPr>
    </w:p>
    <w:p w14:paraId="0A80104F" w14:textId="77777777" w:rsidR="00F04F17" w:rsidRPr="007C4195" w:rsidRDefault="00F04F17">
      <w:pPr>
        <w:rPr>
          <w:color w:val="000000"/>
        </w:rPr>
      </w:pPr>
    </w:p>
    <w:p w14:paraId="6DFE5FDE" w14:textId="77777777" w:rsidR="00F04F17" w:rsidRPr="007C4195" w:rsidRDefault="00F04F17">
      <w:pPr>
        <w:rPr>
          <w:color w:val="000000"/>
        </w:rPr>
      </w:pPr>
    </w:p>
    <w:p w14:paraId="52B0B831" w14:textId="77777777" w:rsidR="00F04F17" w:rsidRPr="007C4195" w:rsidRDefault="00F04F17">
      <w:pPr>
        <w:rPr>
          <w:color w:val="000000"/>
        </w:rPr>
      </w:pPr>
    </w:p>
    <w:p w14:paraId="6097030B" w14:textId="77777777" w:rsidR="00F04F17" w:rsidRPr="007C4195" w:rsidRDefault="007C4195">
      <w:pPr>
        <w:rPr>
          <w:rFonts w:ascii="Arial" w:eastAsia="Times New Roman" w:hAnsi="Arial" w:cs="Arial"/>
          <w:color w:val="000000"/>
          <w:kern w:val="0"/>
          <w:sz w:val="20"/>
        </w:rPr>
      </w:pPr>
      <w:r w:rsidRPr="007C4195">
        <w:rPr>
          <w:rFonts w:ascii="Arial" w:eastAsia="Times New Roman" w:hAnsi="Arial" w:cs="Arial" w:hint="eastAsia"/>
          <w:b/>
          <w:bCs/>
          <w:color w:val="000000"/>
          <w:kern w:val="0"/>
          <w:sz w:val="20"/>
        </w:rPr>
        <w:t xml:space="preserve">Abbreviations: </w:t>
      </w:r>
      <w:r w:rsidRPr="007C4195">
        <w:rPr>
          <w:rFonts w:ascii="Arial" w:eastAsia="Times New Roman" w:hAnsi="Arial" w:cs="Arial" w:hint="eastAsia"/>
          <w:color w:val="000000"/>
          <w:kern w:val="0"/>
          <w:sz w:val="20"/>
        </w:rPr>
        <w:t>IINS, inflammation-immunity-nutrition score; CALLY, high-sensitivity C-reactive protein-albumin-lymphocyte index.</w:t>
      </w:r>
      <w:bookmarkEnd w:id="0"/>
    </w:p>
    <w:sectPr w:rsidR="00F04F17" w:rsidRPr="007C4195">
      <w:footerReference w:type="even" r:id="rId10"/>
      <w:footerReference w:type="default" r:id="rId11"/>
      <w:footerReference w:type="first" r:id="rId1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87317B1" w14:textId="77777777" w:rsidR="007C4195" w:rsidRDefault="007C4195">
      <w:r>
        <w:separator/>
      </w:r>
    </w:p>
  </w:endnote>
  <w:endnote w:type="continuationSeparator" w:id="0">
    <w:p w14:paraId="1AA76CB5" w14:textId="77777777" w:rsidR="007C4195" w:rsidRDefault="007C41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E7D9FD" w14:textId="77777777" w:rsidR="00F04F17" w:rsidRDefault="007C4195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align>bottom</wp:align>
              </wp:positionV>
              <wp:extent cx="2077085" cy="324485"/>
              <wp:effectExtent l="0" t="0" r="18415" b="0"/>
              <wp:wrapNone/>
              <wp:docPr id="567642777" name="Text Box 2" descr="Information Classification: Gener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708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AEB42CC" w14:textId="77777777" w:rsidR="00F04F17" w:rsidRDefault="007C4195">
                          <w:pPr>
                            <w:rPr>
                              <w:rFonts w:ascii="Rockwell" w:eastAsia="Rockwell" w:hAnsi="Rockwell" w:cs="Rockwell"/>
                              <w:color w:val="0078D7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Rockwell" w:eastAsia="Rockwell" w:hAnsi="Rockwell" w:cs="Rockwell"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Information Classification: General" style="position:absolute;left:0;text-align:left;margin-left:0;margin-top:0;width:163.55pt;height:25.5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" filled="f" stroked="f">
              <v:textbox style="mso-fit-shape-to-text:t" inset="20pt,0,0,15pt">
                <w:txbxContent>
                  <w:p w14:paraId="4AEB42CC" w14:textId="77777777" w:rsidR="00F04F17" w:rsidRDefault="007C4195">
                    <w:pPr>
                      <w:rPr>
                        <w:rFonts w:ascii="Rockwell" w:eastAsia="Rockwell" w:hAnsi="Rockwell" w:cs="Rockwell"/>
                        <w:color w:val="0078D7"/>
                        <w:sz w:val="18"/>
                        <w:szCs w:val="18"/>
                      </w:rPr>
                    </w:pPr>
                    <w:r>
                      <w:rPr>
                        <w:rFonts w:ascii="Rockwell" w:eastAsia="Rockwell" w:hAnsi="Rockwell" w:cs="Rockwell"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CA8F67" w14:textId="77777777" w:rsidR="00F04F17" w:rsidRDefault="007C4195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align>bottom</wp:align>
              </wp:positionV>
              <wp:extent cx="2077085" cy="324485"/>
              <wp:effectExtent l="0" t="0" r="18415" b="0"/>
              <wp:wrapNone/>
              <wp:docPr id="1481384163" name="Text Box 3" descr="Information Classification: Gener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708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163D0E2" w14:textId="77777777" w:rsidR="00F04F17" w:rsidRDefault="007C4195">
                          <w:pPr>
                            <w:rPr>
                              <w:rFonts w:ascii="Rockwell" w:eastAsia="Rockwell" w:hAnsi="Rockwell" w:cs="Rockwell"/>
                              <w:color w:val="0078D7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Rockwell" w:eastAsia="Rockwell" w:hAnsi="Rockwell" w:cs="Rockwell"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Information Classification: General" style="position:absolute;left:0;text-align:left;margin-left:0;margin-top:0;width:163.55pt;height:25.55pt;z-index:251661312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" filled="f" stroked="f">
              <v:textbox style="mso-fit-shape-to-text:t" inset="20pt,0,0,15pt">
                <w:txbxContent>
                  <w:p w14:paraId="6163D0E2" w14:textId="77777777" w:rsidR="00F04F17" w:rsidRDefault="007C4195">
                    <w:pPr>
                      <w:rPr>
                        <w:rFonts w:ascii="Rockwell" w:eastAsia="Rockwell" w:hAnsi="Rockwell" w:cs="Rockwell"/>
                        <w:color w:val="0078D7"/>
                        <w:sz w:val="18"/>
                        <w:szCs w:val="18"/>
                      </w:rPr>
                    </w:pPr>
                    <w:r>
                      <w:rPr>
                        <w:rFonts w:ascii="Rockwell" w:eastAsia="Rockwell" w:hAnsi="Rockwell" w:cs="Rockwell"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A73182" w14:textId="77777777" w:rsidR="00F04F17" w:rsidRDefault="007C4195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align>bottom</wp:align>
              </wp:positionV>
              <wp:extent cx="2077085" cy="324485"/>
              <wp:effectExtent l="0" t="0" r="18415" b="0"/>
              <wp:wrapNone/>
              <wp:docPr id="434716441" name="Text Box 1" descr="Information Classification: Gener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708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752FC94" w14:textId="77777777" w:rsidR="00F04F17" w:rsidRDefault="007C4195">
                          <w:pPr>
                            <w:rPr>
                              <w:rFonts w:ascii="Rockwell" w:eastAsia="Rockwell" w:hAnsi="Rockwell" w:cs="Rockwell"/>
                              <w:color w:val="0078D7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Rockwell" w:eastAsia="Rockwell" w:hAnsi="Rockwell" w:cs="Rockwell"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Information Classification: General" style="position:absolute;left:0;text-align:left;margin-left:0;margin-top:0;width:163.55pt;height:25.5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" filled="f" stroked="f">
              <v:textbox style="mso-fit-shape-to-text:t" inset="20pt,0,0,15pt">
                <w:txbxContent>
                  <w:p w14:paraId="7752FC94" w14:textId="77777777" w:rsidR="00F04F17" w:rsidRDefault="007C4195">
                    <w:pPr>
                      <w:rPr>
                        <w:rFonts w:ascii="Rockwell" w:eastAsia="Rockwell" w:hAnsi="Rockwell" w:cs="Rockwell"/>
                        <w:color w:val="0078D7"/>
                        <w:sz w:val="18"/>
                        <w:szCs w:val="18"/>
                      </w:rPr>
                    </w:pPr>
                    <w:r>
                      <w:rPr>
                        <w:rFonts w:ascii="Rockwell" w:eastAsia="Rockwell" w:hAnsi="Rockwell" w:cs="Rockwell"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D232582" w14:textId="77777777" w:rsidR="007C4195" w:rsidRDefault="007C4195">
      <w:r>
        <w:separator/>
      </w:r>
    </w:p>
  </w:footnote>
  <w:footnote w:type="continuationSeparator" w:id="0">
    <w:p w14:paraId="4C6BD5BF" w14:textId="77777777" w:rsidR="007C4195" w:rsidRDefault="007C419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oNotTrackFormatting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ZDEwMTQ0ZmI0ZTNlOWZmMTBiOWNhZjJiMTM2ZGY5NjQifQ=="/>
  </w:docVars>
  <w:rsids>
    <w:rsidRoot w:val="00172A27"/>
    <w:rsid w:val="00020B56"/>
    <w:rsid w:val="000437F7"/>
    <w:rsid w:val="00172A27"/>
    <w:rsid w:val="00204E2F"/>
    <w:rsid w:val="002D261B"/>
    <w:rsid w:val="007C4195"/>
    <w:rsid w:val="008B32E9"/>
    <w:rsid w:val="00F04F17"/>
    <w:rsid w:val="02474300"/>
    <w:rsid w:val="04281514"/>
    <w:rsid w:val="04BF15D2"/>
    <w:rsid w:val="05816FE5"/>
    <w:rsid w:val="0A223E31"/>
    <w:rsid w:val="0AF73FD1"/>
    <w:rsid w:val="0F316F03"/>
    <w:rsid w:val="0FF7412C"/>
    <w:rsid w:val="0FF87EA4"/>
    <w:rsid w:val="10636951"/>
    <w:rsid w:val="112B77ED"/>
    <w:rsid w:val="11BD75F7"/>
    <w:rsid w:val="148B46B2"/>
    <w:rsid w:val="16A16824"/>
    <w:rsid w:val="1D044D3A"/>
    <w:rsid w:val="1E1E766F"/>
    <w:rsid w:val="1E4A1C36"/>
    <w:rsid w:val="20671B29"/>
    <w:rsid w:val="22EC3898"/>
    <w:rsid w:val="23203B2C"/>
    <w:rsid w:val="232B7BC8"/>
    <w:rsid w:val="25DD396C"/>
    <w:rsid w:val="26AD333E"/>
    <w:rsid w:val="28603127"/>
    <w:rsid w:val="29FB0865"/>
    <w:rsid w:val="2AFF3484"/>
    <w:rsid w:val="2FD17F9E"/>
    <w:rsid w:val="30160008"/>
    <w:rsid w:val="30996FE2"/>
    <w:rsid w:val="325B2481"/>
    <w:rsid w:val="342F4D0C"/>
    <w:rsid w:val="3A3E07ED"/>
    <w:rsid w:val="3DD31825"/>
    <w:rsid w:val="3F6F0434"/>
    <w:rsid w:val="431C4964"/>
    <w:rsid w:val="452D3B70"/>
    <w:rsid w:val="455D5BBE"/>
    <w:rsid w:val="4600167D"/>
    <w:rsid w:val="461F6FE7"/>
    <w:rsid w:val="47CB46CE"/>
    <w:rsid w:val="485053AC"/>
    <w:rsid w:val="49541809"/>
    <w:rsid w:val="4B09426C"/>
    <w:rsid w:val="534C76C2"/>
    <w:rsid w:val="537B019D"/>
    <w:rsid w:val="547C5F7A"/>
    <w:rsid w:val="54F14BBA"/>
    <w:rsid w:val="54F41FB5"/>
    <w:rsid w:val="57AF3EF5"/>
    <w:rsid w:val="57DC2426"/>
    <w:rsid w:val="5B2F5728"/>
    <w:rsid w:val="5D3F223B"/>
    <w:rsid w:val="68210EBB"/>
    <w:rsid w:val="6A8E035E"/>
    <w:rsid w:val="6A95793E"/>
    <w:rsid w:val="6E0E0133"/>
    <w:rsid w:val="6FD2331D"/>
    <w:rsid w:val="6FF660CA"/>
    <w:rsid w:val="704E1805"/>
    <w:rsid w:val="705710DC"/>
    <w:rsid w:val="71207C9A"/>
    <w:rsid w:val="729B07AB"/>
    <w:rsid w:val="76CE26D0"/>
    <w:rsid w:val="77CE4490"/>
    <w:rsid w:val="7DB87D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5:docId w15:val="{D01CFCFC-3AC8-4C00-B918-B568F90086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SimSun" w:hAnsi="Times New Roman" w:cs="Times New Roman"/>
        <w:lang w:val="en-NZ" w:eastAsia="en-N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9" w:unhideWhenUsed="1" w:qFormat="1"/>
    <w:lsdException w:name="heading 2" w:uiPriority="99" w:unhideWhenUsed="1" w:qFormat="1"/>
    <w:lsdException w:name="heading 3" w:uiPriority="9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qFormat="1"/>
    <w:lsdException w:name="footer" w:qFormat="1"/>
    <w:lsdException w:name="caption" w:semiHidden="1" w:unhideWhenUsed="1" w:qFormat="1"/>
    <w:lsdException w:name="annotation reference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autoRedefine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val="en-US" w:eastAsia="zh-CN"/>
    </w:rPr>
  </w:style>
  <w:style w:type="paragraph" w:styleId="Heading1">
    <w:name w:val="heading 1"/>
    <w:uiPriority w:val="99"/>
    <w:unhideWhenUsed/>
    <w:qFormat/>
    <w:pPr>
      <w:widowControl w:val="0"/>
      <w:autoSpaceDE w:val="0"/>
      <w:autoSpaceDN w:val="0"/>
      <w:adjustRightInd w:val="0"/>
      <w:outlineLvl w:val="0"/>
    </w:pPr>
    <w:rPr>
      <w:rFonts w:ascii="Courier New" w:hAnsi="Courier New"/>
      <w:b/>
      <w:color w:val="000000"/>
      <w:sz w:val="32"/>
      <w:szCs w:val="24"/>
    </w:rPr>
  </w:style>
  <w:style w:type="paragraph" w:styleId="Heading2">
    <w:name w:val="heading 2"/>
    <w:uiPriority w:val="99"/>
    <w:unhideWhenUsed/>
    <w:qFormat/>
    <w:pPr>
      <w:widowControl w:val="0"/>
      <w:autoSpaceDE w:val="0"/>
      <w:autoSpaceDN w:val="0"/>
      <w:adjustRightInd w:val="0"/>
      <w:outlineLvl w:val="1"/>
    </w:pPr>
    <w:rPr>
      <w:rFonts w:ascii="Courier New" w:hAnsi="Courier New"/>
      <w:b/>
      <w:i/>
      <w:color w:val="000000"/>
      <w:sz w:val="28"/>
      <w:szCs w:val="24"/>
    </w:rPr>
  </w:style>
  <w:style w:type="paragraph" w:styleId="Heading3">
    <w:name w:val="heading 3"/>
    <w:uiPriority w:val="99"/>
    <w:unhideWhenUsed/>
    <w:qFormat/>
    <w:pPr>
      <w:widowControl w:val="0"/>
      <w:autoSpaceDE w:val="0"/>
      <w:autoSpaceDN w:val="0"/>
      <w:adjustRightInd w:val="0"/>
      <w:outlineLvl w:val="2"/>
    </w:pPr>
    <w:rPr>
      <w:rFonts w:ascii="Courier New" w:hAnsi="Courier New"/>
      <w:b/>
      <w:color w:val="000000"/>
      <w:sz w:val="26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qFormat/>
    <w:rPr>
      <w:sz w:val="20"/>
      <w:szCs w:val="20"/>
    </w:rPr>
  </w:style>
  <w:style w:type="paragraph" w:styleId="Footer">
    <w:name w:val="footer"/>
    <w:basedOn w:val="Normal"/>
    <w:link w:val="FooterChar"/>
    <w:qFormat/>
    <w:pPr>
      <w:tabs>
        <w:tab w:val="center" w:pos="4513"/>
        <w:tab w:val="right" w:pos="9026"/>
      </w:tabs>
    </w:pPr>
  </w:style>
  <w:style w:type="paragraph" w:styleId="NormalWeb">
    <w:name w:val="Normal (Web)"/>
    <w:basedOn w:val="Normal"/>
    <w:qFormat/>
    <w:rPr>
      <w:sz w:val="24"/>
    </w:rPr>
  </w:style>
  <w:style w:type="paragraph" w:styleId="CommentSubject">
    <w:name w:val="annotation subject"/>
    <w:basedOn w:val="CommentText"/>
    <w:next w:val="CommentText"/>
    <w:link w:val="CommentSubjectChar"/>
    <w:qFormat/>
    <w:rPr>
      <w:b/>
      <w:bCs/>
    </w:rPr>
  </w:style>
  <w:style w:type="table" w:styleId="TableGrid">
    <w:name w:val="Table Grid"/>
    <w:basedOn w:val="TableNormal"/>
    <w:autoRedefine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qFormat/>
    <w:rPr>
      <w:sz w:val="16"/>
      <w:szCs w:val="16"/>
    </w:rPr>
  </w:style>
  <w:style w:type="character" w:customStyle="1" w:styleId="CommentTextChar">
    <w:name w:val="Comment Text Char"/>
    <w:basedOn w:val="DefaultParagraphFont"/>
    <w:link w:val="CommentText"/>
    <w:qFormat/>
    <w:rPr>
      <w:rFonts w:asciiTheme="minorHAnsi" w:eastAsiaTheme="minorEastAsia" w:hAnsiTheme="minorHAnsi" w:cstheme="minorBidi"/>
      <w:kern w:val="2"/>
      <w:lang w:val="en-US" w:eastAsia="zh-CN"/>
    </w:rPr>
  </w:style>
  <w:style w:type="character" w:customStyle="1" w:styleId="CommentSubjectChar">
    <w:name w:val="Comment Subject Char"/>
    <w:basedOn w:val="CommentTextChar"/>
    <w:link w:val="CommentSubject"/>
    <w:qFormat/>
    <w:rPr>
      <w:rFonts w:asciiTheme="minorHAnsi" w:eastAsiaTheme="minorEastAsia" w:hAnsiTheme="minorHAnsi" w:cstheme="minorBidi"/>
      <w:b/>
      <w:bCs/>
      <w:kern w:val="2"/>
      <w:lang w:val="en-US" w:eastAsia="zh-CN"/>
    </w:rPr>
  </w:style>
  <w:style w:type="character" w:customStyle="1" w:styleId="FooterChar">
    <w:name w:val="Footer Char"/>
    <w:basedOn w:val="DefaultParagraphFont"/>
    <w:link w:val="Footer"/>
    <w:qFormat/>
    <w:rPr>
      <w:rFonts w:asciiTheme="minorHAnsi" w:eastAsiaTheme="minorEastAsia" w:hAnsiTheme="minorHAnsi" w:cstheme="minorBidi"/>
      <w:kern w:val="2"/>
      <w:sz w:val="21"/>
      <w:szCs w:val="24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262</Words>
  <Characters>1499</Characters>
  <Application>Microsoft Office Word</Application>
  <DocSecurity>0</DocSecurity>
  <Lines>12</Lines>
  <Paragraphs>3</Paragraphs>
  <ScaleCrop>false</ScaleCrop>
  <Company/>
  <LinksUpToDate>false</LinksUpToDate>
  <CharactersWithSpaces>1758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Nicholson, Tamara</cp:lastModifiedBy>
  <cp:revision>2</cp:revision>
  <dcterms:created xsi:type="dcterms:W3CDTF">2024-11-13T20:27:00Z</dcterms:created>
  <dcterms:modified xsi:type="dcterms:W3CDTF">2024-11-13T20:27:00Z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D8B4904C62274C0B9C7392C5CAB21280_13</vt:lpwstr>
  </property>
  <property fmtid="{D5CDD505-2E9C-101B-9397-08002B2CF9AE}" pid="4" name="ClassificationContentMarkingFooterShapeIds">
    <vt:lpwstr>19e93f19,21d58a99,584c20e3</vt:lpwstr>
  </property>
  <property fmtid="{D5CDD505-2E9C-101B-9397-08002B2CF9AE}" pid="5" name="ClassificationContentMarkingFooterFontProps">
    <vt:lpwstr>#0078d7,9,Rockwell</vt:lpwstr>
  </property>
  <property fmtid="{D5CDD505-2E9C-101B-9397-08002B2CF9AE}" pid="6" name="ClassificationContentMarkingFooterText">
    <vt:lpwstr>Information Classification: General</vt:lpwstr>
  </property>
  <property fmtid="{D5CDD505-2E9C-101B-9397-08002B2CF9AE}" pid="7" name="MSIP_Label_2bbab825-a111-45e4-86a1-18cee0005896_Enabled">
    <vt:lpwstr>true</vt:lpwstr>
  </property>
  <property fmtid="{D5CDD505-2E9C-101B-9397-08002B2CF9AE}" pid="8" name="MSIP_Label_2bbab825-a111-45e4-86a1-18cee0005896_SetDate">
    <vt:lpwstr>2024-11-04T22:54:18Z</vt:lpwstr>
  </property>
  <property fmtid="{D5CDD505-2E9C-101B-9397-08002B2CF9AE}" pid="9" name="MSIP_Label_2bbab825-a111-45e4-86a1-18cee0005896_Method">
    <vt:lpwstr>Standard</vt:lpwstr>
  </property>
  <property fmtid="{D5CDD505-2E9C-101B-9397-08002B2CF9AE}" pid="10" name="MSIP_Label_2bbab825-a111-45e4-86a1-18cee0005896_Name">
    <vt:lpwstr>2bbab825-a111-45e4-86a1-18cee0005896</vt:lpwstr>
  </property>
  <property fmtid="{D5CDD505-2E9C-101B-9397-08002B2CF9AE}" pid="11" name="MSIP_Label_2bbab825-a111-45e4-86a1-18cee0005896_SiteId">
    <vt:lpwstr>2567d566-604c-408a-8a60-55d0dc9d9d6b</vt:lpwstr>
  </property>
  <property fmtid="{D5CDD505-2E9C-101B-9397-08002B2CF9AE}" pid="12" name="MSIP_Label_2bbab825-a111-45e4-86a1-18cee0005896_ActionId">
    <vt:lpwstr>2775f693-f414-4c9d-a7e6-d11dcfcf8020</vt:lpwstr>
  </property>
  <property fmtid="{D5CDD505-2E9C-101B-9397-08002B2CF9AE}" pid="13" name="MSIP_Label_2bbab825-a111-45e4-86a1-18cee0005896_ContentBits">
    <vt:lpwstr>2</vt:lpwstr>
  </property>
</Properties>
</file>