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E9B1E" w14:textId="77777777" w:rsidR="001A4A44" w:rsidRDefault="001A4A44" w:rsidP="001A4A44">
      <w:pPr>
        <w:spacing w:line="480" w:lineRule="auto"/>
        <w:jc w:val="both"/>
        <w:rPr>
          <w:rFonts w:ascii="Times New Roman" w:hAnsi="Times New Roman" w:cs="Times New Roman"/>
          <w:sz w:val="24"/>
          <w:szCs w:val="24"/>
        </w:rPr>
      </w:pPr>
      <w:r>
        <w:rPr>
          <w:rFonts w:ascii="Times New Roman" w:hAnsi="Times New Roman" w:cs="Times New Roman"/>
          <w:sz w:val="24"/>
          <w:szCs w:val="24"/>
        </w:rPr>
        <w:t>Supplementary Table 1. The baseline characteristics of the training and validation groups</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710"/>
        <w:gridCol w:w="1849"/>
        <w:gridCol w:w="8"/>
        <w:gridCol w:w="1452"/>
        <w:gridCol w:w="8"/>
        <w:gridCol w:w="1449"/>
        <w:gridCol w:w="8"/>
        <w:gridCol w:w="1220"/>
        <w:gridCol w:w="8"/>
      </w:tblGrid>
      <w:tr w:rsidR="001A4A44" w14:paraId="252D5180" w14:textId="77777777" w:rsidTr="00835142">
        <w:trPr>
          <w:gridAfter w:val="1"/>
          <w:wAfter w:w="8" w:type="dxa"/>
          <w:trHeight w:val="284"/>
          <w:jc w:val="center"/>
        </w:trPr>
        <w:tc>
          <w:tcPr>
            <w:tcW w:w="3559" w:type="dxa"/>
            <w:gridSpan w:val="2"/>
            <w:tcBorders>
              <w:bottom w:val="single" w:sz="4" w:space="0" w:color="auto"/>
              <w:tl2br w:val="nil"/>
              <w:tr2bl w:val="nil"/>
            </w:tcBorders>
            <w:shd w:val="clear" w:color="auto" w:fill="auto"/>
            <w:vAlign w:val="center"/>
          </w:tcPr>
          <w:p w14:paraId="5C418891"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460" w:type="dxa"/>
            <w:gridSpan w:val="2"/>
            <w:tcBorders>
              <w:bottom w:val="single" w:sz="4" w:space="0" w:color="auto"/>
              <w:tl2br w:val="nil"/>
              <w:tr2bl w:val="nil"/>
            </w:tcBorders>
            <w:shd w:val="clear" w:color="auto" w:fill="auto"/>
            <w:vAlign w:val="center"/>
          </w:tcPr>
          <w:p w14:paraId="59210521"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Training (%)</w:t>
            </w:r>
          </w:p>
        </w:tc>
        <w:tc>
          <w:tcPr>
            <w:tcW w:w="1457" w:type="dxa"/>
            <w:gridSpan w:val="2"/>
            <w:tcBorders>
              <w:bottom w:val="single" w:sz="4" w:space="0" w:color="auto"/>
              <w:tl2br w:val="nil"/>
              <w:tr2bl w:val="nil"/>
            </w:tcBorders>
            <w:shd w:val="clear" w:color="auto" w:fill="auto"/>
            <w:vAlign w:val="center"/>
          </w:tcPr>
          <w:p w14:paraId="62CEB6C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Validation (%)</w:t>
            </w:r>
          </w:p>
        </w:tc>
        <w:tc>
          <w:tcPr>
            <w:tcW w:w="1228" w:type="dxa"/>
            <w:gridSpan w:val="2"/>
            <w:tcBorders>
              <w:bottom w:val="single" w:sz="4" w:space="0" w:color="auto"/>
              <w:tl2br w:val="nil"/>
              <w:tr2bl w:val="nil"/>
            </w:tcBorders>
            <w:shd w:val="clear" w:color="auto" w:fill="auto"/>
            <w:vAlign w:val="center"/>
          </w:tcPr>
          <w:p w14:paraId="2F45D5F1" w14:textId="77777777" w:rsidR="001A4A44" w:rsidRDefault="001A4A44" w:rsidP="00835142">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P</w:t>
            </w:r>
          </w:p>
        </w:tc>
      </w:tr>
      <w:tr w:rsidR="001A4A44" w14:paraId="0590DBF4" w14:textId="77777777" w:rsidTr="00835142">
        <w:trPr>
          <w:trHeight w:val="284"/>
          <w:jc w:val="center"/>
        </w:trPr>
        <w:tc>
          <w:tcPr>
            <w:tcW w:w="1710" w:type="dxa"/>
            <w:tcBorders>
              <w:top w:val="single" w:sz="4" w:space="0" w:color="auto"/>
            </w:tcBorders>
            <w:shd w:val="clear" w:color="auto" w:fill="auto"/>
            <w:vAlign w:val="center"/>
          </w:tcPr>
          <w:p w14:paraId="569C51E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Number</w:t>
            </w:r>
          </w:p>
        </w:tc>
        <w:tc>
          <w:tcPr>
            <w:tcW w:w="1857" w:type="dxa"/>
            <w:gridSpan w:val="2"/>
            <w:tcBorders>
              <w:top w:val="single" w:sz="4" w:space="0" w:color="auto"/>
            </w:tcBorders>
            <w:shd w:val="clear" w:color="auto" w:fill="auto"/>
            <w:vAlign w:val="center"/>
          </w:tcPr>
          <w:p w14:paraId="45FEB973" w14:textId="77777777" w:rsidR="001A4A44" w:rsidRDefault="001A4A44" w:rsidP="00835142">
            <w:pPr>
              <w:spacing w:line="480" w:lineRule="auto"/>
              <w:jc w:val="both"/>
              <w:rPr>
                <w:rFonts w:ascii="Times New Roman" w:hAnsi="Times New Roman" w:cs="Times New Roman"/>
                <w:sz w:val="24"/>
                <w:szCs w:val="24"/>
              </w:rPr>
            </w:pPr>
          </w:p>
        </w:tc>
        <w:tc>
          <w:tcPr>
            <w:tcW w:w="1460" w:type="dxa"/>
            <w:gridSpan w:val="2"/>
            <w:tcBorders>
              <w:top w:val="single" w:sz="4" w:space="0" w:color="auto"/>
            </w:tcBorders>
            <w:shd w:val="clear" w:color="auto" w:fill="auto"/>
            <w:vAlign w:val="center"/>
          </w:tcPr>
          <w:p w14:paraId="581D42E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159 (100%)</w:t>
            </w:r>
          </w:p>
        </w:tc>
        <w:tc>
          <w:tcPr>
            <w:tcW w:w="1457" w:type="dxa"/>
            <w:gridSpan w:val="2"/>
            <w:tcBorders>
              <w:top w:val="single" w:sz="4" w:space="0" w:color="auto"/>
            </w:tcBorders>
            <w:shd w:val="clear" w:color="auto" w:fill="auto"/>
            <w:vAlign w:val="center"/>
          </w:tcPr>
          <w:p w14:paraId="759C4E6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47 (30%)</w:t>
            </w:r>
          </w:p>
        </w:tc>
        <w:tc>
          <w:tcPr>
            <w:tcW w:w="1228" w:type="dxa"/>
            <w:gridSpan w:val="2"/>
            <w:tcBorders>
              <w:top w:val="single" w:sz="4" w:space="0" w:color="auto"/>
            </w:tcBorders>
            <w:shd w:val="clear" w:color="auto" w:fill="auto"/>
            <w:vAlign w:val="center"/>
          </w:tcPr>
          <w:p w14:paraId="08782E32" w14:textId="77777777" w:rsidR="001A4A44" w:rsidRDefault="001A4A44" w:rsidP="00835142">
            <w:pPr>
              <w:spacing w:line="480" w:lineRule="auto"/>
              <w:jc w:val="both"/>
              <w:rPr>
                <w:rFonts w:ascii="Times New Roman" w:hAnsi="Times New Roman" w:cs="Times New Roman"/>
                <w:sz w:val="24"/>
                <w:szCs w:val="24"/>
              </w:rPr>
            </w:pPr>
          </w:p>
        </w:tc>
      </w:tr>
      <w:tr w:rsidR="001A4A44" w14:paraId="7ABDCF2A" w14:textId="77777777" w:rsidTr="00835142">
        <w:trPr>
          <w:trHeight w:val="284"/>
          <w:jc w:val="center"/>
        </w:trPr>
        <w:tc>
          <w:tcPr>
            <w:tcW w:w="1710" w:type="dxa"/>
            <w:vMerge w:val="restart"/>
            <w:tcBorders>
              <w:tl2br w:val="nil"/>
              <w:tr2bl w:val="nil"/>
            </w:tcBorders>
            <w:shd w:val="clear" w:color="auto" w:fill="auto"/>
            <w:vAlign w:val="center"/>
          </w:tcPr>
          <w:p w14:paraId="2152E46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Age, years</w:t>
            </w:r>
          </w:p>
        </w:tc>
        <w:tc>
          <w:tcPr>
            <w:tcW w:w="1857" w:type="dxa"/>
            <w:gridSpan w:val="2"/>
            <w:tcBorders>
              <w:tl2br w:val="nil"/>
              <w:tr2bl w:val="nil"/>
            </w:tcBorders>
            <w:shd w:val="clear" w:color="auto" w:fill="auto"/>
            <w:vAlign w:val="center"/>
          </w:tcPr>
          <w:p w14:paraId="0411F9B3" w14:textId="77777777" w:rsidR="001A4A44" w:rsidRDefault="001A4A44" w:rsidP="00835142">
            <w:pPr>
              <w:spacing w:line="480" w:lineRule="auto"/>
              <w:jc w:val="both"/>
              <w:rPr>
                <w:rFonts w:ascii="Times New Roman" w:hAnsi="Times New Roman" w:cs="Times New Roman"/>
                <w:sz w:val="24"/>
                <w:szCs w:val="24"/>
              </w:rPr>
            </w:pPr>
            <w:r>
              <w:rPr>
                <w:rFonts w:ascii="Times New Roman" w:eastAsia="MS Gothic" w:hAnsi="Times New Roman" w:cs="Times New Roman"/>
                <w:sz w:val="24"/>
                <w:szCs w:val="24"/>
              </w:rPr>
              <w:t>&lt;</w:t>
            </w:r>
            <w:r>
              <w:rPr>
                <w:rFonts w:ascii="Times New Roman" w:hAnsi="Times New Roman" w:cs="Times New Roman"/>
                <w:sz w:val="24"/>
                <w:szCs w:val="24"/>
              </w:rPr>
              <w:t>40</w:t>
            </w:r>
          </w:p>
        </w:tc>
        <w:tc>
          <w:tcPr>
            <w:tcW w:w="1460" w:type="dxa"/>
            <w:gridSpan w:val="2"/>
            <w:tcBorders>
              <w:tl2br w:val="nil"/>
              <w:tr2bl w:val="nil"/>
            </w:tcBorders>
            <w:shd w:val="clear" w:color="auto" w:fill="auto"/>
            <w:vAlign w:val="center"/>
          </w:tcPr>
          <w:p w14:paraId="40A5022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30 (18.9%)</w:t>
            </w:r>
          </w:p>
        </w:tc>
        <w:tc>
          <w:tcPr>
            <w:tcW w:w="1457" w:type="dxa"/>
            <w:gridSpan w:val="2"/>
            <w:tcBorders>
              <w:tl2br w:val="nil"/>
              <w:tr2bl w:val="nil"/>
            </w:tcBorders>
            <w:shd w:val="clear" w:color="auto" w:fill="auto"/>
            <w:vAlign w:val="center"/>
          </w:tcPr>
          <w:p w14:paraId="15512A0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12 (25.5%)</w:t>
            </w:r>
          </w:p>
        </w:tc>
        <w:tc>
          <w:tcPr>
            <w:tcW w:w="1228" w:type="dxa"/>
            <w:gridSpan w:val="2"/>
            <w:tcBorders>
              <w:tl2br w:val="nil"/>
              <w:tr2bl w:val="nil"/>
            </w:tcBorders>
            <w:shd w:val="clear" w:color="auto" w:fill="auto"/>
            <w:vAlign w:val="center"/>
          </w:tcPr>
          <w:p w14:paraId="65C6126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0.609</w:t>
            </w:r>
          </w:p>
        </w:tc>
      </w:tr>
      <w:tr w:rsidR="001A4A44" w14:paraId="53B6D0FA" w14:textId="77777777" w:rsidTr="00835142">
        <w:trPr>
          <w:trHeight w:val="284"/>
          <w:jc w:val="center"/>
        </w:trPr>
        <w:tc>
          <w:tcPr>
            <w:tcW w:w="1710" w:type="dxa"/>
            <w:vMerge/>
            <w:tcBorders>
              <w:tl2br w:val="nil"/>
              <w:tr2bl w:val="nil"/>
            </w:tcBorders>
            <w:shd w:val="clear" w:color="auto" w:fill="auto"/>
            <w:vAlign w:val="center"/>
          </w:tcPr>
          <w:p w14:paraId="5EC169DA"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3D06CA1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40–65</w:t>
            </w:r>
          </w:p>
        </w:tc>
        <w:tc>
          <w:tcPr>
            <w:tcW w:w="1460" w:type="dxa"/>
            <w:gridSpan w:val="2"/>
            <w:tcBorders>
              <w:tl2br w:val="nil"/>
              <w:tr2bl w:val="nil"/>
            </w:tcBorders>
            <w:shd w:val="clear" w:color="auto" w:fill="auto"/>
            <w:vAlign w:val="center"/>
          </w:tcPr>
          <w:p w14:paraId="4884359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85 (53.5%)</w:t>
            </w:r>
          </w:p>
        </w:tc>
        <w:tc>
          <w:tcPr>
            <w:tcW w:w="1457" w:type="dxa"/>
            <w:gridSpan w:val="2"/>
            <w:tcBorders>
              <w:tl2br w:val="nil"/>
              <w:tr2bl w:val="nil"/>
            </w:tcBorders>
            <w:shd w:val="clear" w:color="auto" w:fill="auto"/>
            <w:vAlign w:val="center"/>
          </w:tcPr>
          <w:p w14:paraId="1308BC2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23 (48.9%)</w:t>
            </w:r>
          </w:p>
        </w:tc>
        <w:tc>
          <w:tcPr>
            <w:tcW w:w="1228" w:type="dxa"/>
            <w:gridSpan w:val="2"/>
            <w:tcBorders>
              <w:tl2br w:val="nil"/>
              <w:tr2bl w:val="nil"/>
            </w:tcBorders>
            <w:shd w:val="clear" w:color="auto" w:fill="auto"/>
            <w:vAlign w:val="center"/>
          </w:tcPr>
          <w:p w14:paraId="5126AC8F" w14:textId="77777777" w:rsidR="001A4A44" w:rsidRDefault="001A4A44" w:rsidP="00835142">
            <w:pPr>
              <w:spacing w:line="480" w:lineRule="auto"/>
              <w:jc w:val="both"/>
              <w:rPr>
                <w:rFonts w:ascii="Times New Roman" w:hAnsi="Times New Roman" w:cs="Times New Roman"/>
                <w:sz w:val="24"/>
                <w:szCs w:val="24"/>
              </w:rPr>
            </w:pPr>
          </w:p>
        </w:tc>
      </w:tr>
      <w:tr w:rsidR="001A4A44" w14:paraId="25F66229" w14:textId="77777777" w:rsidTr="00835142">
        <w:trPr>
          <w:trHeight w:val="284"/>
          <w:jc w:val="center"/>
        </w:trPr>
        <w:tc>
          <w:tcPr>
            <w:tcW w:w="1710" w:type="dxa"/>
            <w:vMerge/>
            <w:tcBorders>
              <w:tl2br w:val="nil"/>
              <w:tr2bl w:val="nil"/>
            </w:tcBorders>
            <w:shd w:val="clear" w:color="auto" w:fill="auto"/>
            <w:vAlign w:val="center"/>
          </w:tcPr>
          <w:p w14:paraId="277BD74C"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54FF353B" w14:textId="77777777" w:rsidR="001A4A44" w:rsidRDefault="001A4A44" w:rsidP="00835142">
            <w:pPr>
              <w:spacing w:line="480" w:lineRule="auto"/>
              <w:jc w:val="both"/>
              <w:rPr>
                <w:rFonts w:ascii="Times New Roman" w:hAnsi="Times New Roman" w:cs="Times New Roman"/>
                <w:sz w:val="24"/>
                <w:szCs w:val="24"/>
              </w:rPr>
            </w:pPr>
            <w:r>
              <w:rPr>
                <w:rFonts w:ascii="Times New Roman" w:eastAsia="MS Gothic" w:hAnsi="Times New Roman" w:cs="Times New Roman"/>
                <w:sz w:val="24"/>
                <w:szCs w:val="24"/>
              </w:rPr>
              <w:t>&gt;</w:t>
            </w:r>
            <w:r>
              <w:rPr>
                <w:rFonts w:ascii="Times New Roman" w:hAnsi="Times New Roman" w:cs="Times New Roman"/>
                <w:sz w:val="24"/>
                <w:szCs w:val="24"/>
              </w:rPr>
              <w:t>65</w:t>
            </w:r>
          </w:p>
        </w:tc>
        <w:tc>
          <w:tcPr>
            <w:tcW w:w="1460" w:type="dxa"/>
            <w:gridSpan w:val="2"/>
            <w:tcBorders>
              <w:tl2br w:val="nil"/>
              <w:tr2bl w:val="nil"/>
            </w:tcBorders>
            <w:shd w:val="clear" w:color="auto" w:fill="auto"/>
            <w:vAlign w:val="center"/>
          </w:tcPr>
          <w:p w14:paraId="5DAA023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44 (27.7%)</w:t>
            </w:r>
          </w:p>
        </w:tc>
        <w:tc>
          <w:tcPr>
            <w:tcW w:w="1457" w:type="dxa"/>
            <w:gridSpan w:val="2"/>
            <w:tcBorders>
              <w:tl2br w:val="nil"/>
              <w:tr2bl w:val="nil"/>
            </w:tcBorders>
            <w:shd w:val="clear" w:color="auto" w:fill="auto"/>
            <w:vAlign w:val="center"/>
          </w:tcPr>
          <w:p w14:paraId="5E247D8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12 (25.5%)</w:t>
            </w:r>
          </w:p>
        </w:tc>
        <w:tc>
          <w:tcPr>
            <w:tcW w:w="1228" w:type="dxa"/>
            <w:gridSpan w:val="2"/>
            <w:tcBorders>
              <w:tl2br w:val="nil"/>
              <w:tr2bl w:val="nil"/>
            </w:tcBorders>
            <w:shd w:val="clear" w:color="auto" w:fill="auto"/>
            <w:vAlign w:val="center"/>
          </w:tcPr>
          <w:p w14:paraId="38F18E8C" w14:textId="77777777" w:rsidR="001A4A44" w:rsidRDefault="001A4A44" w:rsidP="00835142">
            <w:pPr>
              <w:spacing w:line="480" w:lineRule="auto"/>
              <w:jc w:val="both"/>
              <w:rPr>
                <w:rFonts w:ascii="Times New Roman" w:hAnsi="Times New Roman" w:cs="Times New Roman"/>
                <w:sz w:val="24"/>
                <w:szCs w:val="24"/>
              </w:rPr>
            </w:pPr>
          </w:p>
        </w:tc>
      </w:tr>
      <w:tr w:rsidR="001A4A44" w14:paraId="5EA8620F" w14:textId="77777777" w:rsidTr="00835142">
        <w:trPr>
          <w:trHeight w:val="284"/>
          <w:jc w:val="center"/>
        </w:trPr>
        <w:tc>
          <w:tcPr>
            <w:tcW w:w="1710" w:type="dxa"/>
            <w:vMerge w:val="restart"/>
            <w:tcBorders>
              <w:tl2br w:val="nil"/>
              <w:tr2bl w:val="nil"/>
            </w:tcBorders>
            <w:shd w:val="clear" w:color="auto" w:fill="auto"/>
            <w:vAlign w:val="center"/>
          </w:tcPr>
          <w:p w14:paraId="7820757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Sex</w:t>
            </w:r>
          </w:p>
        </w:tc>
        <w:tc>
          <w:tcPr>
            <w:tcW w:w="1857" w:type="dxa"/>
            <w:gridSpan w:val="2"/>
            <w:tcBorders>
              <w:tl2br w:val="nil"/>
              <w:tr2bl w:val="nil"/>
            </w:tcBorders>
            <w:shd w:val="clear" w:color="auto" w:fill="auto"/>
            <w:vAlign w:val="center"/>
          </w:tcPr>
          <w:p w14:paraId="104652E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460" w:type="dxa"/>
            <w:gridSpan w:val="2"/>
            <w:tcBorders>
              <w:tl2br w:val="nil"/>
              <w:tr2bl w:val="nil"/>
            </w:tcBorders>
            <w:shd w:val="clear" w:color="auto" w:fill="auto"/>
            <w:vAlign w:val="center"/>
          </w:tcPr>
          <w:p w14:paraId="74E6720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85 (53.5%)</w:t>
            </w:r>
          </w:p>
        </w:tc>
        <w:tc>
          <w:tcPr>
            <w:tcW w:w="1457" w:type="dxa"/>
            <w:gridSpan w:val="2"/>
            <w:tcBorders>
              <w:tl2br w:val="nil"/>
              <w:tr2bl w:val="nil"/>
            </w:tcBorders>
            <w:shd w:val="clear" w:color="auto" w:fill="auto"/>
            <w:vAlign w:val="center"/>
          </w:tcPr>
          <w:p w14:paraId="47B267A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25 (53.2%)</w:t>
            </w:r>
          </w:p>
        </w:tc>
        <w:tc>
          <w:tcPr>
            <w:tcW w:w="1228" w:type="dxa"/>
            <w:gridSpan w:val="2"/>
            <w:tcBorders>
              <w:tl2br w:val="nil"/>
              <w:tr2bl w:val="nil"/>
            </w:tcBorders>
            <w:shd w:val="clear" w:color="auto" w:fill="auto"/>
            <w:vAlign w:val="center"/>
          </w:tcPr>
          <w:p w14:paraId="223ECF6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0.974</w:t>
            </w:r>
          </w:p>
        </w:tc>
      </w:tr>
      <w:tr w:rsidR="001A4A44" w14:paraId="254E4E4E" w14:textId="77777777" w:rsidTr="00835142">
        <w:trPr>
          <w:trHeight w:val="284"/>
          <w:jc w:val="center"/>
        </w:trPr>
        <w:tc>
          <w:tcPr>
            <w:tcW w:w="1710" w:type="dxa"/>
            <w:vMerge/>
            <w:tcBorders>
              <w:tl2br w:val="nil"/>
              <w:tr2bl w:val="nil"/>
            </w:tcBorders>
            <w:shd w:val="clear" w:color="auto" w:fill="auto"/>
            <w:vAlign w:val="center"/>
          </w:tcPr>
          <w:p w14:paraId="7CC6D501"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72E6755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460" w:type="dxa"/>
            <w:gridSpan w:val="2"/>
            <w:tcBorders>
              <w:tl2br w:val="nil"/>
              <w:tr2bl w:val="nil"/>
            </w:tcBorders>
            <w:shd w:val="clear" w:color="auto" w:fill="auto"/>
            <w:vAlign w:val="center"/>
          </w:tcPr>
          <w:p w14:paraId="0E3116C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74 (46.5%)</w:t>
            </w:r>
          </w:p>
        </w:tc>
        <w:tc>
          <w:tcPr>
            <w:tcW w:w="1457" w:type="dxa"/>
            <w:gridSpan w:val="2"/>
            <w:tcBorders>
              <w:tl2br w:val="nil"/>
              <w:tr2bl w:val="nil"/>
            </w:tcBorders>
            <w:shd w:val="clear" w:color="auto" w:fill="auto"/>
            <w:vAlign w:val="center"/>
          </w:tcPr>
          <w:p w14:paraId="0C43875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22 (46.8%)</w:t>
            </w:r>
          </w:p>
        </w:tc>
        <w:tc>
          <w:tcPr>
            <w:tcW w:w="1228" w:type="dxa"/>
            <w:gridSpan w:val="2"/>
            <w:tcBorders>
              <w:tl2br w:val="nil"/>
              <w:tr2bl w:val="nil"/>
            </w:tcBorders>
            <w:shd w:val="clear" w:color="auto" w:fill="auto"/>
            <w:vAlign w:val="center"/>
          </w:tcPr>
          <w:p w14:paraId="15ACE809" w14:textId="77777777" w:rsidR="001A4A44" w:rsidRDefault="001A4A44" w:rsidP="00835142">
            <w:pPr>
              <w:spacing w:line="480" w:lineRule="auto"/>
              <w:jc w:val="both"/>
              <w:rPr>
                <w:rFonts w:ascii="Times New Roman" w:hAnsi="Times New Roman" w:cs="Times New Roman"/>
                <w:sz w:val="24"/>
                <w:szCs w:val="24"/>
              </w:rPr>
            </w:pPr>
          </w:p>
        </w:tc>
      </w:tr>
      <w:tr w:rsidR="001A4A44" w14:paraId="5799D17C" w14:textId="77777777" w:rsidTr="00835142">
        <w:trPr>
          <w:trHeight w:val="284"/>
          <w:jc w:val="center"/>
        </w:trPr>
        <w:tc>
          <w:tcPr>
            <w:tcW w:w="1710" w:type="dxa"/>
            <w:vMerge w:val="restart"/>
            <w:tcBorders>
              <w:tl2br w:val="nil"/>
              <w:tr2bl w:val="nil"/>
            </w:tcBorders>
            <w:shd w:val="clear" w:color="auto" w:fill="auto"/>
            <w:vAlign w:val="center"/>
          </w:tcPr>
          <w:p w14:paraId="481EC02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857" w:type="dxa"/>
            <w:gridSpan w:val="2"/>
            <w:tcBorders>
              <w:tl2br w:val="nil"/>
              <w:tr2bl w:val="nil"/>
            </w:tcBorders>
            <w:shd w:val="clear" w:color="auto" w:fill="auto"/>
            <w:vAlign w:val="center"/>
          </w:tcPr>
          <w:p w14:paraId="5EBF873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460" w:type="dxa"/>
            <w:gridSpan w:val="2"/>
            <w:tcBorders>
              <w:tl2br w:val="nil"/>
              <w:tr2bl w:val="nil"/>
            </w:tcBorders>
            <w:shd w:val="clear" w:color="auto" w:fill="auto"/>
            <w:vAlign w:val="center"/>
          </w:tcPr>
          <w:p w14:paraId="74B429E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130 (81.8%)</w:t>
            </w:r>
          </w:p>
        </w:tc>
        <w:tc>
          <w:tcPr>
            <w:tcW w:w="1457" w:type="dxa"/>
            <w:gridSpan w:val="2"/>
            <w:tcBorders>
              <w:tl2br w:val="nil"/>
              <w:tr2bl w:val="nil"/>
            </w:tcBorders>
            <w:shd w:val="clear" w:color="auto" w:fill="auto"/>
            <w:vAlign w:val="center"/>
          </w:tcPr>
          <w:p w14:paraId="3EB7FDE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34 (72.3%)</w:t>
            </w:r>
          </w:p>
        </w:tc>
        <w:tc>
          <w:tcPr>
            <w:tcW w:w="1228" w:type="dxa"/>
            <w:gridSpan w:val="2"/>
            <w:tcBorders>
              <w:tl2br w:val="nil"/>
              <w:tr2bl w:val="nil"/>
            </w:tcBorders>
            <w:shd w:val="clear" w:color="auto" w:fill="auto"/>
            <w:vAlign w:val="center"/>
          </w:tcPr>
          <w:p w14:paraId="339433F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0.159</w:t>
            </w:r>
          </w:p>
        </w:tc>
      </w:tr>
      <w:tr w:rsidR="001A4A44" w14:paraId="7B5A0B60" w14:textId="77777777" w:rsidTr="00835142">
        <w:trPr>
          <w:trHeight w:val="284"/>
          <w:jc w:val="center"/>
        </w:trPr>
        <w:tc>
          <w:tcPr>
            <w:tcW w:w="1710" w:type="dxa"/>
            <w:vMerge/>
            <w:tcBorders>
              <w:tl2br w:val="nil"/>
              <w:tr2bl w:val="nil"/>
            </w:tcBorders>
            <w:shd w:val="clear" w:color="auto" w:fill="auto"/>
            <w:vAlign w:val="center"/>
          </w:tcPr>
          <w:p w14:paraId="43066494"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674D562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1460" w:type="dxa"/>
            <w:gridSpan w:val="2"/>
            <w:tcBorders>
              <w:tl2br w:val="nil"/>
              <w:tr2bl w:val="nil"/>
            </w:tcBorders>
            <w:shd w:val="clear" w:color="auto" w:fill="auto"/>
            <w:vAlign w:val="center"/>
          </w:tcPr>
          <w:p w14:paraId="1CEE446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29 (18.2%)</w:t>
            </w:r>
          </w:p>
        </w:tc>
        <w:tc>
          <w:tcPr>
            <w:tcW w:w="1457" w:type="dxa"/>
            <w:gridSpan w:val="2"/>
            <w:tcBorders>
              <w:tl2br w:val="nil"/>
              <w:tr2bl w:val="nil"/>
            </w:tcBorders>
            <w:shd w:val="clear" w:color="auto" w:fill="auto"/>
            <w:vAlign w:val="center"/>
          </w:tcPr>
          <w:p w14:paraId="7BC3B68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13 (27.7%)</w:t>
            </w:r>
          </w:p>
        </w:tc>
        <w:tc>
          <w:tcPr>
            <w:tcW w:w="1228" w:type="dxa"/>
            <w:gridSpan w:val="2"/>
            <w:tcBorders>
              <w:tl2br w:val="nil"/>
              <w:tr2bl w:val="nil"/>
            </w:tcBorders>
            <w:shd w:val="clear" w:color="auto" w:fill="auto"/>
            <w:vAlign w:val="center"/>
          </w:tcPr>
          <w:p w14:paraId="1E3F3ED4" w14:textId="77777777" w:rsidR="001A4A44" w:rsidRDefault="001A4A44" w:rsidP="00835142">
            <w:pPr>
              <w:spacing w:line="480" w:lineRule="auto"/>
              <w:jc w:val="both"/>
              <w:rPr>
                <w:rFonts w:ascii="Times New Roman" w:hAnsi="Times New Roman" w:cs="Times New Roman"/>
                <w:sz w:val="24"/>
                <w:szCs w:val="24"/>
              </w:rPr>
            </w:pPr>
          </w:p>
        </w:tc>
      </w:tr>
      <w:tr w:rsidR="001A4A44" w14:paraId="350EEBBA" w14:textId="77777777" w:rsidTr="00835142">
        <w:trPr>
          <w:trHeight w:val="284"/>
          <w:jc w:val="center"/>
        </w:trPr>
        <w:tc>
          <w:tcPr>
            <w:tcW w:w="1710" w:type="dxa"/>
            <w:vMerge w:val="restart"/>
            <w:tcBorders>
              <w:tl2br w:val="nil"/>
              <w:tr2bl w:val="nil"/>
            </w:tcBorders>
            <w:shd w:val="clear" w:color="auto" w:fill="auto"/>
            <w:vAlign w:val="center"/>
          </w:tcPr>
          <w:p w14:paraId="4873633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Occupation</w:t>
            </w:r>
          </w:p>
        </w:tc>
        <w:tc>
          <w:tcPr>
            <w:tcW w:w="1857" w:type="dxa"/>
            <w:gridSpan w:val="2"/>
            <w:tcBorders>
              <w:tl2br w:val="nil"/>
              <w:tr2bl w:val="nil"/>
            </w:tcBorders>
            <w:shd w:val="clear" w:color="auto" w:fill="auto"/>
            <w:vAlign w:val="center"/>
          </w:tcPr>
          <w:p w14:paraId="0DB1892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Farmer</w:t>
            </w:r>
          </w:p>
        </w:tc>
        <w:tc>
          <w:tcPr>
            <w:tcW w:w="1460" w:type="dxa"/>
            <w:gridSpan w:val="2"/>
            <w:tcBorders>
              <w:tl2br w:val="nil"/>
              <w:tr2bl w:val="nil"/>
            </w:tcBorders>
            <w:shd w:val="clear" w:color="auto" w:fill="auto"/>
            <w:vAlign w:val="center"/>
          </w:tcPr>
          <w:p w14:paraId="6EE746A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150 (94.4%)</w:t>
            </w:r>
          </w:p>
        </w:tc>
        <w:tc>
          <w:tcPr>
            <w:tcW w:w="1457" w:type="dxa"/>
            <w:gridSpan w:val="2"/>
            <w:tcBorders>
              <w:tl2br w:val="nil"/>
              <w:tr2bl w:val="nil"/>
            </w:tcBorders>
            <w:shd w:val="clear" w:color="auto" w:fill="auto"/>
            <w:vAlign w:val="center"/>
          </w:tcPr>
          <w:p w14:paraId="398F4CD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41 (87.2%)</w:t>
            </w:r>
          </w:p>
        </w:tc>
        <w:tc>
          <w:tcPr>
            <w:tcW w:w="1228" w:type="dxa"/>
            <w:gridSpan w:val="2"/>
            <w:tcBorders>
              <w:tl2br w:val="nil"/>
              <w:tr2bl w:val="nil"/>
            </w:tcBorders>
            <w:shd w:val="clear" w:color="auto" w:fill="auto"/>
            <w:vAlign w:val="center"/>
          </w:tcPr>
          <w:p w14:paraId="4982AC0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0.238</w:t>
            </w:r>
          </w:p>
        </w:tc>
      </w:tr>
      <w:tr w:rsidR="001A4A44" w14:paraId="06A81EF1" w14:textId="77777777" w:rsidTr="00835142">
        <w:trPr>
          <w:trHeight w:val="284"/>
          <w:jc w:val="center"/>
        </w:trPr>
        <w:tc>
          <w:tcPr>
            <w:tcW w:w="1710" w:type="dxa"/>
            <w:vMerge/>
            <w:tcBorders>
              <w:tl2br w:val="nil"/>
              <w:tr2bl w:val="nil"/>
            </w:tcBorders>
            <w:shd w:val="clear" w:color="auto" w:fill="auto"/>
            <w:vAlign w:val="center"/>
          </w:tcPr>
          <w:p w14:paraId="18760E39"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040C576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Worker</w:t>
            </w:r>
          </w:p>
        </w:tc>
        <w:tc>
          <w:tcPr>
            <w:tcW w:w="1460" w:type="dxa"/>
            <w:gridSpan w:val="2"/>
            <w:tcBorders>
              <w:tl2br w:val="nil"/>
              <w:tr2bl w:val="nil"/>
            </w:tcBorders>
            <w:shd w:val="clear" w:color="auto" w:fill="auto"/>
            <w:vAlign w:val="center"/>
          </w:tcPr>
          <w:p w14:paraId="6881FB2F"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 (0.6%)</w:t>
            </w:r>
          </w:p>
        </w:tc>
        <w:tc>
          <w:tcPr>
            <w:tcW w:w="1457" w:type="dxa"/>
            <w:gridSpan w:val="2"/>
            <w:tcBorders>
              <w:tl2br w:val="nil"/>
              <w:tr2bl w:val="nil"/>
            </w:tcBorders>
            <w:shd w:val="clear" w:color="auto" w:fill="auto"/>
            <w:vAlign w:val="center"/>
          </w:tcPr>
          <w:p w14:paraId="5D8E221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 (0.00%)</w:t>
            </w:r>
          </w:p>
        </w:tc>
        <w:tc>
          <w:tcPr>
            <w:tcW w:w="1228" w:type="dxa"/>
            <w:gridSpan w:val="2"/>
            <w:tcBorders>
              <w:tl2br w:val="nil"/>
              <w:tr2bl w:val="nil"/>
            </w:tcBorders>
            <w:shd w:val="clear" w:color="auto" w:fill="auto"/>
            <w:vAlign w:val="center"/>
          </w:tcPr>
          <w:p w14:paraId="30BE113D" w14:textId="77777777" w:rsidR="001A4A44" w:rsidRDefault="001A4A44" w:rsidP="00835142">
            <w:pPr>
              <w:spacing w:line="480" w:lineRule="auto"/>
              <w:jc w:val="both"/>
              <w:rPr>
                <w:rFonts w:ascii="Times New Roman" w:hAnsi="Times New Roman" w:cs="Times New Roman"/>
                <w:sz w:val="24"/>
                <w:szCs w:val="24"/>
              </w:rPr>
            </w:pPr>
          </w:p>
        </w:tc>
      </w:tr>
      <w:tr w:rsidR="001A4A44" w14:paraId="5268CC6B" w14:textId="77777777" w:rsidTr="00835142">
        <w:trPr>
          <w:trHeight w:val="284"/>
          <w:jc w:val="center"/>
        </w:trPr>
        <w:tc>
          <w:tcPr>
            <w:tcW w:w="1710" w:type="dxa"/>
            <w:vMerge/>
            <w:tcBorders>
              <w:tl2br w:val="nil"/>
              <w:tr2bl w:val="nil"/>
            </w:tcBorders>
            <w:shd w:val="clear" w:color="auto" w:fill="auto"/>
            <w:vAlign w:val="center"/>
          </w:tcPr>
          <w:p w14:paraId="7AB7A57D"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7254B77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1460" w:type="dxa"/>
            <w:gridSpan w:val="2"/>
            <w:tcBorders>
              <w:tl2br w:val="nil"/>
              <w:tr2bl w:val="nil"/>
            </w:tcBorders>
            <w:shd w:val="clear" w:color="auto" w:fill="auto"/>
            <w:vAlign w:val="center"/>
          </w:tcPr>
          <w:p w14:paraId="370FA1F5"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 (2.5%)</w:t>
            </w:r>
          </w:p>
        </w:tc>
        <w:tc>
          <w:tcPr>
            <w:tcW w:w="1457" w:type="dxa"/>
            <w:gridSpan w:val="2"/>
            <w:tcBorders>
              <w:tl2br w:val="nil"/>
              <w:tr2bl w:val="nil"/>
            </w:tcBorders>
            <w:shd w:val="clear" w:color="auto" w:fill="auto"/>
            <w:vAlign w:val="center"/>
          </w:tcPr>
          <w:p w14:paraId="6DC4F75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 (8.5%)</w:t>
            </w:r>
          </w:p>
        </w:tc>
        <w:tc>
          <w:tcPr>
            <w:tcW w:w="1228" w:type="dxa"/>
            <w:gridSpan w:val="2"/>
            <w:tcBorders>
              <w:tl2br w:val="nil"/>
              <w:tr2bl w:val="nil"/>
            </w:tcBorders>
            <w:shd w:val="clear" w:color="auto" w:fill="auto"/>
            <w:vAlign w:val="center"/>
          </w:tcPr>
          <w:p w14:paraId="38528FF0" w14:textId="77777777" w:rsidR="001A4A44" w:rsidRDefault="001A4A44" w:rsidP="00835142">
            <w:pPr>
              <w:spacing w:line="480" w:lineRule="auto"/>
              <w:jc w:val="both"/>
              <w:rPr>
                <w:rFonts w:ascii="Times New Roman" w:hAnsi="Times New Roman" w:cs="Times New Roman"/>
                <w:sz w:val="24"/>
                <w:szCs w:val="24"/>
              </w:rPr>
            </w:pPr>
          </w:p>
        </w:tc>
      </w:tr>
      <w:tr w:rsidR="001A4A44" w14:paraId="1C0AEE3B" w14:textId="77777777" w:rsidTr="00835142">
        <w:trPr>
          <w:trHeight w:val="284"/>
          <w:jc w:val="center"/>
        </w:trPr>
        <w:tc>
          <w:tcPr>
            <w:tcW w:w="1710" w:type="dxa"/>
            <w:vMerge/>
            <w:tcBorders>
              <w:tl2br w:val="nil"/>
              <w:tr2bl w:val="nil"/>
            </w:tcBorders>
            <w:shd w:val="clear" w:color="auto" w:fill="auto"/>
            <w:vAlign w:val="center"/>
          </w:tcPr>
          <w:p w14:paraId="197703BC"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05D6F521"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1460" w:type="dxa"/>
            <w:gridSpan w:val="2"/>
            <w:tcBorders>
              <w:tl2br w:val="nil"/>
              <w:tr2bl w:val="nil"/>
            </w:tcBorders>
            <w:shd w:val="clear" w:color="auto" w:fill="auto"/>
            <w:vAlign w:val="center"/>
          </w:tcPr>
          <w:p w14:paraId="22869E7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4 (2.5%)</w:t>
            </w:r>
          </w:p>
        </w:tc>
        <w:tc>
          <w:tcPr>
            <w:tcW w:w="1457" w:type="dxa"/>
            <w:gridSpan w:val="2"/>
            <w:tcBorders>
              <w:tl2br w:val="nil"/>
              <w:tr2bl w:val="nil"/>
            </w:tcBorders>
            <w:shd w:val="clear" w:color="auto" w:fill="auto"/>
            <w:vAlign w:val="center"/>
          </w:tcPr>
          <w:p w14:paraId="217962B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 (4.3%)</w:t>
            </w:r>
          </w:p>
        </w:tc>
        <w:tc>
          <w:tcPr>
            <w:tcW w:w="1228" w:type="dxa"/>
            <w:gridSpan w:val="2"/>
            <w:tcBorders>
              <w:tl2br w:val="nil"/>
              <w:tr2bl w:val="nil"/>
            </w:tcBorders>
            <w:shd w:val="clear" w:color="auto" w:fill="auto"/>
            <w:vAlign w:val="center"/>
          </w:tcPr>
          <w:p w14:paraId="48CDD902" w14:textId="77777777" w:rsidR="001A4A44" w:rsidRDefault="001A4A44" w:rsidP="00835142">
            <w:pPr>
              <w:spacing w:line="480" w:lineRule="auto"/>
              <w:jc w:val="both"/>
              <w:rPr>
                <w:rFonts w:ascii="Times New Roman" w:hAnsi="Times New Roman" w:cs="Times New Roman"/>
                <w:sz w:val="24"/>
                <w:szCs w:val="24"/>
              </w:rPr>
            </w:pPr>
          </w:p>
        </w:tc>
      </w:tr>
      <w:tr w:rsidR="001A4A44" w14:paraId="7F32CDE9" w14:textId="77777777" w:rsidTr="00835142">
        <w:trPr>
          <w:trHeight w:val="284"/>
          <w:jc w:val="center"/>
        </w:trPr>
        <w:tc>
          <w:tcPr>
            <w:tcW w:w="1710" w:type="dxa"/>
            <w:vMerge w:val="restart"/>
            <w:tcBorders>
              <w:tl2br w:val="nil"/>
              <w:tr2bl w:val="nil"/>
            </w:tcBorders>
            <w:shd w:val="clear" w:color="auto" w:fill="auto"/>
            <w:vAlign w:val="center"/>
          </w:tcPr>
          <w:p w14:paraId="6A62125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1857" w:type="dxa"/>
            <w:gridSpan w:val="2"/>
            <w:tcBorders>
              <w:tl2br w:val="nil"/>
              <w:tr2bl w:val="nil"/>
            </w:tcBorders>
            <w:shd w:val="clear" w:color="auto" w:fill="auto"/>
            <w:vAlign w:val="center"/>
          </w:tcPr>
          <w:p w14:paraId="4F677E2F"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Primary school or below</w:t>
            </w:r>
          </w:p>
        </w:tc>
        <w:tc>
          <w:tcPr>
            <w:tcW w:w="1460" w:type="dxa"/>
            <w:gridSpan w:val="2"/>
            <w:tcBorders>
              <w:tl2br w:val="nil"/>
              <w:tr2bl w:val="nil"/>
            </w:tcBorders>
            <w:shd w:val="clear" w:color="auto" w:fill="auto"/>
            <w:vAlign w:val="center"/>
          </w:tcPr>
          <w:p w14:paraId="5060A95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141 (88.7%)</w:t>
            </w:r>
          </w:p>
        </w:tc>
        <w:tc>
          <w:tcPr>
            <w:tcW w:w="1457" w:type="dxa"/>
            <w:gridSpan w:val="2"/>
            <w:tcBorders>
              <w:tl2br w:val="nil"/>
              <w:tr2bl w:val="nil"/>
            </w:tcBorders>
            <w:shd w:val="clear" w:color="auto" w:fill="auto"/>
            <w:vAlign w:val="center"/>
          </w:tcPr>
          <w:p w14:paraId="274D476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39 (83.0%)</w:t>
            </w:r>
          </w:p>
        </w:tc>
        <w:tc>
          <w:tcPr>
            <w:tcW w:w="1228" w:type="dxa"/>
            <w:gridSpan w:val="2"/>
            <w:tcBorders>
              <w:tl2br w:val="nil"/>
              <w:tr2bl w:val="nil"/>
            </w:tcBorders>
            <w:shd w:val="clear" w:color="auto" w:fill="auto"/>
            <w:vAlign w:val="center"/>
          </w:tcPr>
          <w:p w14:paraId="5AB8D0E5"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0.732</w:t>
            </w:r>
          </w:p>
        </w:tc>
      </w:tr>
      <w:tr w:rsidR="001A4A44" w14:paraId="1094A1B1" w14:textId="77777777" w:rsidTr="00835142">
        <w:trPr>
          <w:trHeight w:val="284"/>
          <w:jc w:val="center"/>
        </w:trPr>
        <w:tc>
          <w:tcPr>
            <w:tcW w:w="1710" w:type="dxa"/>
            <w:vMerge/>
            <w:tcBorders>
              <w:tl2br w:val="nil"/>
              <w:tr2bl w:val="nil"/>
            </w:tcBorders>
            <w:shd w:val="clear" w:color="auto" w:fill="auto"/>
            <w:vAlign w:val="center"/>
          </w:tcPr>
          <w:p w14:paraId="5B1252FD"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69068AC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Junior school</w:t>
            </w:r>
          </w:p>
        </w:tc>
        <w:tc>
          <w:tcPr>
            <w:tcW w:w="1460" w:type="dxa"/>
            <w:gridSpan w:val="2"/>
            <w:tcBorders>
              <w:tl2br w:val="nil"/>
              <w:tr2bl w:val="nil"/>
            </w:tcBorders>
            <w:shd w:val="clear" w:color="auto" w:fill="auto"/>
            <w:vAlign w:val="center"/>
          </w:tcPr>
          <w:p w14:paraId="3B05D598"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6 (3.8%)</w:t>
            </w:r>
          </w:p>
        </w:tc>
        <w:tc>
          <w:tcPr>
            <w:tcW w:w="1457" w:type="dxa"/>
            <w:gridSpan w:val="2"/>
            <w:tcBorders>
              <w:tl2br w:val="nil"/>
              <w:tr2bl w:val="nil"/>
            </w:tcBorders>
            <w:shd w:val="clear" w:color="auto" w:fill="auto"/>
            <w:vAlign w:val="center"/>
          </w:tcPr>
          <w:p w14:paraId="69E00CFF"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 (4.3%)</w:t>
            </w:r>
          </w:p>
        </w:tc>
        <w:tc>
          <w:tcPr>
            <w:tcW w:w="1228" w:type="dxa"/>
            <w:gridSpan w:val="2"/>
            <w:tcBorders>
              <w:tl2br w:val="nil"/>
              <w:tr2bl w:val="nil"/>
            </w:tcBorders>
            <w:shd w:val="clear" w:color="auto" w:fill="auto"/>
            <w:vAlign w:val="center"/>
          </w:tcPr>
          <w:p w14:paraId="535F783D" w14:textId="77777777" w:rsidR="001A4A44" w:rsidRDefault="001A4A44" w:rsidP="00835142">
            <w:pPr>
              <w:spacing w:line="480" w:lineRule="auto"/>
              <w:jc w:val="both"/>
              <w:rPr>
                <w:rFonts w:ascii="Times New Roman" w:hAnsi="Times New Roman" w:cs="Times New Roman"/>
                <w:sz w:val="24"/>
                <w:szCs w:val="24"/>
              </w:rPr>
            </w:pPr>
          </w:p>
        </w:tc>
      </w:tr>
      <w:tr w:rsidR="001A4A44" w14:paraId="72DAC657" w14:textId="77777777" w:rsidTr="00835142">
        <w:trPr>
          <w:trHeight w:val="284"/>
          <w:jc w:val="center"/>
        </w:trPr>
        <w:tc>
          <w:tcPr>
            <w:tcW w:w="1710" w:type="dxa"/>
            <w:vMerge/>
            <w:tcBorders>
              <w:tl2br w:val="nil"/>
              <w:tr2bl w:val="nil"/>
            </w:tcBorders>
            <w:shd w:val="clear" w:color="auto" w:fill="auto"/>
            <w:vAlign w:val="center"/>
          </w:tcPr>
          <w:p w14:paraId="310BBB80"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2A24D9D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High school</w:t>
            </w:r>
          </w:p>
        </w:tc>
        <w:tc>
          <w:tcPr>
            <w:tcW w:w="1460" w:type="dxa"/>
            <w:gridSpan w:val="2"/>
            <w:tcBorders>
              <w:tl2br w:val="nil"/>
              <w:tr2bl w:val="nil"/>
            </w:tcBorders>
            <w:shd w:val="clear" w:color="auto" w:fill="auto"/>
            <w:vAlign w:val="center"/>
          </w:tcPr>
          <w:p w14:paraId="62C5093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10 (6.3%)</w:t>
            </w:r>
          </w:p>
        </w:tc>
        <w:tc>
          <w:tcPr>
            <w:tcW w:w="1457" w:type="dxa"/>
            <w:gridSpan w:val="2"/>
            <w:tcBorders>
              <w:tl2br w:val="nil"/>
              <w:tr2bl w:val="nil"/>
            </w:tcBorders>
            <w:shd w:val="clear" w:color="auto" w:fill="auto"/>
            <w:vAlign w:val="center"/>
          </w:tcPr>
          <w:p w14:paraId="3C00024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5 (10.6%)</w:t>
            </w:r>
          </w:p>
        </w:tc>
        <w:tc>
          <w:tcPr>
            <w:tcW w:w="1228" w:type="dxa"/>
            <w:gridSpan w:val="2"/>
            <w:tcBorders>
              <w:tl2br w:val="nil"/>
              <w:tr2bl w:val="nil"/>
            </w:tcBorders>
            <w:shd w:val="clear" w:color="auto" w:fill="auto"/>
            <w:vAlign w:val="center"/>
          </w:tcPr>
          <w:p w14:paraId="67639868" w14:textId="77777777" w:rsidR="001A4A44" w:rsidRDefault="001A4A44" w:rsidP="00835142">
            <w:pPr>
              <w:spacing w:line="480" w:lineRule="auto"/>
              <w:jc w:val="both"/>
              <w:rPr>
                <w:rFonts w:ascii="Times New Roman" w:hAnsi="Times New Roman" w:cs="Times New Roman"/>
                <w:sz w:val="24"/>
                <w:szCs w:val="24"/>
              </w:rPr>
            </w:pPr>
          </w:p>
        </w:tc>
      </w:tr>
      <w:tr w:rsidR="001A4A44" w14:paraId="74355619" w14:textId="77777777" w:rsidTr="00835142">
        <w:trPr>
          <w:trHeight w:val="284"/>
          <w:jc w:val="center"/>
        </w:trPr>
        <w:tc>
          <w:tcPr>
            <w:tcW w:w="1710" w:type="dxa"/>
            <w:vMerge/>
            <w:tcBorders>
              <w:tl2br w:val="nil"/>
              <w:tr2bl w:val="nil"/>
            </w:tcBorders>
            <w:shd w:val="clear" w:color="auto" w:fill="auto"/>
            <w:vAlign w:val="center"/>
          </w:tcPr>
          <w:p w14:paraId="4DF7DB69"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38A922E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College</w:t>
            </w:r>
          </w:p>
        </w:tc>
        <w:tc>
          <w:tcPr>
            <w:tcW w:w="1460" w:type="dxa"/>
            <w:gridSpan w:val="2"/>
            <w:tcBorders>
              <w:tl2br w:val="nil"/>
              <w:tr2bl w:val="nil"/>
            </w:tcBorders>
            <w:shd w:val="clear" w:color="auto" w:fill="auto"/>
            <w:vAlign w:val="center"/>
          </w:tcPr>
          <w:p w14:paraId="4BAC2CD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 (1.3%)</w:t>
            </w:r>
          </w:p>
        </w:tc>
        <w:tc>
          <w:tcPr>
            <w:tcW w:w="1457" w:type="dxa"/>
            <w:gridSpan w:val="2"/>
            <w:tcBorders>
              <w:tl2br w:val="nil"/>
              <w:tr2bl w:val="nil"/>
            </w:tcBorders>
            <w:shd w:val="clear" w:color="auto" w:fill="auto"/>
            <w:vAlign w:val="center"/>
          </w:tcPr>
          <w:p w14:paraId="27410DC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 (2.10%)</w:t>
            </w:r>
          </w:p>
        </w:tc>
        <w:tc>
          <w:tcPr>
            <w:tcW w:w="1228" w:type="dxa"/>
            <w:gridSpan w:val="2"/>
            <w:tcBorders>
              <w:tl2br w:val="nil"/>
              <w:tr2bl w:val="nil"/>
            </w:tcBorders>
            <w:shd w:val="clear" w:color="auto" w:fill="auto"/>
            <w:vAlign w:val="center"/>
          </w:tcPr>
          <w:p w14:paraId="05BB0ED9" w14:textId="77777777" w:rsidR="001A4A44" w:rsidRDefault="001A4A44" w:rsidP="00835142">
            <w:pPr>
              <w:spacing w:line="480" w:lineRule="auto"/>
              <w:jc w:val="both"/>
              <w:rPr>
                <w:rFonts w:ascii="Times New Roman" w:hAnsi="Times New Roman" w:cs="Times New Roman"/>
                <w:sz w:val="24"/>
                <w:szCs w:val="24"/>
              </w:rPr>
            </w:pPr>
          </w:p>
        </w:tc>
      </w:tr>
      <w:tr w:rsidR="001A4A44" w14:paraId="510D46D1"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3D34F0E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Body mass index (kg/m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460" w:type="dxa"/>
            <w:gridSpan w:val="2"/>
            <w:tcBorders>
              <w:tl2br w:val="nil"/>
              <w:tr2bl w:val="nil"/>
            </w:tcBorders>
            <w:shd w:val="clear" w:color="auto" w:fill="auto"/>
            <w:vAlign w:val="center"/>
          </w:tcPr>
          <w:p w14:paraId="330B60AE"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22.47±3.46</w:t>
            </w:r>
          </w:p>
        </w:tc>
        <w:tc>
          <w:tcPr>
            <w:tcW w:w="1457" w:type="dxa"/>
            <w:gridSpan w:val="2"/>
            <w:tcBorders>
              <w:tl2br w:val="nil"/>
              <w:tr2bl w:val="nil"/>
            </w:tcBorders>
            <w:shd w:val="clear" w:color="auto" w:fill="auto"/>
            <w:vAlign w:val="center"/>
          </w:tcPr>
          <w:p w14:paraId="5688CFF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22.34±3.58</w:t>
            </w:r>
          </w:p>
        </w:tc>
        <w:tc>
          <w:tcPr>
            <w:tcW w:w="1228" w:type="dxa"/>
            <w:gridSpan w:val="2"/>
            <w:tcBorders>
              <w:tl2br w:val="nil"/>
              <w:tr2bl w:val="nil"/>
            </w:tcBorders>
            <w:shd w:val="clear" w:color="auto" w:fill="auto"/>
            <w:vAlign w:val="center"/>
          </w:tcPr>
          <w:p w14:paraId="599F585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0.823</w:t>
            </w:r>
          </w:p>
        </w:tc>
      </w:tr>
      <w:tr w:rsidR="001A4A44" w14:paraId="35535A79"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05629CC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Albumin (g/L)</w:t>
            </w:r>
          </w:p>
        </w:tc>
        <w:tc>
          <w:tcPr>
            <w:tcW w:w="1460" w:type="dxa"/>
            <w:gridSpan w:val="2"/>
            <w:tcBorders>
              <w:tl2br w:val="nil"/>
              <w:tr2bl w:val="nil"/>
            </w:tcBorders>
            <w:shd w:val="clear" w:color="auto" w:fill="auto"/>
            <w:vAlign w:val="center"/>
          </w:tcPr>
          <w:p w14:paraId="3324C0B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39.60±5.04</w:t>
            </w:r>
          </w:p>
        </w:tc>
        <w:tc>
          <w:tcPr>
            <w:tcW w:w="1457" w:type="dxa"/>
            <w:gridSpan w:val="2"/>
            <w:tcBorders>
              <w:tl2br w:val="nil"/>
              <w:tr2bl w:val="nil"/>
            </w:tcBorders>
            <w:shd w:val="clear" w:color="auto" w:fill="auto"/>
            <w:vAlign w:val="center"/>
          </w:tcPr>
          <w:p w14:paraId="24018765"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39.22±3.38</w:t>
            </w:r>
          </w:p>
        </w:tc>
        <w:tc>
          <w:tcPr>
            <w:tcW w:w="1228" w:type="dxa"/>
            <w:gridSpan w:val="2"/>
            <w:tcBorders>
              <w:tl2br w:val="nil"/>
              <w:tr2bl w:val="nil"/>
            </w:tcBorders>
            <w:shd w:val="clear" w:color="auto" w:fill="auto"/>
            <w:vAlign w:val="center"/>
          </w:tcPr>
          <w:p w14:paraId="69B3E48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0.684</w:t>
            </w:r>
          </w:p>
        </w:tc>
      </w:tr>
      <w:tr w:rsidR="001A4A44" w14:paraId="0753BC66"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59C2B3B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White blood cell count (10</w:t>
            </w:r>
            <w:r>
              <w:rPr>
                <w:rFonts w:ascii="Times New Roman" w:hAnsi="Times New Roman" w:cs="Times New Roman"/>
                <w:sz w:val="24"/>
                <w:szCs w:val="24"/>
                <w:vertAlign w:val="superscript"/>
              </w:rPr>
              <w:t>9</w:t>
            </w:r>
            <w:r>
              <w:rPr>
                <w:rFonts w:ascii="Times New Roman" w:hAnsi="Times New Roman" w:cs="Times New Roman"/>
                <w:sz w:val="24"/>
                <w:szCs w:val="24"/>
              </w:rPr>
              <w:t>/L)</w:t>
            </w:r>
          </w:p>
        </w:tc>
        <w:tc>
          <w:tcPr>
            <w:tcW w:w="1460" w:type="dxa"/>
            <w:gridSpan w:val="2"/>
            <w:tcBorders>
              <w:tl2br w:val="nil"/>
              <w:tr2bl w:val="nil"/>
            </w:tcBorders>
            <w:shd w:val="clear" w:color="auto" w:fill="auto"/>
            <w:vAlign w:val="center"/>
          </w:tcPr>
          <w:p w14:paraId="1D755291"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13.31±56.87</w:t>
            </w:r>
          </w:p>
        </w:tc>
        <w:tc>
          <w:tcPr>
            <w:tcW w:w="1457" w:type="dxa"/>
            <w:gridSpan w:val="2"/>
            <w:tcBorders>
              <w:tl2br w:val="nil"/>
              <w:tr2bl w:val="nil"/>
            </w:tcBorders>
            <w:shd w:val="clear" w:color="auto" w:fill="auto"/>
            <w:vAlign w:val="center"/>
          </w:tcPr>
          <w:p w14:paraId="38ED4B6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7.00±2.10</w:t>
            </w:r>
          </w:p>
        </w:tc>
        <w:tc>
          <w:tcPr>
            <w:tcW w:w="1228" w:type="dxa"/>
            <w:gridSpan w:val="2"/>
            <w:tcBorders>
              <w:tl2br w:val="nil"/>
              <w:tr2bl w:val="nil"/>
            </w:tcBorders>
            <w:shd w:val="clear" w:color="auto" w:fill="auto"/>
            <w:vAlign w:val="center"/>
          </w:tcPr>
          <w:p w14:paraId="0272C09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0.454</w:t>
            </w:r>
          </w:p>
        </w:tc>
      </w:tr>
      <w:tr w:rsidR="001A4A44" w14:paraId="18DE2C1D"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326F507A"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Neutrophil count (%)</w:t>
            </w:r>
          </w:p>
        </w:tc>
        <w:tc>
          <w:tcPr>
            <w:tcW w:w="1460" w:type="dxa"/>
            <w:gridSpan w:val="2"/>
            <w:tcBorders>
              <w:tl2br w:val="nil"/>
              <w:tr2bl w:val="nil"/>
            </w:tcBorders>
            <w:shd w:val="clear" w:color="auto" w:fill="auto"/>
            <w:vAlign w:val="center"/>
          </w:tcPr>
          <w:p w14:paraId="736F245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61.91±10.18</w:t>
            </w:r>
          </w:p>
        </w:tc>
        <w:tc>
          <w:tcPr>
            <w:tcW w:w="1457" w:type="dxa"/>
            <w:gridSpan w:val="2"/>
            <w:tcBorders>
              <w:tl2br w:val="nil"/>
              <w:tr2bl w:val="nil"/>
            </w:tcBorders>
            <w:shd w:val="clear" w:color="auto" w:fill="auto"/>
            <w:vAlign w:val="center"/>
          </w:tcPr>
          <w:p w14:paraId="09D2DC6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60.05±11.43</w:t>
            </w:r>
          </w:p>
        </w:tc>
        <w:tc>
          <w:tcPr>
            <w:tcW w:w="1228" w:type="dxa"/>
            <w:gridSpan w:val="2"/>
            <w:tcBorders>
              <w:tl2br w:val="nil"/>
              <w:tr2bl w:val="nil"/>
            </w:tcBorders>
            <w:shd w:val="clear" w:color="auto" w:fill="auto"/>
            <w:vAlign w:val="center"/>
          </w:tcPr>
          <w:p w14:paraId="795DA70A"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0.292</w:t>
            </w:r>
          </w:p>
        </w:tc>
      </w:tr>
      <w:tr w:rsidR="001A4A44" w14:paraId="4CBD3688"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1E4F0338"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Lymphocyte count (10</w:t>
            </w:r>
            <w:r>
              <w:rPr>
                <w:rFonts w:ascii="Times New Roman" w:hAnsi="Times New Roman" w:cs="Times New Roman"/>
                <w:sz w:val="24"/>
                <w:szCs w:val="24"/>
                <w:vertAlign w:val="superscript"/>
              </w:rPr>
              <w:t>9</w:t>
            </w:r>
            <w:r>
              <w:rPr>
                <w:rFonts w:ascii="Times New Roman" w:hAnsi="Times New Roman" w:cs="Times New Roman"/>
                <w:sz w:val="24"/>
                <w:szCs w:val="24"/>
              </w:rPr>
              <w:t>/L)</w:t>
            </w:r>
          </w:p>
        </w:tc>
        <w:tc>
          <w:tcPr>
            <w:tcW w:w="1460" w:type="dxa"/>
            <w:gridSpan w:val="2"/>
            <w:tcBorders>
              <w:tl2br w:val="nil"/>
              <w:tr2bl w:val="nil"/>
            </w:tcBorders>
            <w:shd w:val="clear" w:color="auto" w:fill="auto"/>
            <w:vAlign w:val="center"/>
          </w:tcPr>
          <w:p w14:paraId="583B350A"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1.84±0.58</w:t>
            </w:r>
          </w:p>
        </w:tc>
        <w:tc>
          <w:tcPr>
            <w:tcW w:w="1457" w:type="dxa"/>
            <w:gridSpan w:val="2"/>
            <w:tcBorders>
              <w:tl2br w:val="nil"/>
              <w:tr2bl w:val="nil"/>
            </w:tcBorders>
            <w:shd w:val="clear" w:color="auto" w:fill="auto"/>
            <w:vAlign w:val="center"/>
          </w:tcPr>
          <w:p w14:paraId="726E9539"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1.88±0.57</w:t>
            </w:r>
          </w:p>
        </w:tc>
        <w:tc>
          <w:tcPr>
            <w:tcW w:w="1228" w:type="dxa"/>
            <w:gridSpan w:val="2"/>
            <w:tcBorders>
              <w:tl2br w:val="nil"/>
              <w:tr2bl w:val="nil"/>
            </w:tcBorders>
            <w:shd w:val="clear" w:color="auto" w:fill="auto"/>
            <w:vAlign w:val="center"/>
          </w:tcPr>
          <w:p w14:paraId="175FAEAF"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0.706</w:t>
            </w:r>
          </w:p>
        </w:tc>
      </w:tr>
      <w:tr w:rsidR="001A4A44" w14:paraId="75E4E7C9" w14:textId="77777777" w:rsidTr="00835142">
        <w:trPr>
          <w:gridAfter w:val="1"/>
          <w:wAfter w:w="8" w:type="dxa"/>
          <w:trHeight w:val="284"/>
          <w:jc w:val="center"/>
        </w:trPr>
        <w:tc>
          <w:tcPr>
            <w:tcW w:w="3559" w:type="dxa"/>
            <w:gridSpan w:val="2"/>
            <w:tcBorders>
              <w:tl2br w:val="nil"/>
              <w:tr2bl w:val="nil"/>
            </w:tcBorders>
            <w:shd w:val="clear" w:color="auto" w:fill="auto"/>
            <w:vAlign w:val="center"/>
          </w:tcPr>
          <w:p w14:paraId="11E1D9C6"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Duration (months)</w:t>
            </w:r>
          </w:p>
        </w:tc>
        <w:tc>
          <w:tcPr>
            <w:tcW w:w="1460" w:type="dxa"/>
            <w:gridSpan w:val="2"/>
            <w:tcBorders>
              <w:tl2br w:val="nil"/>
              <w:tr2bl w:val="nil"/>
            </w:tcBorders>
            <w:shd w:val="clear" w:color="auto" w:fill="auto"/>
            <w:vAlign w:val="center"/>
          </w:tcPr>
          <w:p w14:paraId="206C36A8"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1.94±1.31</w:t>
            </w:r>
          </w:p>
        </w:tc>
        <w:tc>
          <w:tcPr>
            <w:tcW w:w="1457" w:type="dxa"/>
            <w:gridSpan w:val="2"/>
            <w:tcBorders>
              <w:tl2br w:val="nil"/>
              <w:tr2bl w:val="nil"/>
            </w:tcBorders>
            <w:shd w:val="clear" w:color="auto" w:fill="auto"/>
            <w:vAlign w:val="center"/>
          </w:tcPr>
          <w:p w14:paraId="7279879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1.76±1.20</w:t>
            </w:r>
          </w:p>
        </w:tc>
        <w:tc>
          <w:tcPr>
            <w:tcW w:w="1228" w:type="dxa"/>
            <w:gridSpan w:val="2"/>
            <w:tcBorders>
              <w:tl2br w:val="nil"/>
              <w:tr2bl w:val="nil"/>
            </w:tcBorders>
            <w:shd w:val="clear" w:color="auto" w:fill="auto"/>
            <w:vAlign w:val="center"/>
          </w:tcPr>
          <w:p w14:paraId="3B52E34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0.378</w:t>
            </w:r>
          </w:p>
        </w:tc>
      </w:tr>
      <w:tr w:rsidR="001A4A44" w14:paraId="34A2109D" w14:textId="77777777" w:rsidTr="00835142">
        <w:trPr>
          <w:trHeight w:val="284"/>
          <w:jc w:val="center"/>
        </w:trPr>
        <w:tc>
          <w:tcPr>
            <w:tcW w:w="1710" w:type="dxa"/>
            <w:vMerge w:val="restart"/>
            <w:tcBorders>
              <w:tl2br w:val="nil"/>
              <w:tr2bl w:val="nil"/>
            </w:tcBorders>
            <w:shd w:val="clear" w:color="auto" w:fill="auto"/>
            <w:vAlign w:val="center"/>
          </w:tcPr>
          <w:p w14:paraId="699D0C8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Erythrocyte sedimentation rate (mm/H)</w:t>
            </w:r>
          </w:p>
        </w:tc>
        <w:tc>
          <w:tcPr>
            <w:tcW w:w="1857" w:type="dxa"/>
            <w:gridSpan w:val="2"/>
            <w:tcBorders>
              <w:tl2br w:val="nil"/>
              <w:tr2bl w:val="nil"/>
            </w:tcBorders>
            <w:shd w:val="clear" w:color="auto" w:fill="auto"/>
            <w:vAlign w:val="center"/>
          </w:tcPr>
          <w:p w14:paraId="48F71A85" w14:textId="77777777" w:rsidR="001A4A44" w:rsidRDefault="001A4A44" w:rsidP="00835142">
            <w:pPr>
              <w:spacing w:line="480" w:lineRule="auto"/>
              <w:jc w:val="both"/>
              <w:rPr>
                <w:rFonts w:ascii="Times New Roman" w:hAnsi="Times New Roman" w:cs="Times New Roman"/>
                <w:sz w:val="24"/>
                <w:szCs w:val="24"/>
              </w:rPr>
            </w:pPr>
            <w:r>
              <w:rPr>
                <w:rFonts w:ascii="Times New Roman" w:eastAsia="MS Gothic" w:hAnsi="Times New Roman" w:cs="Times New Roman"/>
                <w:sz w:val="24"/>
                <w:szCs w:val="24"/>
              </w:rPr>
              <w:t>&lt;</w:t>
            </w:r>
            <w:r>
              <w:rPr>
                <w:rFonts w:ascii="Times New Roman" w:hAnsi="Times New Roman" w:cs="Times New Roman"/>
                <w:sz w:val="24"/>
                <w:szCs w:val="24"/>
              </w:rPr>
              <w:t>20</w:t>
            </w:r>
          </w:p>
        </w:tc>
        <w:tc>
          <w:tcPr>
            <w:tcW w:w="1460" w:type="dxa"/>
            <w:gridSpan w:val="2"/>
            <w:tcBorders>
              <w:tl2br w:val="nil"/>
              <w:tr2bl w:val="nil"/>
            </w:tcBorders>
            <w:shd w:val="clear" w:color="auto" w:fill="auto"/>
            <w:vAlign w:val="center"/>
          </w:tcPr>
          <w:p w14:paraId="4AC13AFB"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24 (20.2%)</w:t>
            </w:r>
          </w:p>
        </w:tc>
        <w:tc>
          <w:tcPr>
            <w:tcW w:w="1457" w:type="dxa"/>
            <w:gridSpan w:val="2"/>
            <w:tcBorders>
              <w:tl2br w:val="nil"/>
              <w:tr2bl w:val="nil"/>
            </w:tcBorders>
            <w:shd w:val="clear" w:color="auto" w:fill="auto"/>
            <w:vAlign w:val="center"/>
          </w:tcPr>
          <w:p w14:paraId="720080C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7 (24.1%)</w:t>
            </w:r>
          </w:p>
        </w:tc>
        <w:tc>
          <w:tcPr>
            <w:tcW w:w="1228" w:type="dxa"/>
            <w:gridSpan w:val="2"/>
            <w:tcBorders>
              <w:tl2br w:val="nil"/>
              <w:tr2bl w:val="nil"/>
            </w:tcBorders>
            <w:shd w:val="clear" w:color="auto" w:fill="auto"/>
            <w:vAlign w:val="center"/>
          </w:tcPr>
          <w:p w14:paraId="18594B15"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0.638</w:t>
            </w:r>
          </w:p>
        </w:tc>
      </w:tr>
      <w:tr w:rsidR="001A4A44" w14:paraId="7929436F" w14:textId="77777777" w:rsidTr="00835142">
        <w:trPr>
          <w:trHeight w:val="284"/>
          <w:jc w:val="center"/>
        </w:trPr>
        <w:tc>
          <w:tcPr>
            <w:tcW w:w="1710" w:type="dxa"/>
            <w:vMerge/>
            <w:tcBorders>
              <w:tl2br w:val="nil"/>
              <w:tr2bl w:val="nil"/>
            </w:tcBorders>
            <w:shd w:val="clear" w:color="auto" w:fill="auto"/>
            <w:vAlign w:val="center"/>
          </w:tcPr>
          <w:p w14:paraId="4864226A"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44890C0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60" w:type="dxa"/>
            <w:gridSpan w:val="2"/>
            <w:tcBorders>
              <w:tl2br w:val="nil"/>
              <w:tr2bl w:val="nil"/>
            </w:tcBorders>
            <w:shd w:val="clear" w:color="auto" w:fill="auto"/>
            <w:vAlign w:val="center"/>
          </w:tcPr>
          <w:p w14:paraId="589E77DA"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95 (79.8%)</w:t>
            </w:r>
          </w:p>
        </w:tc>
        <w:tc>
          <w:tcPr>
            <w:tcW w:w="1457" w:type="dxa"/>
            <w:gridSpan w:val="2"/>
            <w:tcBorders>
              <w:tl2br w:val="nil"/>
              <w:tr2bl w:val="nil"/>
            </w:tcBorders>
            <w:shd w:val="clear" w:color="auto" w:fill="auto"/>
            <w:vAlign w:val="center"/>
          </w:tcPr>
          <w:p w14:paraId="5268B8D7"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22 (75.9%)</w:t>
            </w:r>
          </w:p>
        </w:tc>
        <w:tc>
          <w:tcPr>
            <w:tcW w:w="1228" w:type="dxa"/>
            <w:gridSpan w:val="2"/>
            <w:tcBorders>
              <w:tl2br w:val="nil"/>
              <w:tr2bl w:val="nil"/>
            </w:tcBorders>
            <w:shd w:val="clear" w:color="auto" w:fill="auto"/>
            <w:vAlign w:val="center"/>
          </w:tcPr>
          <w:p w14:paraId="1687F75C" w14:textId="77777777" w:rsidR="001A4A44" w:rsidRDefault="001A4A44" w:rsidP="00835142">
            <w:pPr>
              <w:spacing w:line="480" w:lineRule="auto"/>
              <w:jc w:val="both"/>
              <w:rPr>
                <w:rFonts w:ascii="Times New Roman" w:hAnsi="Times New Roman" w:cs="Times New Roman"/>
                <w:sz w:val="24"/>
                <w:szCs w:val="24"/>
              </w:rPr>
            </w:pPr>
          </w:p>
        </w:tc>
      </w:tr>
      <w:tr w:rsidR="001A4A44" w14:paraId="37CAC946" w14:textId="77777777" w:rsidTr="00835142">
        <w:trPr>
          <w:trHeight w:val="284"/>
          <w:jc w:val="center"/>
        </w:trPr>
        <w:tc>
          <w:tcPr>
            <w:tcW w:w="1710" w:type="dxa"/>
            <w:vMerge w:val="restart"/>
            <w:tcBorders>
              <w:tl2br w:val="nil"/>
              <w:tr2bl w:val="nil"/>
            </w:tcBorders>
            <w:shd w:val="clear" w:color="auto" w:fill="auto"/>
            <w:vAlign w:val="center"/>
          </w:tcPr>
          <w:p w14:paraId="3F0CF050"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Family income (yuan)</w:t>
            </w:r>
          </w:p>
        </w:tc>
        <w:tc>
          <w:tcPr>
            <w:tcW w:w="1857" w:type="dxa"/>
            <w:gridSpan w:val="2"/>
            <w:tcBorders>
              <w:tl2br w:val="nil"/>
              <w:tr2bl w:val="nil"/>
            </w:tcBorders>
            <w:shd w:val="clear" w:color="auto" w:fill="auto"/>
            <w:vAlign w:val="center"/>
          </w:tcPr>
          <w:p w14:paraId="6E6BF19F"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&gt;10000</w:t>
            </w:r>
          </w:p>
        </w:tc>
        <w:tc>
          <w:tcPr>
            <w:tcW w:w="1460" w:type="dxa"/>
            <w:gridSpan w:val="2"/>
            <w:tcBorders>
              <w:tl2br w:val="nil"/>
              <w:tr2bl w:val="nil"/>
            </w:tcBorders>
            <w:shd w:val="clear" w:color="auto" w:fill="auto"/>
            <w:vAlign w:val="center"/>
          </w:tcPr>
          <w:p w14:paraId="3E214252"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27 (17.0%)</w:t>
            </w:r>
          </w:p>
        </w:tc>
        <w:tc>
          <w:tcPr>
            <w:tcW w:w="1457" w:type="dxa"/>
            <w:gridSpan w:val="2"/>
            <w:tcBorders>
              <w:tl2br w:val="nil"/>
              <w:tr2bl w:val="nil"/>
            </w:tcBorders>
            <w:shd w:val="clear" w:color="auto" w:fill="auto"/>
            <w:vAlign w:val="center"/>
          </w:tcPr>
          <w:p w14:paraId="1CFA0A73"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12 (25.5%)</w:t>
            </w:r>
          </w:p>
        </w:tc>
        <w:tc>
          <w:tcPr>
            <w:tcW w:w="1228" w:type="dxa"/>
            <w:gridSpan w:val="2"/>
            <w:tcBorders>
              <w:tl2br w:val="nil"/>
              <w:tr2bl w:val="nil"/>
            </w:tcBorders>
            <w:shd w:val="clear" w:color="auto" w:fill="auto"/>
            <w:vAlign w:val="center"/>
          </w:tcPr>
          <w:p w14:paraId="3F6F9C45"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0.189</w:t>
            </w:r>
          </w:p>
        </w:tc>
      </w:tr>
      <w:tr w:rsidR="001A4A44" w14:paraId="22BC8261" w14:textId="77777777" w:rsidTr="00835142">
        <w:trPr>
          <w:trHeight w:val="284"/>
          <w:jc w:val="center"/>
        </w:trPr>
        <w:tc>
          <w:tcPr>
            <w:tcW w:w="1710" w:type="dxa"/>
            <w:vMerge/>
            <w:tcBorders>
              <w:tl2br w:val="nil"/>
              <w:tr2bl w:val="nil"/>
            </w:tcBorders>
            <w:shd w:val="clear" w:color="auto" w:fill="auto"/>
          </w:tcPr>
          <w:p w14:paraId="799863D5" w14:textId="77777777" w:rsidR="001A4A44" w:rsidRDefault="001A4A44" w:rsidP="00835142">
            <w:pPr>
              <w:spacing w:line="480" w:lineRule="auto"/>
              <w:jc w:val="both"/>
              <w:rPr>
                <w:rFonts w:ascii="Times New Roman" w:hAnsi="Times New Roman" w:cs="Times New Roman"/>
                <w:sz w:val="24"/>
                <w:szCs w:val="24"/>
              </w:rPr>
            </w:pPr>
          </w:p>
        </w:tc>
        <w:tc>
          <w:tcPr>
            <w:tcW w:w="1857" w:type="dxa"/>
            <w:gridSpan w:val="2"/>
            <w:tcBorders>
              <w:tl2br w:val="nil"/>
              <w:tr2bl w:val="nil"/>
            </w:tcBorders>
            <w:shd w:val="clear" w:color="auto" w:fill="auto"/>
            <w:vAlign w:val="center"/>
          </w:tcPr>
          <w:p w14:paraId="663AE7AD"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≤10000</w:t>
            </w:r>
          </w:p>
        </w:tc>
        <w:tc>
          <w:tcPr>
            <w:tcW w:w="1460" w:type="dxa"/>
            <w:gridSpan w:val="2"/>
            <w:tcBorders>
              <w:tl2br w:val="nil"/>
              <w:tr2bl w:val="nil"/>
            </w:tcBorders>
            <w:shd w:val="clear" w:color="auto" w:fill="auto"/>
            <w:vAlign w:val="center"/>
          </w:tcPr>
          <w:p w14:paraId="7CD6B714"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132 (83.0%)</w:t>
            </w:r>
          </w:p>
        </w:tc>
        <w:tc>
          <w:tcPr>
            <w:tcW w:w="1457" w:type="dxa"/>
            <w:gridSpan w:val="2"/>
            <w:tcBorders>
              <w:tl2br w:val="nil"/>
              <w:tr2bl w:val="nil"/>
            </w:tcBorders>
            <w:shd w:val="clear" w:color="auto" w:fill="auto"/>
            <w:vAlign w:val="center"/>
          </w:tcPr>
          <w:p w14:paraId="543A754C" w14:textId="77777777" w:rsidR="001A4A44" w:rsidRDefault="001A4A44" w:rsidP="00835142">
            <w:pPr>
              <w:spacing w:line="480" w:lineRule="auto"/>
              <w:jc w:val="both"/>
              <w:rPr>
                <w:rFonts w:ascii="Times New Roman" w:hAnsi="Times New Roman" w:cs="Times New Roman"/>
                <w:sz w:val="24"/>
                <w:szCs w:val="24"/>
              </w:rPr>
            </w:pPr>
            <w:r>
              <w:rPr>
                <w:rFonts w:ascii="Times New Roman" w:hAnsi="Times New Roman" w:cs="Times New Roman"/>
                <w:sz w:val="24"/>
                <w:szCs w:val="24"/>
              </w:rPr>
              <w:t>35 (74.5%)</w:t>
            </w:r>
          </w:p>
        </w:tc>
        <w:tc>
          <w:tcPr>
            <w:tcW w:w="1228" w:type="dxa"/>
            <w:gridSpan w:val="2"/>
            <w:tcBorders>
              <w:tl2br w:val="nil"/>
              <w:tr2bl w:val="nil"/>
            </w:tcBorders>
            <w:shd w:val="clear" w:color="auto" w:fill="auto"/>
            <w:vAlign w:val="center"/>
          </w:tcPr>
          <w:p w14:paraId="61B2C856" w14:textId="77777777" w:rsidR="001A4A44" w:rsidRDefault="001A4A44" w:rsidP="00835142">
            <w:pPr>
              <w:spacing w:line="480" w:lineRule="auto"/>
              <w:jc w:val="both"/>
              <w:rPr>
                <w:rFonts w:ascii="Times New Roman" w:hAnsi="Times New Roman" w:cs="Times New Roman"/>
                <w:sz w:val="24"/>
                <w:szCs w:val="24"/>
              </w:rPr>
            </w:pPr>
          </w:p>
        </w:tc>
      </w:tr>
    </w:tbl>
    <w:p w14:paraId="34E295BC" w14:textId="77777777" w:rsidR="001A4A44" w:rsidRDefault="001A4A44" w:rsidP="001A4A44">
      <w:pPr>
        <w:spacing w:line="480" w:lineRule="auto"/>
        <w:jc w:val="both"/>
        <w:rPr>
          <w:rFonts w:ascii="Times New Roman" w:hAnsi="Times New Roman" w:cs="Times New Roman"/>
          <w:sz w:val="24"/>
          <w:szCs w:val="24"/>
        </w:rPr>
      </w:pPr>
    </w:p>
    <w:p w14:paraId="7397269C" w14:textId="77777777" w:rsidR="001A4A44" w:rsidRDefault="001A4A44" w:rsidP="001A4A44">
      <w:pPr>
        <w:spacing w:line="480" w:lineRule="auto"/>
        <w:jc w:val="both"/>
        <w:rPr>
          <w:rFonts w:ascii="Times New Roman" w:hAnsi="Times New Roman" w:cs="Times New Roman"/>
          <w:sz w:val="24"/>
          <w:szCs w:val="24"/>
        </w:rPr>
      </w:pPr>
    </w:p>
    <w:p w14:paraId="08B11C4C" w14:textId="77777777" w:rsidR="001A4A44" w:rsidRDefault="001A4A44" w:rsidP="001A4A44">
      <w:pPr>
        <w:spacing w:line="480" w:lineRule="auto"/>
        <w:jc w:val="both"/>
      </w:pPr>
      <w:r>
        <w:br w:type="page"/>
      </w:r>
    </w:p>
    <w:p w14:paraId="0D973933" w14:textId="77777777" w:rsidR="001A4A44" w:rsidRDefault="001A4A44" w:rsidP="001A4A44">
      <w:pPr>
        <w:spacing w:line="480" w:lineRule="auto"/>
        <w:jc w:val="both"/>
      </w:pPr>
      <w:r>
        <w:rPr>
          <w:noProof/>
        </w:rPr>
        <w:lastRenderedPageBreak/>
        <w:drawing>
          <wp:anchor distT="0" distB="0" distL="114300" distR="114300" simplePos="0" relativeHeight="251659264" behindDoc="0" locked="0" layoutInCell="1" allowOverlap="1" wp14:anchorId="74DF7431" wp14:editId="3B797EB3">
            <wp:simplePos x="0" y="0"/>
            <wp:positionH relativeFrom="margin">
              <wp:posOffset>31750</wp:posOffset>
            </wp:positionH>
            <wp:positionV relativeFrom="paragraph">
              <wp:posOffset>201295</wp:posOffset>
            </wp:positionV>
            <wp:extent cx="4658995" cy="3599815"/>
            <wp:effectExtent l="0" t="0" r="8255" b="635"/>
            <wp:wrapTopAndBottom/>
            <wp:docPr id="1261036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36828"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58995" cy="3599815"/>
                    </a:xfrm>
                    <a:prstGeom prst="rect">
                      <a:avLst/>
                    </a:prstGeom>
                    <a:noFill/>
                    <a:ln>
                      <a:noFill/>
                    </a:ln>
                  </pic:spPr>
                </pic:pic>
              </a:graphicData>
            </a:graphic>
          </wp:anchor>
        </w:drawing>
      </w:r>
    </w:p>
    <w:p w14:paraId="7D7A05BB" w14:textId="77777777" w:rsidR="001A4A44" w:rsidRDefault="001A4A44" w:rsidP="001A4A44">
      <w:pPr>
        <w:spacing w:line="480" w:lineRule="auto"/>
        <w:jc w:val="both"/>
        <w:rPr>
          <w:rFonts w:ascii="Times New Roman" w:hAnsi="Times New Roman" w:cs="Times New Roman"/>
          <w:sz w:val="24"/>
          <w:szCs w:val="24"/>
        </w:rPr>
      </w:pPr>
      <w:r>
        <w:rPr>
          <w:rFonts w:ascii="Times New Roman" w:hAnsi="Times New Roman" w:cs="Times New Roman"/>
          <w:sz w:val="24"/>
          <w:szCs w:val="24"/>
        </w:rPr>
        <w:t>Supplementary Figure 1. Column line chart model calibration curve. The calibration curve for both the training and testing sets showed strong consistency, with no significant differences (</w:t>
      </w:r>
      <w:r>
        <w:rPr>
          <w:rFonts w:ascii="Times New Roman" w:hAnsi="Times New Roman" w:cs="Times New Roman"/>
          <w:i/>
          <w:iCs/>
          <w:sz w:val="24"/>
          <w:szCs w:val="24"/>
        </w:rPr>
        <w:t>P</w:t>
      </w:r>
      <w:r>
        <w:rPr>
          <w:rFonts w:ascii="Times New Roman" w:hAnsi="Times New Roman" w:cs="Times New Roman"/>
          <w:sz w:val="24"/>
          <w:szCs w:val="24"/>
        </w:rPr>
        <w:t>&gt;0.05) between the predicted and actual values, indicating good predictive accuracy.</w:t>
      </w:r>
    </w:p>
    <w:p w14:paraId="4D3ADD94" w14:textId="77777777" w:rsidR="001A4A44" w:rsidRDefault="001A4A44" w:rsidP="001A4A44">
      <w:pPr>
        <w:spacing w:line="480" w:lineRule="auto"/>
        <w:jc w:val="both"/>
      </w:pPr>
      <w:r>
        <w:br w:type="page"/>
      </w:r>
    </w:p>
    <w:p w14:paraId="66536056" w14:textId="77777777" w:rsidR="001A4A44" w:rsidRDefault="001A4A44" w:rsidP="001A4A44">
      <w:pPr>
        <w:spacing w:line="480" w:lineRule="auto"/>
        <w:jc w:val="both"/>
      </w:pPr>
      <w:r>
        <w:rPr>
          <w:noProof/>
        </w:rPr>
        <w:lastRenderedPageBreak/>
        <w:drawing>
          <wp:anchor distT="0" distB="0" distL="114300" distR="114300" simplePos="0" relativeHeight="251660288" behindDoc="1" locked="0" layoutInCell="1" allowOverlap="1" wp14:anchorId="3EFE7F74" wp14:editId="446C6A98">
            <wp:simplePos x="0" y="0"/>
            <wp:positionH relativeFrom="margin">
              <wp:align>left</wp:align>
            </wp:positionH>
            <wp:positionV relativeFrom="paragraph">
              <wp:posOffset>228600</wp:posOffset>
            </wp:positionV>
            <wp:extent cx="5439410" cy="3599815"/>
            <wp:effectExtent l="0" t="0" r="8890" b="635"/>
            <wp:wrapTopAndBottom/>
            <wp:docPr id="279730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30147"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39410" cy="3599815"/>
                    </a:xfrm>
                    <a:prstGeom prst="rect">
                      <a:avLst/>
                    </a:prstGeom>
                    <a:noFill/>
                    <a:ln>
                      <a:noFill/>
                    </a:ln>
                  </pic:spPr>
                </pic:pic>
              </a:graphicData>
            </a:graphic>
          </wp:anchor>
        </w:drawing>
      </w:r>
    </w:p>
    <w:p w14:paraId="5029229D" w14:textId="77777777" w:rsidR="001A4A44" w:rsidRDefault="001A4A44" w:rsidP="001A4A44">
      <w:pPr>
        <w:spacing w:line="480" w:lineRule="auto"/>
        <w:jc w:val="both"/>
        <w:rPr>
          <w:rFonts w:ascii="Times New Roman" w:hAnsi="Times New Roman" w:cs="Times New Roman"/>
          <w:sz w:val="24"/>
          <w:szCs w:val="24"/>
        </w:rPr>
      </w:pPr>
      <w:r>
        <w:rPr>
          <w:rFonts w:ascii="Times New Roman" w:hAnsi="Times New Roman" w:cs="Times New Roman"/>
          <w:sz w:val="24"/>
          <w:szCs w:val="24"/>
        </w:rPr>
        <w:t>Supplementary Figure 2. Clinical decision curve. Decision curve analysis demonstrating the model’s clinical utility, with decision curves above the extremes (intervening none or all) in probability threshold ranges of 0–1 and 0.45–0.9, suggesting a higher clinical applicability and a broader effective prothrombin range.</w:t>
      </w:r>
    </w:p>
    <w:p w14:paraId="5521B135" w14:textId="77777777" w:rsidR="001A4A44" w:rsidRDefault="001A4A44" w:rsidP="001A4A44">
      <w:pPr>
        <w:spacing w:line="480" w:lineRule="auto"/>
        <w:jc w:val="both"/>
      </w:pPr>
      <w:r>
        <w:br w:type="page"/>
      </w:r>
    </w:p>
    <w:p w14:paraId="089825BC" w14:textId="77777777" w:rsidR="001A4A44" w:rsidRDefault="001A4A44" w:rsidP="001A4A44">
      <w:pPr>
        <w:spacing w:line="480" w:lineRule="auto"/>
        <w:jc w:val="both"/>
      </w:pPr>
      <w:r>
        <w:rPr>
          <w:noProof/>
        </w:rPr>
        <w:lastRenderedPageBreak/>
        <w:drawing>
          <wp:inline distT="0" distB="0" distL="0" distR="0" wp14:anchorId="0E4220D0" wp14:editId="19F18C01">
            <wp:extent cx="4762500" cy="3596640"/>
            <wp:effectExtent l="0" t="0" r="0" b="3810"/>
            <wp:docPr id="1474645787" name="Picture 1"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45787" name="Picture 1" descr="88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3596640"/>
                    </a:xfrm>
                    <a:prstGeom prst="rect">
                      <a:avLst/>
                    </a:prstGeom>
                    <a:noFill/>
                    <a:ln>
                      <a:noFill/>
                    </a:ln>
                  </pic:spPr>
                </pic:pic>
              </a:graphicData>
            </a:graphic>
          </wp:inline>
        </w:drawing>
      </w:r>
    </w:p>
    <w:p w14:paraId="4FEC4ADA" w14:textId="77777777" w:rsidR="001A4A44" w:rsidRDefault="001A4A44" w:rsidP="001A4A44">
      <w:pPr>
        <w:spacing w:line="480" w:lineRule="auto"/>
        <w:jc w:val="both"/>
        <w:rPr>
          <w:rFonts w:ascii="Times New Roman" w:hAnsi="Times New Roman" w:cs="Times New Roman"/>
          <w:sz w:val="24"/>
          <w:szCs w:val="24"/>
        </w:rPr>
      </w:pPr>
      <w:r>
        <w:rPr>
          <w:rFonts w:ascii="Times New Roman" w:hAnsi="Times New Roman" w:cs="Times New Roman"/>
          <w:sz w:val="24"/>
          <w:szCs w:val="24"/>
        </w:rPr>
        <w:t>Supplementary Figure 3. Clinical impact curve. The clinical impact curve confirming the model’s effectiveness, showing a high concordance between the predicted high-risk patients and the actual cases of persistent airflow obstruction at risk thresholds above 0.36, demonstrating a high clinical prediction efficiency.</w:t>
      </w:r>
    </w:p>
    <w:p w14:paraId="370077D2" w14:textId="77777777" w:rsidR="001A4A44" w:rsidRDefault="001A4A44" w:rsidP="001A4A44">
      <w:pPr>
        <w:spacing w:line="480" w:lineRule="auto"/>
        <w:rPr>
          <w:rFonts w:ascii="Times New Roman" w:hAnsi="Times New Roman" w:cs="Times New Roman"/>
          <w:sz w:val="24"/>
          <w:szCs w:val="24"/>
        </w:rPr>
      </w:pPr>
    </w:p>
    <w:p w14:paraId="280178F9" w14:textId="77777777" w:rsidR="001A4A44" w:rsidRDefault="001A4A44" w:rsidP="001A4A44">
      <w:pPr>
        <w:spacing w:line="480" w:lineRule="auto"/>
        <w:rPr>
          <w:rFonts w:ascii="Times New Roman" w:hAnsi="Times New Roman" w:cs="Times New Roman"/>
          <w:sz w:val="24"/>
          <w:szCs w:val="24"/>
        </w:rPr>
      </w:pPr>
    </w:p>
    <w:p w14:paraId="5B8ABF73" w14:textId="77777777" w:rsidR="001A4A44" w:rsidRDefault="001A4A44" w:rsidP="001A4A44">
      <w:pPr>
        <w:spacing w:line="480" w:lineRule="auto"/>
        <w:rPr>
          <w:rFonts w:ascii="Times New Roman" w:hAnsi="Times New Roman" w:cs="Times New Roman"/>
          <w:sz w:val="24"/>
          <w:szCs w:val="24"/>
        </w:rPr>
      </w:pPr>
    </w:p>
    <w:p w14:paraId="40BE0448" w14:textId="77777777" w:rsidR="007C02D8" w:rsidRDefault="007C02D8"/>
    <w:sectPr w:rsidR="007C02D8" w:rsidSect="001A4A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38A25" w14:textId="77777777" w:rsidR="00F77FAA" w:rsidRDefault="00F77FAA" w:rsidP="001A4A44">
      <w:pPr>
        <w:spacing w:after="0" w:line="240" w:lineRule="auto"/>
      </w:pPr>
      <w:r>
        <w:separator/>
      </w:r>
    </w:p>
  </w:endnote>
  <w:endnote w:type="continuationSeparator" w:id="0">
    <w:p w14:paraId="29E19003" w14:textId="77777777" w:rsidR="00F77FAA" w:rsidRDefault="00F77FAA" w:rsidP="001A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F3EF6" w14:textId="77777777" w:rsidR="00F77FAA" w:rsidRDefault="00F77FAA" w:rsidP="001A4A44">
      <w:pPr>
        <w:spacing w:after="0" w:line="240" w:lineRule="auto"/>
      </w:pPr>
      <w:r>
        <w:separator/>
      </w:r>
    </w:p>
  </w:footnote>
  <w:footnote w:type="continuationSeparator" w:id="0">
    <w:p w14:paraId="039DBC6A" w14:textId="77777777" w:rsidR="00F77FAA" w:rsidRDefault="00F77FAA" w:rsidP="001A4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AxtzQ3A9Jmpko6SsGpxcWZ+XkgBYa1ABHISoMsAAAA"/>
  </w:docVars>
  <w:rsids>
    <w:rsidRoot w:val="00B60F26"/>
    <w:rsid w:val="001A4A44"/>
    <w:rsid w:val="00760B40"/>
    <w:rsid w:val="007C02D8"/>
    <w:rsid w:val="00B60F26"/>
    <w:rsid w:val="00F7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B098016-E8D8-4F0B-A806-2402D57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A44"/>
    <w:pPr>
      <w:spacing w:after="160" w:line="259" w:lineRule="auto"/>
    </w:pPr>
    <w:rPr>
      <w:sz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A44"/>
    <w:pPr>
      <w:tabs>
        <w:tab w:val="center" w:pos="4153"/>
        <w:tab w:val="right" w:pos="8306"/>
      </w:tabs>
      <w:snapToGrid w:val="0"/>
      <w:jc w:val="center"/>
    </w:pPr>
    <w:rPr>
      <w:sz w:val="18"/>
      <w:szCs w:val="18"/>
    </w:rPr>
  </w:style>
  <w:style w:type="character" w:customStyle="1" w:styleId="a4">
    <w:name w:val="页眉 字符"/>
    <w:basedOn w:val="a0"/>
    <w:link w:val="a3"/>
    <w:uiPriority w:val="99"/>
    <w:rsid w:val="001A4A44"/>
    <w:rPr>
      <w:sz w:val="18"/>
      <w:szCs w:val="18"/>
    </w:rPr>
  </w:style>
  <w:style w:type="paragraph" w:styleId="a5">
    <w:name w:val="footer"/>
    <w:basedOn w:val="a"/>
    <w:link w:val="a6"/>
    <w:uiPriority w:val="99"/>
    <w:unhideWhenUsed/>
    <w:rsid w:val="001A4A44"/>
    <w:pPr>
      <w:tabs>
        <w:tab w:val="center" w:pos="4153"/>
        <w:tab w:val="right" w:pos="8306"/>
      </w:tabs>
      <w:snapToGrid w:val="0"/>
    </w:pPr>
    <w:rPr>
      <w:sz w:val="18"/>
      <w:szCs w:val="18"/>
    </w:rPr>
  </w:style>
  <w:style w:type="character" w:customStyle="1" w:styleId="a6">
    <w:name w:val="页脚 字符"/>
    <w:basedOn w:val="a0"/>
    <w:link w:val="a5"/>
    <w:uiPriority w:val="99"/>
    <w:rsid w:val="001A4A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dc:description/>
  <cp:lastModifiedBy>Sherry</cp:lastModifiedBy>
  <cp:revision>2</cp:revision>
  <dcterms:created xsi:type="dcterms:W3CDTF">2024-07-11T08:01:00Z</dcterms:created>
  <dcterms:modified xsi:type="dcterms:W3CDTF">2024-07-11T08:02:00Z</dcterms:modified>
</cp:coreProperties>
</file>