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B9B4C" w14:textId="77777777" w:rsidR="003706E1" w:rsidRDefault="00B6629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48E163C3" w14:textId="77777777" w:rsidR="003706E1" w:rsidRDefault="003706E1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BD0FAD" w14:textId="77777777" w:rsidR="003706E1" w:rsidRDefault="00B6629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CD544AB" wp14:editId="2CB83DB2">
            <wp:extent cx="4279900" cy="2621915"/>
            <wp:effectExtent l="19050" t="19050" r="2540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890" cy="2628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F1F8A" w14:textId="77777777" w:rsidR="003706E1" w:rsidRDefault="00B6629A">
      <w:pPr>
        <w:widowControl/>
        <w:spacing w:line="360" w:lineRule="auto"/>
        <w:ind w:left="800" w:hangingChars="400" w:hanging="80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Figure1. </w:t>
      </w:r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 xml:space="preserve">The principal component analysis (PCA) </w:t>
      </w:r>
      <w:proofErr w:type="gramStart"/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showing</w:t>
      </w:r>
      <w:proofErr w:type="gramEnd"/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 xml:space="preserve"> the distribution of samples in patients with lupus nephritis and normal controls.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(A) PCA before batch effect removal. (B) PCA after batch effect removal.</w:t>
      </w:r>
    </w:p>
    <w:p w14:paraId="2039B3BF" w14:textId="77777777" w:rsidR="003706E1" w:rsidRDefault="00B6629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323ACE2" wp14:editId="7AAC1E0F">
            <wp:extent cx="2921000" cy="2972435"/>
            <wp:effectExtent l="19050" t="19050" r="1270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888" cy="2973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16C38" w14:textId="77777777" w:rsidR="003706E1" w:rsidRDefault="00B6629A">
      <w:pPr>
        <w:widowControl/>
        <w:spacing w:line="480" w:lineRule="auto"/>
        <w:ind w:left="800" w:hangingChars="400" w:hanging="800"/>
        <w:jc w:val="left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Figure2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Venn diagram of the intersection of candidate diagnostic genes screened through LASSO and SVM-RFE.</w:t>
      </w:r>
    </w:p>
    <w:p w14:paraId="11918546" w14:textId="77777777" w:rsidR="003706E1" w:rsidRDefault="003706E1">
      <w:pPr>
        <w:spacing w:line="48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16B29B9C" w14:textId="77777777" w:rsidR="003706E1" w:rsidRDefault="00B6629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380A1BFD" wp14:editId="76E07A2B">
            <wp:extent cx="3505200" cy="3070860"/>
            <wp:effectExtent l="19050" t="19050" r="1905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669" cy="3074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86698" w14:textId="77777777" w:rsidR="003706E1" w:rsidRDefault="00B6629A">
      <w:pPr>
        <w:spacing w:line="360" w:lineRule="auto"/>
        <w:ind w:left="800" w:hangingChars="400" w:hanging="800"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Figure3. </w:t>
      </w:r>
      <w:r>
        <w:rPr>
          <w:rFonts w:ascii="Times New Roman" w:hAnsi="Times New Roman" w:cs="Times New Roman"/>
          <w:sz w:val="20"/>
          <w:szCs w:val="20"/>
        </w:rPr>
        <w:t xml:space="preserve">The feature genes were differentially expressed in healthy and LN </w:t>
      </w:r>
      <w:proofErr w:type="gramStart"/>
      <w:r>
        <w:rPr>
          <w:rFonts w:ascii="Times New Roman" w:hAnsi="Times New Roman" w:cs="Times New Roman"/>
          <w:sz w:val="20"/>
          <w:szCs w:val="20"/>
        </w:rPr>
        <w:t>specimens.(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A) </w:t>
      </w:r>
      <w:r>
        <w:rPr>
          <w:rFonts w:ascii="Times New Roman" w:hAnsi="Times New Roman" w:cs="Times New Roman"/>
          <w:i/>
          <w:sz w:val="20"/>
          <w:szCs w:val="20"/>
        </w:rPr>
        <w:t>IFITM1</w:t>
      </w:r>
      <w:r>
        <w:rPr>
          <w:rFonts w:ascii="Times New Roman" w:hAnsi="Times New Roman" w:cs="Times New Roman"/>
          <w:sz w:val="20"/>
          <w:szCs w:val="20"/>
        </w:rPr>
        <w:t xml:space="preserve"> expression was distinctly upregulated in LN samples.(B) </w:t>
      </w:r>
      <w:r>
        <w:rPr>
          <w:rFonts w:ascii="Times New Roman" w:hAnsi="Times New Roman" w:cs="Times New Roman"/>
          <w:i/>
          <w:sz w:val="20"/>
          <w:szCs w:val="20"/>
        </w:rPr>
        <w:t xml:space="preserve">KIT </w:t>
      </w:r>
      <w:r>
        <w:rPr>
          <w:rFonts w:ascii="Times New Roman" w:hAnsi="Times New Roman" w:cs="Times New Roman"/>
          <w:sz w:val="20"/>
          <w:szCs w:val="20"/>
        </w:rPr>
        <w:t xml:space="preserve">expression was distinctly </w:t>
      </w:r>
      <w:r>
        <w:rPr>
          <w:rFonts w:ascii="Times New Roman" w:hAnsi="Times New Roman" w:cs="Times New Roman" w:hint="eastAsia"/>
          <w:sz w:val="20"/>
          <w:szCs w:val="20"/>
        </w:rPr>
        <w:t>down</w:t>
      </w:r>
      <w:r>
        <w:rPr>
          <w:rFonts w:ascii="Times New Roman" w:hAnsi="Times New Roman" w:cs="Times New Roman"/>
          <w:sz w:val="20"/>
          <w:szCs w:val="20"/>
        </w:rPr>
        <w:t>regulated in LN samples.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(C)</w:t>
      </w:r>
      <w:r>
        <w:rPr>
          <w:rFonts w:ascii="Times New Roman" w:hAnsi="Times New Roman" w:cs="Times New Roman"/>
          <w:i/>
          <w:sz w:val="20"/>
          <w:szCs w:val="20"/>
        </w:rPr>
        <w:t xml:space="preserve"> FKBP5 </w:t>
      </w:r>
      <w:r>
        <w:rPr>
          <w:rFonts w:ascii="Times New Roman" w:hAnsi="Times New Roman" w:cs="Times New Roman"/>
          <w:sz w:val="20"/>
          <w:szCs w:val="20"/>
        </w:rPr>
        <w:t xml:space="preserve">expression was distinctly </w:t>
      </w:r>
      <w:r>
        <w:rPr>
          <w:rFonts w:ascii="Times New Roman" w:hAnsi="Times New Roman" w:cs="Times New Roman" w:hint="eastAsia"/>
          <w:sz w:val="20"/>
          <w:szCs w:val="20"/>
        </w:rPr>
        <w:t>down</w:t>
      </w:r>
      <w:r>
        <w:rPr>
          <w:rFonts w:ascii="Times New Roman" w:hAnsi="Times New Roman" w:cs="Times New Roman"/>
          <w:sz w:val="20"/>
          <w:szCs w:val="20"/>
        </w:rPr>
        <w:t xml:space="preserve">regulated in LN samples. (D) </w:t>
      </w:r>
      <w:r>
        <w:rPr>
          <w:rFonts w:ascii="Times New Roman" w:hAnsi="Times New Roman" w:cs="Times New Roman"/>
          <w:i/>
          <w:sz w:val="20"/>
          <w:szCs w:val="20"/>
        </w:rPr>
        <w:t>RORC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expression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were distinctly downregulated in LN samples.</w:t>
      </w:r>
    </w:p>
    <w:p w14:paraId="2654B488" w14:textId="77777777" w:rsidR="003706E1" w:rsidRDefault="00B6629A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CBBCBD8" wp14:editId="6B87D9A2">
            <wp:extent cx="3295650" cy="351028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09" cy="351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E7AAF" w14:textId="77777777" w:rsidR="003706E1" w:rsidRDefault="00B6629A">
      <w:pPr>
        <w:spacing w:line="360" w:lineRule="auto"/>
        <w:ind w:left="800" w:hangingChars="400" w:hanging="800"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0"/>
          <w:szCs w:val="20"/>
        </w:rPr>
        <w:t>Figure4.</w:t>
      </w:r>
      <w:r>
        <w:rPr>
          <w:rFonts w:ascii="Times New Roman" w:hAnsi="Times New Roman" w:cs="Times New Roman"/>
          <w:sz w:val="20"/>
          <w:szCs w:val="20"/>
        </w:rPr>
        <w:t xml:space="preserve"> The receiver operating characteristic (ROC) curve of the diagnostic values of the feature genes. (A) ROC assays for</w:t>
      </w:r>
      <w:r>
        <w:rPr>
          <w:rFonts w:ascii="Times New Roman" w:hAnsi="Times New Roman" w:cs="Times New Roman"/>
          <w:i/>
          <w:sz w:val="20"/>
          <w:szCs w:val="20"/>
        </w:rPr>
        <w:t xml:space="preserve"> FKBP5 </w:t>
      </w:r>
      <w:r>
        <w:rPr>
          <w:rFonts w:ascii="Times New Roman" w:hAnsi="Times New Roman" w:cs="Times New Roman"/>
          <w:sz w:val="20"/>
          <w:szCs w:val="20"/>
        </w:rPr>
        <w:t>in LN.(B) ROC assays for</w:t>
      </w:r>
      <w:r>
        <w:rPr>
          <w:rFonts w:ascii="Times New Roman" w:hAnsi="Times New Roman" w:cs="Times New Roman"/>
          <w:i/>
          <w:sz w:val="20"/>
          <w:szCs w:val="20"/>
        </w:rPr>
        <w:t xml:space="preserve"> KIT </w:t>
      </w:r>
      <w:r>
        <w:rPr>
          <w:rFonts w:ascii="Times New Roman" w:hAnsi="Times New Roman" w:cs="Times New Roman"/>
          <w:sz w:val="20"/>
          <w:szCs w:val="20"/>
        </w:rPr>
        <w:t>in LN.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(C)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ROC assays for</w:t>
      </w:r>
      <w:r>
        <w:rPr>
          <w:rFonts w:ascii="Times New Roman" w:hAnsi="Times New Roman" w:cs="Times New Roman"/>
          <w:i/>
          <w:sz w:val="20"/>
          <w:szCs w:val="20"/>
        </w:rPr>
        <w:t xml:space="preserve"> RORC </w:t>
      </w:r>
      <w:r>
        <w:rPr>
          <w:rFonts w:ascii="Times New Roman" w:hAnsi="Times New Roman" w:cs="Times New Roman"/>
          <w:sz w:val="20"/>
          <w:szCs w:val="20"/>
        </w:rPr>
        <w:t>in LN. (D) ROC assays for</w:t>
      </w:r>
      <w:r>
        <w:rPr>
          <w:rFonts w:ascii="Times New Roman" w:hAnsi="Times New Roman" w:cs="Times New Roman"/>
          <w:i/>
          <w:sz w:val="20"/>
          <w:szCs w:val="20"/>
        </w:rPr>
        <w:t xml:space="preserve"> IFITM1 </w:t>
      </w:r>
      <w:r>
        <w:rPr>
          <w:rFonts w:ascii="Times New Roman" w:hAnsi="Times New Roman" w:cs="Times New Roman"/>
          <w:sz w:val="20"/>
          <w:szCs w:val="20"/>
        </w:rPr>
        <w:t>in LN.</w:t>
      </w:r>
    </w:p>
    <w:sectPr w:rsidR="003706E1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CD2B1" w14:textId="77777777" w:rsidR="00B6629A" w:rsidRDefault="00B6629A" w:rsidP="00B6629A">
      <w:r>
        <w:separator/>
      </w:r>
    </w:p>
  </w:endnote>
  <w:endnote w:type="continuationSeparator" w:id="0">
    <w:p w14:paraId="39BDBDC5" w14:textId="77777777" w:rsidR="00B6629A" w:rsidRDefault="00B6629A" w:rsidP="00B6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0AB4A" w14:textId="1D701294" w:rsidR="00B6629A" w:rsidRDefault="00B662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857235" wp14:editId="32266EF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81458323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A0B4C4" w14:textId="7943A176" w:rsidR="00B6629A" w:rsidRPr="00B6629A" w:rsidRDefault="00B6629A" w:rsidP="00B6629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629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572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DA0B4C4" w14:textId="7943A176" w:rsidR="00B6629A" w:rsidRPr="00B6629A" w:rsidRDefault="00B6629A" w:rsidP="00B6629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629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EC90E" w14:textId="20EF5A5A" w:rsidR="00B6629A" w:rsidRDefault="00B662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69F86D" wp14:editId="48911265">
              <wp:simplePos x="1144988" y="9883471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9197168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BE12AE" w14:textId="25DF8537" w:rsidR="00B6629A" w:rsidRPr="00B6629A" w:rsidRDefault="00B6629A" w:rsidP="00B6629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629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9F86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BBE12AE" w14:textId="25DF8537" w:rsidR="00B6629A" w:rsidRPr="00B6629A" w:rsidRDefault="00B6629A" w:rsidP="00B6629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629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AB60D" w14:textId="65B9C5F5" w:rsidR="00B6629A" w:rsidRDefault="00B662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EC26DD" wp14:editId="1162402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30207881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3BA267" w14:textId="47D235D7" w:rsidR="00B6629A" w:rsidRPr="00B6629A" w:rsidRDefault="00B6629A" w:rsidP="00B6629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629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EC26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13BA267" w14:textId="47D235D7" w:rsidR="00B6629A" w:rsidRPr="00B6629A" w:rsidRDefault="00B6629A" w:rsidP="00B6629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629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79787" w14:textId="77777777" w:rsidR="00B6629A" w:rsidRDefault="00B6629A" w:rsidP="00B6629A">
      <w:r>
        <w:separator/>
      </w:r>
    </w:p>
  </w:footnote>
  <w:footnote w:type="continuationSeparator" w:id="0">
    <w:p w14:paraId="6E4F3C4E" w14:textId="77777777" w:rsidR="00B6629A" w:rsidRDefault="00B6629A" w:rsidP="00B66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121"/>
    <w:rsid w:val="002D2AE8"/>
    <w:rsid w:val="003706E1"/>
    <w:rsid w:val="003A2121"/>
    <w:rsid w:val="005E408A"/>
    <w:rsid w:val="00B6629A"/>
    <w:rsid w:val="00BF6E4E"/>
    <w:rsid w:val="00E32D0F"/>
    <w:rsid w:val="1184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217797"/>
  <w15:docId w15:val="{13323C2A-EEAB-4C99-8687-969DC9BA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62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29A"/>
    <w:rPr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Pratt, Lucas</cp:lastModifiedBy>
  <cp:revision>2</cp:revision>
  <dcterms:created xsi:type="dcterms:W3CDTF">2024-12-18T20:01:00Z</dcterms:created>
  <dcterms:modified xsi:type="dcterms:W3CDTF">2024-12-18T20:01:00Z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543B080B7A044BED82864D5114393FBB_12</vt:lpwstr>
  </property>
  <property fmtid="{D5CDD505-2E9C-101B-9397-08002B2CF9AE}" pid="4" name="ClassificationContentMarkingFooterShapeIds">
    <vt:lpwstr>12015b62,308d8dc1,1d52e466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2024-12-18T20:01:15Z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afcf35fe-e303-45f5-9014-562717a5591a</vt:lpwstr>
  </property>
  <property fmtid="{D5CDD505-2E9C-101B-9397-08002B2CF9AE}" pid="13" name="MSIP_Label_2bbab825-a111-45e4-86a1-18cee0005896_ContentBits">
    <vt:lpwstr>2</vt:lpwstr>
  </property>
</Properties>
</file>