
<file path=[Content_Types].xml><?xml version="1.0" encoding="utf-8"?>
<Types xmlns="http://schemas.openxmlformats.org/package/2006/content-types">
  <Default Extension="bin" ContentType="application/vnd.openxmlformats-officedocument.oleObject"/>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80" w:lineRule="auto"/>
        <w:jc w:val="left"/>
        <w:rPr>
          <w:rFonts w:hint="eastAsia" w:ascii="Arial" w:hAnsi="Arial" w:eastAsia="Times New Roman" w:cs="Arial"/>
          <w:b/>
          <w:bCs/>
          <w:kern w:val="0"/>
          <w:sz w:val="20"/>
          <w:lang w:eastAsia="en-US"/>
        </w:rPr>
      </w:pPr>
      <w:r>
        <w:rPr>
          <w:rFonts w:hint="eastAsia" w:ascii="Arial" w:hAnsi="Arial" w:eastAsia="Times New Roman" w:cs="Arial"/>
          <w:b/>
          <w:bCs/>
          <w:kern w:val="0"/>
          <w:sz w:val="20"/>
          <w:lang w:eastAsia="en-US"/>
        </w:rPr>
        <w:t>Table S1：RT-PCR primer sequence list</w:t>
      </w:r>
    </w:p>
    <w:tbl>
      <w:tblPr>
        <w:tblW w:w="6433"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630"/>
        <w:gridCol w:w="3803"/>
      </w:tblGrid>
      <w:tr>
        <w:trPr>
          <w:trHeight w:val="352" w:hRule="atLeast"/>
        </w:trPr>
        <w:tc>
          <w:tcPr>
            <w:tcW w:w="0" w:type="auto"/>
            <w:tcBorders>
              <w:top w:val="single" w:color="000000" w:sz="4" w:space="0"/>
              <w:left w:val="nil"/>
              <w:bottom w:val="single" w:color="000000" w:sz="4" w:space="0"/>
              <w:right w:val="nil"/>
            </w:tcBorders>
            <w:shd w:val="clear"/>
            <w:noWrap/>
            <w:vAlign w:val="top"/>
          </w:tcPr>
          <w:p>
            <w:pPr>
              <w:keepNext w:val="0"/>
              <w:keepLines w:val="0"/>
              <w:widowControl/>
              <w:suppressLineNumbers w:val="0"/>
              <w:jc w:val="center"/>
              <w:textAlignment w:val="top"/>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Primers</w:t>
            </w:r>
          </w:p>
        </w:tc>
        <w:tc>
          <w:tcPr>
            <w:tcW w:w="0" w:type="auto"/>
            <w:tcBorders>
              <w:top w:val="single" w:color="000000" w:sz="4" w:space="0"/>
              <w:left w:val="nil"/>
              <w:bottom w:val="single" w:color="000000" w:sz="4" w:space="0"/>
              <w:right w:val="nil"/>
            </w:tcBorders>
            <w:shd w:val="clear"/>
            <w:noWrap/>
            <w:vAlign w:val="top"/>
          </w:tcPr>
          <w:p>
            <w:pPr>
              <w:keepNext w:val="0"/>
              <w:keepLines w:val="0"/>
              <w:widowControl/>
              <w:suppressLineNumbers w:val="0"/>
              <w:jc w:val="center"/>
              <w:textAlignment w:val="top"/>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Sequences</w:t>
            </w:r>
          </w:p>
        </w:tc>
      </w:tr>
      <w:tr>
        <w:trPr>
          <w:trHeight w:val="352" w:hRule="atLeast"/>
        </w:trPr>
        <w:tc>
          <w:tcPr>
            <w:tcW w:w="0" w:type="auto"/>
            <w:tcBorders>
              <w:top w:val="nil"/>
              <w:left w:val="nil"/>
              <w:bottom w:val="nil"/>
              <w:right w:val="nil"/>
            </w:tcBorders>
            <w:shd w:val="clear"/>
            <w:noWrap/>
            <w:vAlign w:val="top"/>
          </w:tcPr>
          <w:p>
            <w:pPr>
              <w:keepNext w:val="0"/>
              <w:keepLines w:val="0"/>
              <w:widowControl/>
              <w:suppressLineNumbers w:val="0"/>
              <w:jc w:val="center"/>
              <w:textAlignment w:val="top"/>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UBE2D1  F</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AGCGGATCCAGAAAGTGAGTG</w:t>
            </w:r>
          </w:p>
        </w:tc>
      </w:tr>
      <w:tr>
        <w:trPr>
          <w:trHeight w:val="352" w:hRule="atLeast"/>
        </w:trPr>
        <w:tc>
          <w:tcPr>
            <w:tcW w:w="0" w:type="auto"/>
            <w:tcBorders>
              <w:top w:val="nil"/>
              <w:left w:val="nil"/>
              <w:bottom w:val="nil"/>
              <w:right w:val="nil"/>
            </w:tcBorders>
            <w:shd w:val="clear"/>
            <w:noWrap/>
            <w:vAlign w:val="top"/>
          </w:tcPr>
          <w:p>
            <w:pPr>
              <w:keepNext w:val="0"/>
              <w:keepLines w:val="0"/>
              <w:widowControl/>
              <w:suppressLineNumbers w:val="0"/>
              <w:jc w:val="center"/>
              <w:textAlignment w:val="top"/>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UBE2D1 R</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TAATTCCTGTGCGGGCCGAT</w:t>
            </w:r>
          </w:p>
        </w:tc>
      </w:tr>
      <w:tr>
        <w:trPr>
          <w:trHeight w:val="352" w:hRule="atLeast"/>
        </w:trPr>
        <w:tc>
          <w:tcPr>
            <w:tcW w:w="0" w:type="auto"/>
            <w:tcBorders>
              <w:top w:val="nil"/>
              <w:left w:val="nil"/>
              <w:bottom w:val="nil"/>
              <w:right w:val="nil"/>
            </w:tcBorders>
            <w:shd w:val="clear"/>
            <w:noWrap/>
            <w:vAlign w:val="top"/>
          </w:tcPr>
          <w:p>
            <w:pPr>
              <w:keepNext w:val="0"/>
              <w:keepLines w:val="0"/>
              <w:widowControl/>
              <w:suppressLineNumbers w:val="0"/>
              <w:jc w:val="center"/>
              <w:textAlignment w:val="top"/>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WDR26 F</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TAGGACAGCACCTCAATGGC</w:t>
            </w:r>
          </w:p>
        </w:tc>
      </w:tr>
      <w:tr>
        <w:trPr>
          <w:trHeight w:val="352" w:hRule="atLeast"/>
        </w:trPr>
        <w:tc>
          <w:tcPr>
            <w:tcW w:w="0" w:type="auto"/>
            <w:tcBorders>
              <w:top w:val="nil"/>
              <w:left w:val="nil"/>
              <w:bottom w:val="nil"/>
              <w:right w:val="nil"/>
            </w:tcBorders>
            <w:shd w:val="clear"/>
            <w:noWrap/>
            <w:vAlign w:val="top"/>
          </w:tcPr>
          <w:p>
            <w:pPr>
              <w:keepNext w:val="0"/>
              <w:keepLines w:val="0"/>
              <w:widowControl/>
              <w:suppressLineNumbers w:val="0"/>
              <w:jc w:val="center"/>
              <w:textAlignment w:val="top"/>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WDR26 R</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TTCCCAACAACGTTTGAGAGAT</w:t>
            </w:r>
          </w:p>
        </w:tc>
      </w:tr>
      <w:tr>
        <w:trPr>
          <w:trHeight w:val="352" w:hRule="atLeast"/>
        </w:trPr>
        <w:tc>
          <w:tcPr>
            <w:tcW w:w="0" w:type="auto"/>
            <w:tcBorders>
              <w:top w:val="nil"/>
              <w:left w:val="nil"/>
              <w:bottom w:val="nil"/>
              <w:right w:val="nil"/>
            </w:tcBorders>
            <w:shd w:val="clear"/>
            <w:noWrap/>
            <w:vAlign w:val="top"/>
          </w:tcPr>
          <w:p>
            <w:pPr>
              <w:keepNext w:val="0"/>
              <w:keepLines w:val="0"/>
              <w:widowControl/>
              <w:suppressLineNumbers w:val="0"/>
              <w:jc w:val="center"/>
              <w:textAlignment w:val="top"/>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Endosome M-GAPDH F</w:t>
            </w:r>
          </w:p>
        </w:tc>
        <w:tc>
          <w:tcPr>
            <w:tcW w:w="0" w:type="auto"/>
            <w:tcBorders>
              <w:top w:val="nil"/>
              <w:left w:val="nil"/>
              <w:bottom w:val="nil"/>
              <w:right w:val="nil"/>
            </w:tcBorders>
            <w:shd w:val="clear"/>
            <w:noWrap/>
            <w:vAlign w:val="top"/>
          </w:tcPr>
          <w:p>
            <w:pPr>
              <w:keepNext w:val="0"/>
              <w:keepLines w:val="0"/>
              <w:widowControl/>
              <w:suppressLineNumbers w:val="0"/>
              <w:jc w:val="center"/>
              <w:textAlignment w:val="top"/>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CCTTCCGTGTTCCTACCCC</w:t>
            </w:r>
          </w:p>
        </w:tc>
      </w:tr>
      <w:tr>
        <w:trPr>
          <w:trHeight w:val="352" w:hRule="atLeast"/>
        </w:trPr>
        <w:tc>
          <w:tcPr>
            <w:tcW w:w="0" w:type="auto"/>
            <w:tcBorders>
              <w:top w:val="nil"/>
              <w:left w:val="nil"/>
              <w:bottom w:val="single" w:color="000000" w:sz="4" w:space="0"/>
              <w:right w:val="nil"/>
            </w:tcBorders>
            <w:shd w:val="clear"/>
            <w:noWrap/>
            <w:vAlign w:val="top"/>
          </w:tcPr>
          <w:p>
            <w:pPr>
              <w:keepNext w:val="0"/>
              <w:keepLines w:val="0"/>
              <w:widowControl/>
              <w:suppressLineNumbers w:val="0"/>
              <w:jc w:val="center"/>
              <w:textAlignment w:val="top"/>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Endosome M-GAPDH R</w:t>
            </w:r>
          </w:p>
        </w:tc>
        <w:tc>
          <w:tcPr>
            <w:tcW w:w="0" w:type="auto"/>
            <w:tcBorders>
              <w:top w:val="nil"/>
              <w:left w:val="nil"/>
              <w:bottom w:val="single" w:color="000000" w:sz="4" w:space="0"/>
              <w:right w:val="nil"/>
            </w:tcBorders>
            <w:shd w:val="clear"/>
            <w:noWrap/>
            <w:vAlign w:val="top"/>
          </w:tcPr>
          <w:p>
            <w:pPr>
              <w:keepNext w:val="0"/>
              <w:keepLines w:val="0"/>
              <w:widowControl/>
              <w:suppressLineNumbers w:val="0"/>
              <w:jc w:val="center"/>
              <w:textAlignment w:val="top"/>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bdr w:val="none" w:color="auto" w:sz="0" w:space="0"/>
                <w:lang w:val="en-US" w:eastAsia="zh-CN" w:bidi="ar"/>
              </w:rPr>
              <w:t>GCCCAAGATGCCCTTCAGT</w:t>
            </w:r>
          </w:p>
        </w:tc>
      </w:tr>
    </w:tbl>
    <w:p>
      <w:pPr>
        <w:widowControl/>
        <w:spacing w:line="480" w:lineRule="auto"/>
        <w:jc w:val="left"/>
        <w:rPr>
          <w:rFonts w:hint="eastAsia" w:ascii="Arial" w:hAnsi="Arial" w:eastAsia="Times New Roman" w:cs="Arial"/>
          <w:b/>
          <w:bCs/>
          <w:kern w:val="0"/>
          <w:sz w:val="20"/>
          <w:lang w:eastAsia="en-US"/>
        </w:rPr>
      </w:pPr>
    </w:p>
    <w:p>
      <w:pPr>
        <w:widowControl/>
        <w:spacing w:line="480" w:lineRule="auto"/>
        <w:jc w:val="left"/>
        <w:rPr>
          <w:rFonts w:hint="eastAsia" w:ascii="Arial" w:hAnsi="Arial" w:eastAsia="Times New Roman" w:cs="Arial"/>
          <w:b/>
          <w:bCs/>
          <w:kern w:val="0"/>
          <w:sz w:val="20"/>
          <w:lang w:eastAsia="en-US"/>
        </w:rPr>
      </w:pPr>
      <w:r>
        <w:rPr>
          <w:rFonts w:hint="eastAsia" w:ascii="Arial" w:hAnsi="Arial" w:eastAsia="Times New Roman" w:cs="Arial"/>
          <w:b/>
          <w:bCs/>
          <w:kern w:val="0"/>
          <w:sz w:val="20"/>
          <w:lang w:eastAsia="en-US"/>
        </w:rPr>
        <w:t>Table S2：Inverse MR analysis results</w:t>
      </w:r>
    </w:p>
    <w:tbl>
      <w:tblPr>
        <w:tblW w:w="14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17"/>
        <w:gridCol w:w="799"/>
        <w:gridCol w:w="1503"/>
        <w:gridCol w:w="2733"/>
        <w:gridCol w:w="1008"/>
        <w:gridCol w:w="1476"/>
        <w:gridCol w:w="443"/>
        <w:gridCol w:w="886"/>
        <w:gridCol w:w="846"/>
        <w:gridCol w:w="846"/>
        <w:gridCol w:w="886"/>
        <w:gridCol w:w="846"/>
        <w:gridCol w:w="846"/>
        <w:gridCol w:w="846"/>
        <w:gridCol w:w="846"/>
      </w:tblGrid>
      <w:tr>
        <w:trPr>
          <w:trHeight w:val="334" w:hRule="atLeast"/>
          <w:jc w:val="center"/>
        </w:trPr>
        <w:tc>
          <w:tcPr>
            <w:tcW w:w="717"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gene </w:t>
            </w:r>
          </w:p>
        </w:tc>
        <w:tc>
          <w:tcPr>
            <w:tcW w:w="799"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id.exposure</w:t>
            </w:r>
          </w:p>
        </w:tc>
        <w:tc>
          <w:tcPr>
            <w:tcW w:w="1400"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id.outcome</w:t>
            </w:r>
          </w:p>
        </w:tc>
        <w:tc>
          <w:tcPr>
            <w:tcW w:w="2733"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outcome</w:t>
            </w:r>
          </w:p>
        </w:tc>
        <w:tc>
          <w:tcPr>
            <w:tcW w:w="850"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exposure</w:t>
            </w:r>
          </w:p>
        </w:tc>
        <w:tc>
          <w:tcPr>
            <w:tcW w:w="1450"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method</w:t>
            </w:r>
          </w:p>
        </w:tc>
        <w:tc>
          <w:tcPr>
            <w:tcW w:w="433"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nsnp</w:t>
            </w:r>
          </w:p>
        </w:tc>
        <w:tc>
          <w:tcPr>
            <w:tcW w:w="850"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b</w:t>
            </w:r>
          </w:p>
        </w:tc>
        <w:tc>
          <w:tcPr>
            <w:tcW w:w="834"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se</w:t>
            </w:r>
          </w:p>
        </w:tc>
        <w:tc>
          <w:tcPr>
            <w:tcW w:w="783"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pval</w:t>
            </w:r>
          </w:p>
        </w:tc>
        <w:tc>
          <w:tcPr>
            <w:tcW w:w="800"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lo_ci</w:t>
            </w:r>
          </w:p>
        </w:tc>
        <w:tc>
          <w:tcPr>
            <w:tcW w:w="834"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up_ci</w:t>
            </w:r>
          </w:p>
        </w:tc>
        <w:tc>
          <w:tcPr>
            <w:tcW w:w="799"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or</w:t>
            </w:r>
          </w:p>
        </w:tc>
        <w:tc>
          <w:tcPr>
            <w:tcW w:w="833"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or_lci95</w:t>
            </w:r>
          </w:p>
        </w:tc>
        <w:tc>
          <w:tcPr>
            <w:tcW w:w="833"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or_uci95</w:t>
            </w:r>
          </w:p>
        </w:tc>
      </w:tr>
      <w:tr>
        <w:trPr>
          <w:trHeight w:val="334" w:hRule="atLeast"/>
          <w:jc w:val="center"/>
        </w:trPr>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WDR26</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ieu-b-4980</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eqtl-a-ENSG00000162923</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ENSG00000162923 || id:eqtl-a-ENSG00000162923</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 || id:ieu-b-4980</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MR Egger</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5</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-0.063106059</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0.285961257</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0.839507007</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-0.623590124</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0.497378005</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0.938843895</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0.536016613</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1.644403995</w:t>
            </w:r>
          </w:p>
        </w:tc>
      </w:tr>
      <w:tr>
        <w:trPr>
          <w:trHeight w:val="334" w:hRule="atLeast"/>
          <w:jc w:val="center"/>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WDR26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ENSG00000162923 || id:eqtl-a-ENSG00000162923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 || id:ieu-b-4980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Weighted median</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0.003188382</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0.125622363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0.979751318</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-0.243031451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0.249408214</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1.00319347</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0.784246848</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1.283265773</w:t>
            </w:r>
          </w:p>
        </w:tc>
      </w:tr>
      <w:tr>
        <w:trPr>
          <w:trHeight w:val="334" w:hRule="atLeast"/>
          <w:jc w:val="center"/>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WDR26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ENSG00000162923 || id:eqtl-a-ENSG00000162923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 || id:ieu-b-4980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Inverse variance weighted</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0.011841131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0.096089007</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0.90192429</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-0.176493322</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0.200175584</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1.011911515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0.838204376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1.221617236</w:t>
            </w:r>
          </w:p>
        </w:tc>
      </w:tr>
      <w:tr>
        <w:trPr>
          <w:trHeight w:val="334" w:hRule="atLeast"/>
          <w:jc w:val="center"/>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WDR26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ENSG00000162923 || id:eqtl-a-ENSG00000162923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 || id:ieu-b-4980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Simple mode</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-0.071696182</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0.165556054</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0.687298303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-0.396186047</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0.252793683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0.93081365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0.672881496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1.287617591</w:t>
            </w:r>
          </w:p>
        </w:tc>
      </w:tr>
      <w:tr>
        <w:trPr>
          <w:trHeight w:val="334" w:hRule="atLeast"/>
          <w:jc w:val="center"/>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WDR26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ENSG00000162923 || id:eqtl-a-ENSG00000162923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 || id:ieu-b-4980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Weighted mode</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-0.028122098</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0.151617112</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0.861877357</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-0.325291638</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0.269047441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0.972269647</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0.722316668</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1.308717227</w:t>
            </w:r>
          </w:p>
        </w:tc>
      </w:tr>
      <w:tr>
        <w:trPr>
          <w:trHeight w:val="334" w:hRule="atLeast"/>
          <w:jc w:val="center"/>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UBE2D1 </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eqtl-a-ENSG00000072401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ENSG00000072401 || id:eqtl-a-ENSG00000072401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 || id:ieu-b-4980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MR Egger</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-0.041031745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0.280466082</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0.89296352</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-0.590745267</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0.508681776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0.95979866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0.553914317</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1.663097414</w:t>
            </w:r>
          </w:p>
        </w:tc>
      </w:tr>
      <w:tr>
        <w:trPr>
          <w:trHeight w:val="334" w:hRule="atLeast"/>
          <w:jc w:val="center"/>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UBE2D1 </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eqtl-a-ENSG00000072401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ENSG00000072401 || id:eqtl-a-ENSG00000072401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 || id:ieu-b-4980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Weighted median</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-0.056596679</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0.115042836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0.622746361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-0.282080637</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0.16888728</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0.944975121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0.754212865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1.183986672</w:t>
            </w:r>
          </w:p>
        </w:tc>
      </w:tr>
      <w:tr>
        <w:trPr>
          <w:trHeight w:val="334" w:hRule="atLeast"/>
          <w:jc w:val="center"/>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UBE2D1 </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eqtl-a-ENSG00000072401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ENSG00000072401 || id:eqtl-a-ENSG00000072401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 || id:ieu-b-4980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Inverse variance weighted</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-0.048245269</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0.096090574</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0.615610416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-0.236582793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0.140092255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0.952900042</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0.789320529</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1.150379923</w:t>
            </w:r>
          </w:p>
        </w:tc>
      </w:tr>
      <w:tr>
        <w:trPr>
          <w:trHeight w:val="334" w:hRule="atLeast"/>
          <w:jc w:val="center"/>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UBE2D1 </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eqtl-a-ENSG00000072401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ENSG00000072401 || id:eqtl-a-ENSG00000072401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 || id:ieu-b-4980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Simple mode</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-0.067982929</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0.137641866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0.647261023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-0.337760985</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0.201795128</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0.934276423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0.713365772</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1.223597302</w:t>
            </w:r>
          </w:p>
        </w:tc>
      </w:tr>
      <w:tr>
        <w:trPr>
          <w:trHeight w:val="334" w:hRule="atLeast"/>
          <w:jc w:val="center"/>
        </w:trPr>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UBE2D1 </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ieu-b-4980</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eqtl-a-ENSG00000072401</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ENSG00000072401 || id:eqtl-a-ENSG00000072401</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 xml:space="preserve"> || id:ieu-b-4980</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Weighted mode</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5</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-0.060075061</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0.137053783</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0.683778987</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-0.328700475</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0.208550353</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0.941693846</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0.7198586</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2"/>
                <w:szCs w:val="12"/>
                <w:u w:val="none"/>
              </w:rPr>
            </w:pPr>
            <w:r>
              <w:rPr>
                <w:rFonts w:hint="default" w:ascii="Times New Roman" w:hAnsi="Times New Roman" w:eastAsia="等线" w:cs="Times New Roman"/>
                <w:i w:val="0"/>
                <w:iCs w:val="0"/>
                <w:color w:val="000000"/>
                <w:kern w:val="0"/>
                <w:sz w:val="12"/>
                <w:szCs w:val="12"/>
                <w:u w:val="none"/>
                <w:bdr w:val="none" w:color="auto" w:sz="0" w:space="0"/>
                <w:lang w:val="en-US" w:eastAsia="zh-CN" w:bidi="ar"/>
              </w:rPr>
              <w:t>1.231890957</w:t>
            </w:r>
          </w:p>
        </w:tc>
      </w:tr>
    </w:tbl>
    <w:p>
      <w:pPr>
        <w:widowControl/>
        <w:spacing w:line="480" w:lineRule="auto"/>
        <w:jc w:val="left"/>
        <w:rPr>
          <w:rFonts w:hint="eastAsia" w:ascii="Arial" w:hAnsi="Arial" w:eastAsia="Times New Roman" w:cs="Arial"/>
          <w:b/>
          <w:bCs/>
          <w:kern w:val="0"/>
          <w:sz w:val="20"/>
          <w:lang w:eastAsia="en-US"/>
        </w:rPr>
      </w:pPr>
    </w:p>
    <w:p>
      <w:pPr>
        <w:widowControl/>
        <w:spacing w:line="480" w:lineRule="auto"/>
        <w:jc w:val="left"/>
        <w:rPr>
          <w:rFonts w:hint="eastAsia" w:ascii="Arial" w:hAnsi="Arial" w:eastAsia="Times New Roman" w:cs="Arial"/>
          <w:b/>
          <w:bCs/>
          <w:kern w:val="0"/>
          <w:sz w:val="20"/>
          <w:lang w:eastAsia="en-US"/>
        </w:rPr>
      </w:pPr>
      <w:r>
        <w:rPr>
          <w:rFonts w:hint="eastAsia" w:ascii="Arial" w:hAnsi="Arial" w:eastAsia="Times New Roman" w:cs="Arial"/>
          <w:b/>
          <w:bCs/>
          <w:kern w:val="0"/>
          <w:sz w:val="20"/>
          <w:lang w:eastAsia="en-US"/>
        </w:rPr>
        <w:t>Table S3：The heterogeneity test</w:t>
      </w:r>
    </w:p>
    <w:tbl>
      <w:tblPr>
        <w:tblW w:w="13000"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916"/>
        <w:gridCol w:w="959"/>
        <w:gridCol w:w="1932"/>
        <w:gridCol w:w="3566"/>
        <w:gridCol w:w="1271"/>
        <w:gridCol w:w="1896"/>
        <w:gridCol w:w="1084"/>
        <w:gridCol w:w="545"/>
        <w:gridCol w:w="1200"/>
      </w:tblGrid>
      <w:tr>
        <w:trPr>
          <w:trHeight w:val="336" w:hRule="atLeast"/>
        </w:trPr>
        <w:tc>
          <w:tcPr>
            <w:tcW w:w="916"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gene name</w:t>
            </w:r>
          </w:p>
        </w:tc>
        <w:tc>
          <w:tcPr>
            <w:tcW w:w="933"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id.exposure</w:t>
            </w:r>
          </w:p>
        </w:tc>
        <w:tc>
          <w:tcPr>
            <w:tcW w:w="1850"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id.outcome</w:t>
            </w:r>
          </w:p>
        </w:tc>
        <w:tc>
          <w:tcPr>
            <w:tcW w:w="3566"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outcome</w:t>
            </w:r>
          </w:p>
        </w:tc>
        <w:tc>
          <w:tcPr>
            <w:tcW w:w="1200"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exposure</w:t>
            </w:r>
          </w:p>
        </w:tc>
        <w:tc>
          <w:tcPr>
            <w:tcW w:w="1833"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method</w:t>
            </w:r>
          </w:p>
        </w:tc>
        <w:tc>
          <w:tcPr>
            <w:tcW w:w="1084"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Q</w:t>
            </w:r>
          </w:p>
        </w:tc>
        <w:tc>
          <w:tcPr>
            <w:tcW w:w="433"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Q_df</w:t>
            </w:r>
          </w:p>
        </w:tc>
        <w:tc>
          <w:tcPr>
            <w:tcW w:w="1200" w:type="dxa"/>
            <w:tcBorders>
              <w:top w:val="single" w:color="auto" w:sz="4" w:space="0"/>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Q_pval</w:t>
            </w:r>
          </w:p>
        </w:tc>
      </w:tr>
      <w:tr>
        <w:trPr>
          <w:trHeight w:val="336" w:hRule="atLeast"/>
        </w:trPr>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WDR26</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ieu-b-4980</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eqtl-a-ENSG00000162923</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ENSG00000162923 || id:eqtl-a-ENSG00000162923</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 xml:space="preserve"> || id:ieu-b-4980</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MR Egger</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3.118702634</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3</w:t>
            </w:r>
          </w:p>
        </w:tc>
        <w:tc>
          <w:tcPr>
            <w:tcW w:w="0" w:type="auto"/>
            <w:tcBorders>
              <w:top w:val="single" w:color="auto" w:sz="4" w:space="0"/>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0.373683184</w:t>
            </w:r>
          </w:p>
        </w:tc>
      </w:tr>
      <w:tr>
        <w:trPr>
          <w:trHeight w:val="336" w:hRule="atLeast"/>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WDR26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ENSG00000162923 || id:eqtl-a-ENSG00000162923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 xml:space="preserve"> || id:ieu-b-4980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Inverse variance weighted</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3.199607408</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4</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0.524994359</w:t>
            </w:r>
          </w:p>
        </w:tc>
      </w:tr>
      <w:tr>
        <w:trPr>
          <w:trHeight w:val="336" w:hRule="atLeast"/>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 xml:space="preserve">UBE2D1 </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eqtl-a-ENSG00000072401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ENSG00000072401 || id:eqtl-a-ENSG00000072401</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 xml:space="preserve"> || id:ieu-b-4980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MR Egger</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0.197732899</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0.977954453</w:t>
            </w:r>
          </w:p>
        </w:tc>
      </w:tr>
      <w:tr>
        <w:trPr>
          <w:trHeight w:val="336" w:hRule="atLeast"/>
        </w:trPr>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 xml:space="preserve">UBE2D1 </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ieu-b-4980</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eqtl-a-ENSG00000072401</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ENSG00000072401 || id:eqtl-a-ENSG00000072401</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 xml:space="preserve"> || id:ieu-b-4980</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Inverse variance weighted</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0.198482381</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4</w:t>
            </w:r>
          </w:p>
        </w:tc>
        <w:tc>
          <w:tcPr>
            <w:tcW w:w="0" w:type="auto"/>
            <w:tcBorders>
              <w:top w:val="nil"/>
              <w:left w:val="nil"/>
              <w:bottom w:val="single" w:color="auto"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16"/>
                <w:szCs w:val="16"/>
                <w:u w:val="none"/>
              </w:rPr>
            </w:pPr>
            <w:r>
              <w:rPr>
                <w:rFonts w:hint="default" w:ascii="Times New Roman" w:hAnsi="Times New Roman" w:eastAsia="等线" w:cs="Times New Roman"/>
                <w:i w:val="0"/>
                <w:iCs w:val="0"/>
                <w:color w:val="000000"/>
                <w:kern w:val="0"/>
                <w:sz w:val="16"/>
                <w:szCs w:val="16"/>
                <w:u w:val="none"/>
                <w:bdr w:val="none" w:color="auto" w:sz="0" w:space="0"/>
                <w:lang w:val="en-US" w:eastAsia="zh-CN" w:bidi="ar"/>
              </w:rPr>
              <w:t>0.995389585</w:t>
            </w:r>
          </w:p>
        </w:tc>
      </w:tr>
    </w:tbl>
    <w:p>
      <w:pPr>
        <w:widowControl/>
        <w:spacing w:line="480" w:lineRule="auto"/>
        <w:jc w:val="left"/>
        <w:rPr>
          <w:rFonts w:hint="eastAsia" w:ascii="Arial" w:hAnsi="Arial" w:eastAsia="Times New Roman" w:cs="Arial"/>
          <w:b/>
          <w:bCs/>
          <w:kern w:val="0"/>
          <w:sz w:val="20"/>
          <w:lang w:eastAsia="en-US"/>
        </w:rPr>
      </w:pPr>
    </w:p>
    <w:p>
      <w:pPr>
        <w:widowControl/>
        <w:spacing w:line="480" w:lineRule="auto"/>
        <w:jc w:val="left"/>
        <w:rPr>
          <w:rFonts w:hint="eastAsia" w:ascii="Arial" w:hAnsi="Arial" w:eastAsia="Times New Roman" w:cs="Arial"/>
          <w:b/>
          <w:bCs/>
          <w:kern w:val="0"/>
          <w:sz w:val="20"/>
          <w:lang w:eastAsia="en-US"/>
        </w:rPr>
      </w:pPr>
      <w:r>
        <w:rPr>
          <w:rFonts w:hint="eastAsia" w:ascii="Arial" w:hAnsi="Arial" w:eastAsia="Times New Roman" w:cs="Arial"/>
          <w:b/>
          <w:bCs/>
          <w:kern w:val="0"/>
          <w:sz w:val="20"/>
          <w:lang w:eastAsia="en-US"/>
        </w:rPr>
        <w:t>Table S4: The horizontal pleiotropy test</w:t>
      </w:r>
    </w:p>
    <w:tbl>
      <w:tblPr>
        <w:tblW w:w="14520"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232"/>
        <w:gridCol w:w="1166"/>
        <w:gridCol w:w="2361"/>
        <w:gridCol w:w="4400"/>
        <w:gridCol w:w="1535"/>
        <w:gridCol w:w="1460"/>
        <w:gridCol w:w="1266"/>
        <w:gridCol w:w="1528"/>
      </w:tblGrid>
      <w:tr>
        <w:trPr>
          <w:trHeight w:val="336" w:hRule="atLeast"/>
        </w:trPr>
        <w:tc>
          <w:tcPr>
            <w:tcW w:w="1232" w:type="dxa"/>
            <w:tcBorders>
              <w:top w:val="single" w:color="000000" w:sz="4" w:space="0"/>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gene name</w:t>
            </w:r>
          </w:p>
        </w:tc>
        <w:tc>
          <w:tcPr>
            <w:tcW w:w="1166" w:type="dxa"/>
            <w:tcBorders>
              <w:top w:val="single" w:color="000000" w:sz="4" w:space="0"/>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id.exposure</w:t>
            </w:r>
          </w:p>
        </w:tc>
        <w:tc>
          <w:tcPr>
            <w:tcW w:w="2333" w:type="dxa"/>
            <w:tcBorders>
              <w:top w:val="single" w:color="000000" w:sz="4" w:space="0"/>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id.outcome</w:t>
            </w:r>
          </w:p>
        </w:tc>
        <w:tc>
          <w:tcPr>
            <w:tcW w:w="4400" w:type="dxa"/>
            <w:tcBorders>
              <w:top w:val="single" w:color="000000" w:sz="4" w:space="0"/>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outcome</w:t>
            </w:r>
          </w:p>
        </w:tc>
        <w:tc>
          <w:tcPr>
            <w:tcW w:w="1416" w:type="dxa"/>
            <w:tcBorders>
              <w:top w:val="single" w:color="000000" w:sz="4" w:space="0"/>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exposure</w:t>
            </w:r>
          </w:p>
        </w:tc>
        <w:tc>
          <w:tcPr>
            <w:tcW w:w="1350" w:type="dxa"/>
            <w:tcBorders>
              <w:top w:val="single" w:color="000000" w:sz="4" w:space="0"/>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egger_intercept</w:t>
            </w:r>
          </w:p>
        </w:tc>
        <w:tc>
          <w:tcPr>
            <w:tcW w:w="1099" w:type="dxa"/>
            <w:tcBorders>
              <w:top w:val="single" w:color="000000" w:sz="4" w:space="0"/>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se</w:t>
            </w:r>
          </w:p>
        </w:tc>
        <w:tc>
          <w:tcPr>
            <w:tcW w:w="1528" w:type="dxa"/>
            <w:tcBorders>
              <w:top w:val="single" w:color="000000" w:sz="4" w:space="0"/>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pval</w:t>
            </w:r>
          </w:p>
        </w:tc>
      </w:tr>
      <w:tr>
        <w:trPr>
          <w:trHeight w:val="336" w:hRule="atLeast"/>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WDR26</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ENSG00000162923 || id:eqtl-a-ENSG00000162923</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 xml:space="preserve"> || id:ieu-b-4980</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0.006001257</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0.021512037</w:t>
            </w: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0.798392032</w:t>
            </w:r>
          </w:p>
        </w:tc>
      </w:tr>
      <w:tr>
        <w:trPr>
          <w:trHeight w:val="336" w:hRule="atLeast"/>
        </w:trPr>
        <w:tc>
          <w:tcPr>
            <w:tcW w:w="0" w:type="auto"/>
            <w:tcBorders>
              <w:top w:val="nil"/>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 xml:space="preserve">UBE2D1 </w:t>
            </w:r>
          </w:p>
        </w:tc>
        <w:tc>
          <w:tcPr>
            <w:tcW w:w="0" w:type="auto"/>
            <w:tcBorders>
              <w:top w:val="nil"/>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ieu-b-4980</w:t>
            </w:r>
          </w:p>
        </w:tc>
        <w:tc>
          <w:tcPr>
            <w:tcW w:w="0" w:type="auto"/>
            <w:tcBorders>
              <w:top w:val="nil"/>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eqtl-a-ENSG00000072401</w:t>
            </w:r>
          </w:p>
        </w:tc>
        <w:tc>
          <w:tcPr>
            <w:tcW w:w="0" w:type="auto"/>
            <w:tcBorders>
              <w:top w:val="nil"/>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ENSG00000072401 || id:eqtl-a-ENSG00000072401</w:t>
            </w:r>
          </w:p>
        </w:tc>
        <w:tc>
          <w:tcPr>
            <w:tcW w:w="0" w:type="auto"/>
            <w:tcBorders>
              <w:top w:val="nil"/>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 xml:space="preserve"> || id:ieu-b-4980</w:t>
            </w:r>
          </w:p>
        </w:tc>
        <w:tc>
          <w:tcPr>
            <w:tcW w:w="0" w:type="auto"/>
            <w:tcBorders>
              <w:top w:val="nil"/>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-0.000577615</w:t>
            </w:r>
          </w:p>
        </w:tc>
        <w:tc>
          <w:tcPr>
            <w:tcW w:w="0" w:type="auto"/>
            <w:tcBorders>
              <w:top w:val="nil"/>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0.02109881</w:t>
            </w:r>
          </w:p>
        </w:tc>
        <w:tc>
          <w:tcPr>
            <w:tcW w:w="0" w:type="auto"/>
            <w:tcBorders>
              <w:top w:val="nil"/>
              <w:left w:val="nil"/>
              <w:bottom w:val="single" w:color="000000" w:sz="4" w:space="0"/>
              <w:right w:val="nil"/>
            </w:tcBorders>
            <w:shd w:val="clear"/>
            <w:noWrap/>
            <w:vAlign w:val="bottom"/>
          </w:tcPr>
          <w:p>
            <w:pPr>
              <w:keepNext w:val="0"/>
              <w:keepLines w:val="0"/>
              <w:widowControl/>
              <w:suppressLineNumbers w:val="0"/>
              <w:jc w:val="center"/>
              <w:textAlignment w:val="bottom"/>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bdr w:val="none" w:color="auto" w:sz="0" w:space="0"/>
                <w:lang w:val="en-US" w:eastAsia="zh-CN" w:bidi="ar"/>
              </w:rPr>
              <w:t>0.979878616</w:t>
            </w:r>
          </w:p>
        </w:tc>
      </w:tr>
    </w:tbl>
    <w:p>
      <w:pPr>
        <w:widowControl/>
        <w:spacing w:line="480" w:lineRule="auto"/>
        <w:jc w:val="left"/>
        <w:rPr>
          <w:rFonts w:hint="eastAsia" w:ascii="Arial" w:hAnsi="Arial" w:eastAsia="Times New Roman" w:cs="Arial"/>
          <w:b/>
          <w:bCs/>
          <w:kern w:val="0"/>
          <w:sz w:val="20"/>
          <w:lang w:eastAsia="en-US"/>
        </w:rPr>
      </w:pPr>
    </w:p>
    <w:p>
      <w:pPr>
        <w:widowControl/>
        <w:spacing w:line="480" w:lineRule="auto"/>
        <w:jc w:val="left"/>
        <w:rPr>
          <w:rFonts w:hint="eastAsia" w:ascii="Arial" w:hAnsi="Arial" w:eastAsia="Times New Roman" w:cs="Arial"/>
          <w:b/>
          <w:bCs/>
          <w:kern w:val="0"/>
          <w:sz w:val="20"/>
          <w:lang w:eastAsia="en-US"/>
        </w:rPr>
      </w:pPr>
      <w:bookmarkStart w:id="0" w:name="_GoBack"/>
      <w:bookmarkEnd w:id="0"/>
    </w:p>
    <w:p>
      <w:pPr>
        <w:widowControl/>
        <w:spacing w:line="480" w:lineRule="auto"/>
        <w:jc w:val="left"/>
        <w:rPr>
          <w:rFonts w:hint="eastAsia" w:ascii="Arial" w:hAnsi="Arial" w:eastAsia="Times New Roman" w:cs="Arial"/>
          <w:b/>
          <w:bCs/>
          <w:kern w:val="0"/>
          <w:sz w:val="20"/>
          <w:lang w:eastAsia="en-US"/>
        </w:rPr>
      </w:pPr>
    </w:p>
    <w:p>
      <w:pPr>
        <w:widowControl/>
        <w:spacing w:line="480" w:lineRule="auto"/>
        <w:jc w:val="left"/>
        <w:rPr>
          <w:rFonts w:hint="eastAsia" w:ascii="Arial" w:hAnsi="Arial" w:eastAsia="Times New Roman" w:cs="Arial"/>
          <w:b/>
          <w:bCs/>
          <w:kern w:val="0"/>
          <w:sz w:val="20"/>
          <w:lang w:eastAsia="en-US"/>
        </w:rPr>
      </w:pPr>
    </w:p>
    <w:p>
      <w:pPr>
        <w:widowControl/>
        <w:spacing w:line="480" w:lineRule="auto"/>
        <w:jc w:val="left"/>
        <w:rPr>
          <w:rFonts w:hint="eastAsia" w:ascii="Arial" w:hAnsi="Arial" w:eastAsia="Times New Roman" w:cs="Arial"/>
          <w:b/>
          <w:bCs/>
          <w:kern w:val="0"/>
          <w:sz w:val="20"/>
          <w:lang w:eastAsia="en-US"/>
        </w:rPr>
      </w:pPr>
    </w:p>
    <w:p>
      <w:pPr>
        <w:widowControl/>
        <w:spacing w:line="480" w:lineRule="auto"/>
        <w:jc w:val="left"/>
        <w:rPr>
          <w:rFonts w:hint="eastAsia" w:ascii="Arial" w:hAnsi="Arial" w:eastAsia="宋体" w:cs="Arial"/>
          <w:b/>
          <w:bCs/>
          <w:kern w:val="0"/>
          <w:sz w:val="20"/>
          <w:lang w:val="en-US" w:eastAsia="zh-CN"/>
        </w:rPr>
      </w:pPr>
      <w:r>
        <w:rPr>
          <w:rFonts w:hint="eastAsia" w:ascii="Arial" w:hAnsi="Arial" w:eastAsia="Times New Roman" w:cs="Arial"/>
          <w:b/>
          <w:bCs/>
          <w:kern w:val="0"/>
          <w:sz w:val="20"/>
          <w:lang w:eastAsia="en-US"/>
        </w:rPr>
        <w:t>Figure S1: Flowchart of the study</w:t>
      </w:r>
      <w:r>
        <w:rPr>
          <w:rFonts w:hint="eastAsia" w:ascii="Arial" w:hAnsi="Arial" w:eastAsia="宋体" w:cs="Arial"/>
          <w:b/>
          <w:bCs/>
          <w:kern w:val="0"/>
          <w:sz w:val="20"/>
          <w:lang w:val="en-US" w:eastAsia="zh-CN"/>
        </w:rPr>
        <w:t>.</w:t>
      </w:r>
    </w:p>
    <w:p>
      <w:pPr>
        <w:widowControl/>
        <w:spacing w:line="480" w:lineRule="auto"/>
        <w:jc w:val="center"/>
        <w:rPr>
          <w:rFonts w:hint="eastAsia" w:ascii="Arial" w:hAnsi="Arial" w:eastAsia="宋体" w:cs="Arial"/>
          <w:b/>
          <w:bCs/>
          <w:kern w:val="0"/>
          <w:sz w:val="20"/>
          <w:lang w:val="en-US" w:eastAsia="zh-CN"/>
        </w:rPr>
      </w:pPr>
      <w:r>
        <w:rPr>
          <w:rFonts w:hint="eastAsia" w:ascii="Arial" w:hAnsi="Arial" w:eastAsia="宋体" w:cs="Arial"/>
          <w:b/>
          <w:bCs/>
          <w:kern w:val="0"/>
          <w:sz w:val="20"/>
          <w:lang w:val="en-US" w:eastAsia="zh-CN"/>
        </w:rPr>
        <w:object>
          <v:shape id="_x0000_i1025" o:spt="75" type="#_x0000_t75" style="height:355.05pt;width:630.65pt;" o:ole="t" filled="f" o:preferrelative="t" stroked="f" coordsize="21600,21600">
            <v:path/>
            <v:fill on="f" focussize="0,0"/>
            <v:stroke on="f"/>
            <v:imagedata r:id="rId5" o:title="oleimage"/>
            <o:lock v:ext="edit" aspectratio="t"/>
            <w10:wrap type="none"/>
            <w10:anchorlock/>
          </v:shape>
          <o:OLEObject Type="Embed" ProgID="Package" ShapeID="_x0000_i1025" DrawAspect="Content" ObjectID="_1468075725" r:id="rId4">
            <o:LockedField>false</o:LockedField>
          </o:OLEObject>
        </w:object>
      </w:r>
    </w:p>
    <w:p>
      <w:pPr>
        <w:widowControl/>
        <w:spacing w:line="480" w:lineRule="auto"/>
        <w:jc w:val="left"/>
        <w:rPr>
          <w:rFonts w:ascii="Arial" w:hAnsi="Arial" w:eastAsia="Times New Roman" w:cs="Arial"/>
          <w:b/>
          <w:bCs/>
          <w:kern w:val="0"/>
          <w:sz w:val="20"/>
          <w:lang w:eastAsia="en-US"/>
        </w:rPr>
      </w:pPr>
    </w:p>
    <w:p>
      <w:pPr>
        <w:widowControl/>
        <w:spacing w:line="480" w:lineRule="auto"/>
        <w:jc w:val="left"/>
        <w:rPr>
          <w:rFonts w:ascii="Arial" w:hAnsi="Arial" w:eastAsia="Times New Roman" w:cs="Arial"/>
          <w:b/>
          <w:bCs/>
          <w:kern w:val="0"/>
          <w:sz w:val="20"/>
          <w:lang w:eastAsia="en-US"/>
        </w:rPr>
      </w:pPr>
      <w:r>
        <w:rPr>
          <w:rFonts w:ascii="Arial" w:hAnsi="Arial" w:eastAsia="Times New Roman" w:cs="Arial"/>
          <w:b/>
          <w:bCs/>
          <w:kern w:val="0"/>
          <w:sz w:val="20"/>
          <w:lang w:eastAsia="en-US"/>
        </w:rPr>
        <w:t>Figure S</w:t>
      </w:r>
      <w:r>
        <w:rPr>
          <w:rFonts w:hint="eastAsia" w:ascii="Arial" w:hAnsi="Arial" w:eastAsia="宋体" w:cs="Arial"/>
          <w:b/>
          <w:bCs/>
          <w:kern w:val="0"/>
          <w:sz w:val="20"/>
          <w:lang w:val="en-US" w:eastAsia="zh-CN"/>
        </w:rPr>
        <w:t>2</w:t>
      </w:r>
      <w:r>
        <w:rPr>
          <w:rFonts w:ascii="Arial" w:hAnsi="Arial" w:eastAsia="Times New Roman" w:cs="Arial"/>
          <w:b/>
          <w:bCs/>
          <w:kern w:val="0"/>
          <w:sz w:val="20"/>
          <w:lang w:eastAsia="en-US"/>
        </w:rPr>
        <w:t xml:space="preserve"> </w:t>
      </w:r>
      <w:r>
        <w:rPr>
          <w:rFonts w:hint="eastAsia" w:ascii="Arial" w:hAnsi="Arial" w:eastAsia="宋体" w:cs="Arial"/>
          <w:b/>
          <w:bCs/>
          <w:kern w:val="0"/>
          <w:sz w:val="20"/>
          <w:lang w:val="en-US" w:eastAsia="zh-CN"/>
        </w:rPr>
        <w:t>S</w:t>
      </w:r>
      <w:r>
        <w:rPr>
          <w:rFonts w:ascii="Arial" w:hAnsi="Arial" w:eastAsia="Times New Roman" w:cs="Arial"/>
          <w:b/>
          <w:bCs/>
          <w:kern w:val="0"/>
          <w:sz w:val="20"/>
          <w:lang w:eastAsia="en-US"/>
        </w:rPr>
        <w:t xml:space="preserve">catterplot of inverse Mendelian randomisation analysis. </w:t>
      </w:r>
    </w:p>
    <w:p>
      <w:pPr>
        <w:widowControl/>
        <w:spacing w:line="480" w:lineRule="auto"/>
        <w:jc w:val="center"/>
        <w:rPr>
          <w:rFonts w:hint="eastAsia" w:ascii="Arial" w:hAnsi="Arial" w:eastAsia="宋体" w:cs="Arial"/>
          <w:b/>
          <w:bCs/>
          <w:kern w:val="0"/>
          <w:sz w:val="20"/>
          <w:lang w:eastAsia="zh-CN"/>
        </w:rPr>
      </w:pPr>
      <w:r>
        <w:rPr>
          <w:rFonts w:hint="eastAsia" w:ascii="Arial" w:hAnsi="Arial" w:eastAsia="宋体" w:cs="Arial"/>
          <w:b/>
          <w:bCs/>
          <w:kern w:val="0"/>
          <w:sz w:val="20"/>
          <w:lang w:eastAsia="zh-CN"/>
        </w:rPr>
        <w:drawing>
          <wp:inline distT="0" distB="0" distL="114300" distR="114300">
            <wp:extent cx="6943725" cy="3384550"/>
            <wp:effectExtent l="0" t="0" r="15875" b="19050"/>
            <wp:docPr id="1" name="图片 1"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2"/>
                    <pic:cNvPicPr>
                      <a:picLocks noChangeAspect="1"/>
                    </pic:cNvPicPr>
                  </pic:nvPicPr>
                  <pic:blipFill>
                    <a:blip r:embed="rId6"/>
                    <a:stretch>
                      <a:fillRect/>
                    </a:stretch>
                  </pic:blipFill>
                  <pic:spPr>
                    <a:xfrm>
                      <a:off x="0" y="0"/>
                      <a:ext cx="6943725" cy="3384550"/>
                    </a:xfrm>
                    <a:prstGeom prst="rect">
                      <a:avLst/>
                    </a:prstGeom>
                  </pic:spPr>
                </pic:pic>
              </a:graphicData>
            </a:graphic>
          </wp:inline>
        </w:drawing>
      </w:r>
    </w:p>
    <w:p>
      <w:pPr>
        <w:widowControl/>
        <w:spacing w:line="480" w:lineRule="auto"/>
        <w:jc w:val="left"/>
        <w:rPr>
          <w:rFonts w:ascii="Arial" w:hAnsi="Arial" w:eastAsia="Times New Roman" w:cs="Arial"/>
          <w:b w:val="0"/>
          <w:bCs w:val="0"/>
          <w:kern w:val="0"/>
          <w:sz w:val="20"/>
          <w:lang w:eastAsia="en-US"/>
        </w:rPr>
      </w:pPr>
      <w:r>
        <w:rPr>
          <w:rFonts w:ascii="Arial" w:hAnsi="Arial" w:eastAsia="Times New Roman" w:cs="Arial"/>
          <w:b w:val="0"/>
          <w:bCs w:val="0"/>
          <w:kern w:val="0"/>
          <w:sz w:val="20"/>
          <w:lang w:eastAsia="en-US"/>
        </w:rPr>
        <w:t>Each dot represented an SNP locus, with the horizontal coordinate indicating the effect of SNP on exposure and the vertical coordinate representing the effect of SNP on outcome. The coloured lines demonstrated the results of fitting different algorithms for MR. A positive slope of the line signified a risk factor, while a negative slope indicated a safety factor. When an intercept was present, it implied confounding.</w:t>
      </w:r>
    </w:p>
    <w:p>
      <w:pPr>
        <w:widowControl/>
        <w:spacing w:line="480" w:lineRule="auto"/>
        <w:jc w:val="left"/>
        <w:rPr>
          <w:rFonts w:hint="eastAsia" w:ascii="Arial" w:hAnsi="Arial" w:eastAsia="Times New Roman" w:cs="Arial"/>
          <w:b w:val="0"/>
          <w:bCs w:val="0"/>
          <w:kern w:val="0"/>
          <w:sz w:val="20"/>
          <w:lang w:eastAsia="en-US"/>
        </w:rPr>
      </w:pPr>
      <w:r>
        <w:rPr>
          <w:rFonts w:hint="eastAsia" w:ascii="Arial" w:hAnsi="Arial" w:eastAsia="Times New Roman" w:cs="Arial"/>
          <w:b/>
          <w:bCs/>
          <w:kern w:val="0"/>
          <w:sz w:val="20"/>
          <w:lang w:eastAsia="en-US"/>
        </w:rPr>
        <w:t>Figure S</w:t>
      </w:r>
      <w:r>
        <w:rPr>
          <w:rFonts w:hint="eastAsia" w:ascii="Arial" w:hAnsi="Arial" w:eastAsia="宋体" w:cs="Arial"/>
          <w:b/>
          <w:bCs/>
          <w:kern w:val="0"/>
          <w:sz w:val="20"/>
          <w:lang w:val="en-US" w:eastAsia="zh-CN"/>
        </w:rPr>
        <w:t>3</w:t>
      </w:r>
      <w:r>
        <w:rPr>
          <w:rFonts w:hint="eastAsia" w:ascii="Arial" w:hAnsi="Arial" w:eastAsia="Times New Roman" w:cs="Arial"/>
          <w:b/>
          <w:bCs/>
          <w:kern w:val="0"/>
          <w:sz w:val="20"/>
          <w:lang w:eastAsia="en-US"/>
        </w:rPr>
        <w:t xml:space="preserve"> </w:t>
      </w:r>
      <w:r>
        <w:rPr>
          <w:rFonts w:hint="eastAsia" w:ascii="Arial" w:hAnsi="Arial" w:eastAsia="宋体" w:cs="Arial"/>
          <w:b/>
          <w:bCs/>
          <w:kern w:val="0"/>
          <w:sz w:val="20"/>
          <w:lang w:val="en-US" w:eastAsia="zh-CN"/>
        </w:rPr>
        <w:t>F</w:t>
      </w:r>
      <w:r>
        <w:rPr>
          <w:rFonts w:hint="eastAsia" w:ascii="Arial" w:hAnsi="Arial" w:eastAsia="Times New Roman" w:cs="Arial"/>
          <w:b/>
          <w:bCs/>
          <w:kern w:val="0"/>
          <w:sz w:val="20"/>
          <w:lang w:eastAsia="en-US"/>
        </w:rPr>
        <w:t>orest plot for reverse Mendelian randomisation analysis.</w:t>
      </w:r>
      <w:r>
        <w:rPr>
          <w:rFonts w:hint="eastAsia" w:ascii="Arial" w:hAnsi="Arial" w:eastAsia="Times New Roman" w:cs="Arial"/>
          <w:b w:val="0"/>
          <w:bCs w:val="0"/>
          <w:kern w:val="0"/>
          <w:sz w:val="20"/>
          <w:lang w:eastAsia="en-US"/>
        </w:rPr>
        <w:t xml:space="preserve"> </w:t>
      </w:r>
    </w:p>
    <w:p>
      <w:pPr>
        <w:widowControl/>
        <w:spacing w:line="480" w:lineRule="auto"/>
        <w:jc w:val="center"/>
        <w:rPr>
          <w:rFonts w:hint="eastAsia" w:ascii="Arial" w:hAnsi="Arial" w:eastAsia="宋体" w:cs="Arial"/>
          <w:b w:val="0"/>
          <w:bCs w:val="0"/>
          <w:kern w:val="0"/>
          <w:sz w:val="20"/>
          <w:lang w:eastAsia="zh-CN"/>
        </w:rPr>
      </w:pPr>
      <w:r>
        <w:rPr>
          <w:rFonts w:hint="eastAsia" w:ascii="Arial" w:hAnsi="Arial" w:eastAsia="宋体" w:cs="Arial"/>
          <w:b w:val="0"/>
          <w:bCs w:val="0"/>
          <w:kern w:val="0"/>
          <w:sz w:val="20"/>
          <w:lang w:eastAsia="zh-CN"/>
        </w:rPr>
        <w:drawing>
          <wp:inline distT="0" distB="0" distL="114300" distR="114300">
            <wp:extent cx="7810500" cy="3828415"/>
            <wp:effectExtent l="0" t="0" r="12700" b="6985"/>
            <wp:docPr id="2" name="图片 2"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3"/>
                    <pic:cNvPicPr>
                      <a:picLocks noChangeAspect="1"/>
                    </pic:cNvPicPr>
                  </pic:nvPicPr>
                  <pic:blipFill>
                    <a:blip r:embed="rId7"/>
                    <a:stretch>
                      <a:fillRect/>
                    </a:stretch>
                  </pic:blipFill>
                  <pic:spPr>
                    <a:xfrm>
                      <a:off x="0" y="0"/>
                      <a:ext cx="7810500" cy="3828415"/>
                    </a:xfrm>
                    <a:prstGeom prst="rect">
                      <a:avLst/>
                    </a:prstGeom>
                  </pic:spPr>
                </pic:pic>
              </a:graphicData>
            </a:graphic>
          </wp:inline>
        </w:drawing>
      </w:r>
    </w:p>
    <w:p>
      <w:pPr>
        <w:widowControl/>
        <w:spacing w:line="480" w:lineRule="auto"/>
        <w:jc w:val="left"/>
        <w:rPr>
          <w:rFonts w:hint="eastAsia" w:ascii="Arial" w:hAnsi="Arial" w:eastAsia="Times New Roman" w:cs="Arial"/>
          <w:b w:val="0"/>
          <w:bCs w:val="0"/>
          <w:kern w:val="0"/>
          <w:sz w:val="20"/>
          <w:lang w:eastAsia="en-US"/>
        </w:rPr>
      </w:pPr>
      <w:r>
        <w:rPr>
          <w:rFonts w:hint="eastAsia" w:ascii="Arial" w:hAnsi="Arial" w:eastAsia="Times New Roman" w:cs="Arial"/>
          <w:b w:val="0"/>
          <w:bCs w:val="0"/>
          <w:kern w:val="0"/>
          <w:sz w:val="20"/>
          <w:lang w:eastAsia="en-US"/>
        </w:rPr>
        <w:t>The solid dots on the left were safety factors and the solid dots on the right were risk factors.</w:t>
      </w:r>
    </w:p>
    <w:p>
      <w:pPr>
        <w:widowControl/>
        <w:spacing w:line="480" w:lineRule="auto"/>
        <w:jc w:val="left"/>
        <w:rPr>
          <w:rFonts w:ascii="Arial" w:hAnsi="Arial" w:eastAsia="Times New Roman" w:cs="Arial"/>
          <w:b/>
          <w:bCs/>
          <w:kern w:val="0"/>
          <w:sz w:val="20"/>
          <w:lang w:eastAsia="en-US"/>
        </w:rPr>
      </w:pPr>
    </w:p>
    <w:p>
      <w:pPr>
        <w:widowControl/>
        <w:spacing w:line="480" w:lineRule="auto"/>
        <w:jc w:val="left"/>
        <w:rPr>
          <w:rFonts w:hint="default" w:ascii="Arial" w:hAnsi="Arial" w:eastAsia="Times New Roman" w:cs="Arial"/>
          <w:b/>
          <w:bCs/>
          <w:kern w:val="0"/>
          <w:sz w:val="20"/>
          <w:lang w:eastAsia="en-US"/>
        </w:rPr>
      </w:pPr>
      <w:r>
        <w:rPr>
          <w:rFonts w:ascii="Arial" w:hAnsi="Arial" w:eastAsia="Times New Roman" w:cs="Arial"/>
          <w:b/>
          <w:bCs/>
          <w:kern w:val="0"/>
          <w:sz w:val="20"/>
          <w:lang w:eastAsia="en-US"/>
        </w:rPr>
        <w:t>Figure</w:t>
      </w:r>
      <w:r>
        <w:rPr>
          <w:rFonts w:hint="eastAsia" w:ascii="Arial" w:hAnsi="Arial" w:eastAsia="宋体" w:cs="Arial"/>
          <w:b/>
          <w:bCs/>
          <w:kern w:val="0"/>
          <w:sz w:val="20"/>
          <w:lang w:val="en-US" w:eastAsia="zh-CN"/>
        </w:rPr>
        <w:t xml:space="preserve"> </w:t>
      </w:r>
      <w:r>
        <w:rPr>
          <w:rFonts w:hint="default" w:ascii="Arial" w:hAnsi="Arial" w:eastAsia="Times New Roman" w:cs="Arial"/>
          <w:b/>
          <w:bCs/>
          <w:kern w:val="0"/>
          <w:sz w:val="20"/>
          <w:lang w:eastAsia="en-US"/>
        </w:rPr>
        <w:t>S</w:t>
      </w:r>
      <w:r>
        <w:rPr>
          <w:rFonts w:hint="eastAsia" w:ascii="Arial" w:hAnsi="Arial" w:eastAsia="宋体" w:cs="Arial"/>
          <w:b/>
          <w:bCs/>
          <w:kern w:val="0"/>
          <w:sz w:val="20"/>
          <w:lang w:val="en-US" w:eastAsia="zh-CN"/>
        </w:rPr>
        <w:t>4</w:t>
      </w:r>
      <w:r>
        <w:rPr>
          <w:rFonts w:hint="default" w:ascii="Arial" w:hAnsi="Arial" w:eastAsia="Times New Roman" w:cs="Arial"/>
          <w:b/>
          <w:bCs/>
          <w:kern w:val="0"/>
          <w:sz w:val="20"/>
          <w:lang w:eastAsia="en-US"/>
        </w:rPr>
        <w:t xml:space="preserve"> Mendelian randomisation analysis funnel plot. </w:t>
      </w:r>
    </w:p>
    <w:p>
      <w:pPr>
        <w:widowControl/>
        <w:spacing w:line="480" w:lineRule="auto"/>
        <w:jc w:val="left"/>
        <w:rPr>
          <w:rFonts w:hint="eastAsia" w:ascii="Arial" w:hAnsi="Arial" w:eastAsia="宋体" w:cs="Arial"/>
          <w:b/>
          <w:bCs/>
          <w:kern w:val="0"/>
          <w:sz w:val="20"/>
          <w:lang w:eastAsia="zh-CN"/>
        </w:rPr>
      </w:pPr>
      <w:r>
        <w:rPr>
          <w:rFonts w:hint="eastAsia" w:ascii="Arial" w:hAnsi="Arial" w:eastAsia="宋体" w:cs="Arial"/>
          <w:b/>
          <w:bCs/>
          <w:kern w:val="0"/>
          <w:sz w:val="20"/>
          <w:lang w:eastAsia="zh-CN"/>
        </w:rPr>
        <w:drawing>
          <wp:inline distT="0" distB="0" distL="114300" distR="114300">
            <wp:extent cx="8862695" cy="4116705"/>
            <wp:effectExtent l="0" t="0" r="1905" b="23495"/>
            <wp:docPr id="3" name="图片 3"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4"/>
                    <pic:cNvPicPr>
                      <a:picLocks noChangeAspect="1"/>
                    </pic:cNvPicPr>
                  </pic:nvPicPr>
                  <pic:blipFill>
                    <a:blip r:embed="rId8"/>
                    <a:stretch>
                      <a:fillRect/>
                    </a:stretch>
                  </pic:blipFill>
                  <pic:spPr>
                    <a:xfrm>
                      <a:off x="0" y="0"/>
                      <a:ext cx="8862695" cy="4116705"/>
                    </a:xfrm>
                    <a:prstGeom prst="rect">
                      <a:avLst/>
                    </a:prstGeom>
                  </pic:spPr>
                </pic:pic>
              </a:graphicData>
            </a:graphic>
          </wp:inline>
        </w:drawing>
      </w:r>
    </w:p>
    <w:p>
      <w:pPr>
        <w:widowControl/>
        <w:spacing w:line="480" w:lineRule="auto"/>
        <w:jc w:val="left"/>
        <w:rPr>
          <w:rFonts w:hint="default" w:ascii="Arial" w:hAnsi="Arial" w:eastAsia="Times New Roman" w:cs="Arial"/>
          <w:b w:val="0"/>
          <w:bCs w:val="0"/>
          <w:kern w:val="0"/>
          <w:sz w:val="20"/>
          <w:lang w:eastAsia="en-US"/>
        </w:rPr>
      </w:pPr>
      <w:r>
        <w:rPr>
          <w:rFonts w:hint="default" w:ascii="Arial" w:hAnsi="Arial" w:eastAsia="Times New Roman" w:cs="Arial"/>
          <w:b w:val="0"/>
          <w:bCs w:val="0"/>
          <w:kern w:val="0"/>
          <w:sz w:val="20"/>
          <w:lang w:eastAsia="en-US"/>
        </w:rPr>
        <w:t>The samples were symmetrically</w:t>
      </w:r>
      <w:r>
        <w:rPr>
          <w:rFonts w:hint="eastAsia" w:ascii="Arial" w:hAnsi="Arial" w:eastAsia="宋体" w:cs="Arial"/>
          <w:b w:val="0"/>
          <w:bCs w:val="0"/>
          <w:kern w:val="0"/>
          <w:sz w:val="20"/>
          <w:lang w:val="en-US" w:eastAsia="zh-CN"/>
        </w:rPr>
        <w:t xml:space="preserve"> </w:t>
      </w:r>
      <w:r>
        <w:rPr>
          <w:rFonts w:ascii="Arial" w:hAnsi="Arial" w:eastAsia="Times New Roman" w:cs="Arial"/>
          <w:b w:val="0"/>
          <w:bCs w:val="0"/>
          <w:kern w:val="0"/>
          <w:sz w:val="20"/>
          <w:lang w:eastAsia="en-US"/>
        </w:rPr>
        <w:t>distributed</w:t>
      </w:r>
      <w:r>
        <w:rPr>
          <w:rFonts w:hint="eastAsia" w:ascii="Arial" w:hAnsi="Arial" w:eastAsia="宋体" w:cs="Arial"/>
          <w:b w:val="0"/>
          <w:bCs w:val="0"/>
          <w:kern w:val="0"/>
          <w:sz w:val="20"/>
          <w:lang w:val="en-US" w:eastAsia="zh-CN"/>
        </w:rPr>
        <w:t xml:space="preserve"> </w:t>
      </w:r>
      <w:r>
        <w:rPr>
          <w:rFonts w:hint="default" w:ascii="Arial" w:hAnsi="Arial" w:eastAsia="Times New Roman" w:cs="Arial"/>
          <w:b w:val="0"/>
          <w:bCs w:val="0"/>
          <w:kern w:val="0"/>
          <w:sz w:val="20"/>
          <w:lang w:eastAsia="en-US"/>
        </w:rPr>
        <w:t>along both sides of the IVW line,</w:t>
      </w:r>
      <w:r>
        <w:rPr>
          <w:rFonts w:hint="eastAsia" w:ascii="Arial" w:hAnsi="Arial" w:eastAsia="宋体" w:cs="Arial"/>
          <w:b w:val="0"/>
          <w:bCs w:val="0"/>
          <w:kern w:val="0"/>
          <w:sz w:val="20"/>
          <w:lang w:val="en-US" w:eastAsia="zh-CN"/>
        </w:rPr>
        <w:t xml:space="preserve"> </w:t>
      </w:r>
      <w:r>
        <w:rPr>
          <w:rFonts w:ascii="Arial" w:hAnsi="Arial" w:eastAsia="Times New Roman" w:cs="Arial"/>
          <w:b w:val="0"/>
          <w:bCs w:val="0"/>
          <w:kern w:val="0"/>
          <w:sz w:val="20"/>
          <w:lang w:eastAsia="en-US"/>
        </w:rPr>
        <w:t>indicating</w:t>
      </w:r>
      <w:r>
        <w:rPr>
          <w:rFonts w:hint="eastAsia" w:ascii="Arial" w:hAnsi="Arial" w:eastAsia="宋体" w:cs="Arial"/>
          <w:b w:val="0"/>
          <w:bCs w:val="0"/>
          <w:kern w:val="0"/>
          <w:sz w:val="20"/>
          <w:lang w:val="en-US" w:eastAsia="zh-CN"/>
        </w:rPr>
        <w:t xml:space="preserve"> </w:t>
      </w:r>
      <w:r>
        <w:rPr>
          <w:rFonts w:hint="default" w:ascii="Arial" w:hAnsi="Arial" w:eastAsia="Times New Roman" w:cs="Arial"/>
          <w:b w:val="0"/>
          <w:bCs w:val="0"/>
          <w:kern w:val="0"/>
          <w:sz w:val="20"/>
          <w:lang w:eastAsia="en-US"/>
        </w:rPr>
        <w:t>that the MR satisfied Mendel's second law of random grouping.</w:t>
      </w:r>
    </w:p>
    <w:p>
      <w:pPr>
        <w:widowControl/>
        <w:spacing w:line="480" w:lineRule="auto"/>
        <w:jc w:val="left"/>
        <w:rPr>
          <w:rFonts w:hint="eastAsia" w:ascii="Arial" w:hAnsi="Arial" w:eastAsia="Times New Roman" w:cs="Arial"/>
          <w:b/>
          <w:bCs/>
          <w:kern w:val="0"/>
          <w:sz w:val="20"/>
          <w:lang w:eastAsia="en-US"/>
        </w:rPr>
      </w:pPr>
    </w:p>
    <w:p>
      <w:pPr>
        <w:widowControl/>
        <w:spacing w:line="480" w:lineRule="auto"/>
        <w:jc w:val="left"/>
        <w:rPr>
          <w:rFonts w:hint="eastAsia" w:ascii="Arial" w:hAnsi="Arial" w:eastAsia="宋体" w:cs="Arial"/>
          <w:b/>
          <w:bCs/>
          <w:kern w:val="0"/>
          <w:sz w:val="20"/>
          <w:lang w:val="en-US" w:eastAsia="zh-CN"/>
        </w:rPr>
      </w:pPr>
      <w:r>
        <w:rPr>
          <w:rFonts w:hint="eastAsia" w:ascii="Arial" w:hAnsi="Arial" w:eastAsia="Times New Roman" w:cs="Arial"/>
          <w:b/>
          <w:bCs/>
          <w:kern w:val="0"/>
          <w:sz w:val="20"/>
          <w:lang w:eastAsia="en-US"/>
        </w:rPr>
        <w:t>Figure S</w:t>
      </w:r>
      <w:r>
        <w:rPr>
          <w:rFonts w:hint="eastAsia" w:ascii="Arial" w:hAnsi="Arial" w:eastAsia="宋体" w:cs="Arial"/>
          <w:b/>
          <w:bCs/>
          <w:kern w:val="0"/>
          <w:sz w:val="20"/>
          <w:lang w:val="en-US" w:eastAsia="zh-CN"/>
        </w:rPr>
        <w:t>5</w:t>
      </w:r>
      <w:r>
        <w:rPr>
          <w:rFonts w:hint="eastAsia" w:ascii="Arial" w:hAnsi="Arial" w:eastAsia="Times New Roman" w:cs="Arial"/>
          <w:b/>
          <w:bCs/>
          <w:kern w:val="0"/>
          <w:sz w:val="20"/>
          <w:lang w:eastAsia="en-US"/>
        </w:rPr>
        <w:t>: Inverse Mendelian randomisation analysis leave-one-out method</w:t>
      </w:r>
      <w:r>
        <w:rPr>
          <w:rFonts w:hint="eastAsia" w:ascii="Arial" w:hAnsi="Arial" w:eastAsia="宋体" w:cs="Arial"/>
          <w:b/>
          <w:bCs/>
          <w:kern w:val="0"/>
          <w:sz w:val="20"/>
          <w:lang w:val="en-US" w:eastAsia="zh-CN"/>
        </w:rPr>
        <w:t>.</w:t>
      </w:r>
    </w:p>
    <w:p>
      <w:pPr>
        <w:widowControl/>
        <w:spacing w:line="480" w:lineRule="auto"/>
        <w:jc w:val="left"/>
        <w:rPr>
          <w:rFonts w:hint="eastAsia" w:ascii="Arial" w:hAnsi="Arial" w:eastAsia="宋体" w:cs="Arial"/>
          <w:b/>
          <w:bCs/>
          <w:kern w:val="0"/>
          <w:sz w:val="20"/>
          <w:lang w:val="en-US" w:eastAsia="zh-CN"/>
        </w:rPr>
      </w:pPr>
      <w:r>
        <w:rPr>
          <w:rFonts w:hint="eastAsia" w:ascii="Arial" w:hAnsi="Arial" w:eastAsia="宋体" w:cs="Arial"/>
          <w:b/>
          <w:bCs/>
          <w:kern w:val="0"/>
          <w:sz w:val="20"/>
          <w:lang w:val="en-US" w:eastAsia="zh-CN"/>
        </w:rPr>
        <w:drawing>
          <wp:inline distT="0" distB="0" distL="114300" distR="114300">
            <wp:extent cx="8862695" cy="4354830"/>
            <wp:effectExtent l="0" t="0" r="1905" b="13970"/>
            <wp:docPr id="4" name="图片 4"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5"/>
                    <pic:cNvPicPr>
                      <a:picLocks noChangeAspect="1"/>
                    </pic:cNvPicPr>
                  </pic:nvPicPr>
                  <pic:blipFill>
                    <a:blip r:embed="rId9"/>
                    <a:stretch>
                      <a:fillRect/>
                    </a:stretch>
                  </pic:blipFill>
                  <pic:spPr>
                    <a:xfrm>
                      <a:off x="0" y="0"/>
                      <a:ext cx="8862695" cy="4354830"/>
                    </a:xfrm>
                    <a:prstGeom prst="rect">
                      <a:avLst/>
                    </a:prstGeom>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Times New Roman Regular">
    <w:panose1 w:val="02020603050405020304"/>
    <w:charset w:val="00"/>
    <w:family w:val="auto"/>
    <w:pitch w:val="default"/>
    <w:sig w:usb0="E0002AEF" w:usb1="C0007841" w:usb2="00000009" w:usb3="00000000" w:csb0="400001FF" w:csb1="FFFF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26DC2"/>
    <w:rsid w:val="23526DC2"/>
    <w:rsid w:val="26A22471"/>
    <w:rsid w:val="3D6E467F"/>
    <w:rsid w:val="3E9EF103"/>
    <w:rsid w:val="46AA7897"/>
    <w:rsid w:val="4DF7922F"/>
    <w:rsid w:val="54600C06"/>
    <w:rsid w:val="57FFFBE3"/>
    <w:rsid w:val="5DFD470F"/>
    <w:rsid w:val="5DFD6041"/>
    <w:rsid w:val="5FFEFC32"/>
    <w:rsid w:val="6EFDD35C"/>
    <w:rsid w:val="6FFB6D28"/>
    <w:rsid w:val="77DB8C49"/>
    <w:rsid w:val="7A1B19B6"/>
    <w:rsid w:val="7F792C40"/>
    <w:rsid w:val="7F7EE662"/>
    <w:rsid w:val="7FFF13AB"/>
    <w:rsid w:val="AED52D6E"/>
    <w:rsid w:val="CAAEE1F9"/>
    <w:rsid w:val="CDFBA7B6"/>
    <w:rsid w:val="CE67C14D"/>
    <w:rsid w:val="D6BD8FD4"/>
    <w:rsid w:val="DDEF2161"/>
    <w:rsid w:val="E7DF457B"/>
    <w:rsid w:val="EDEF958B"/>
    <w:rsid w:val="EEF5418C"/>
    <w:rsid w:val="FB1B45FD"/>
    <w:rsid w:val="FB26BD7B"/>
    <w:rsid w:val="FF4519F8"/>
    <w:rsid w:val="FFBF384A"/>
    <w:rsid w:val="FFFB0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customStyle="1" w:styleId="4">
    <w:name w:val="font21"/>
    <w:basedOn w:val="3"/>
    <w:uiPriority w:val="0"/>
    <w:rPr>
      <w:rFonts w:hint="eastAsia" w:ascii="宋体" w:hAnsi="宋体" w:eastAsia="宋体" w:cs="宋体"/>
      <w:color w:val="000000"/>
      <w:sz w:val="24"/>
      <w:szCs w:val="24"/>
      <w:u w:val="none"/>
    </w:rPr>
  </w:style>
  <w:style w:type="character" w:customStyle="1" w:styleId="5">
    <w:name w:val="font11"/>
    <w:basedOn w:val="3"/>
    <w:uiPriority w:val="0"/>
    <w:rPr>
      <w:rFonts w:hint="default" w:ascii="Times New Roman Regular" w:hAnsi="Times New Roman Regular" w:eastAsia="Times New Roman Regular" w:cs="Times New Roman Regular"/>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146</Words>
  <Characters>823</Characters>
  <Lines>0</Lines>
  <Paragraphs>0</Paragraphs>
  <TotalTime>9</TotalTime>
  <ScaleCrop>false</ScaleCrop>
  <LinksUpToDate>false</LinksUpToDate>
  <CharactersWithSpaces>964</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2024-12-26T10:09:00Z</dcterms:created>
  <dc:creator>Administrator</dc:creator>
  <cp:lastModifiedBy>雪</cp:lastModifiedBy>
  <dcterms:modified xsi:type="dcterms:W3CDTF">2025-02-26T17:57:36Z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B1F702F5031A4B209FE0CCBE69757B84_13</vt:lpwstr>
  </property>
  <property fmtid="{D5CDD505-2E9C-101B-9397-08002B2CF9AE}" pid="4" name="KSOTemplateDocerSaveRecord">
    <vt:lpwstr>eyJoZGlkIjoiYTExMmYxZTZhY2ZlOGZhYzc4NzdlOTYwZmZjYTc5ZGIiLCJ1c2VySWQiOiIyNDU0OTg1MDgifQ==</vt:lpwstr>
  </property>
</Properties>
</file>