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E013E" w14:textId="77777777" w:rsidR="001A57F9" w:rsidRDefault="00000000">
      <w:pPr>
        <w:pStyle w:val="a3"/>
        <w:autoSpaceDE w:val="0"/>
        <w:autoSpaceDN w:val="0"/>
        <w:snapToGrid w:val="0"/>
        <w:spacing w:before="5" w:line="480" w:lineRule="auto"/>
        <w:jc w:val="lef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Supplementary Table 1. Primers sequence for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qRT</w:t>
      </w:r>
      <w:proofErr w:type="spellEnd"/>
      <w:r>
        <w:rPr>
          <w:rFonts w:ascii="Arial" w:hAnsi="Arial" w:cs="Arial"/>
          <w:sz w:val="20"/>
          <w:szCs w:val="20"/>
          <w:lang w:val="en-US"/>
        </w:rPr>
        <w:t>-PCR of chemokines.</w:t>
      </w:r>
    </w:p>
    <w:tbl>
      <w:tblPr>
        <w:tblStyle w:val="a8"/>
        <w:tblW w:w="8986" w:type="dxa"/>
        <w:tblInd w:w="-189" w:type="dxa"/>
        <w:tblLayout w:type="fixed"/>
        <w:tblLook w:val="04A0" w:firstRow="1" w:lastRow="0" w:firstColumn="1" w:lastColumn="0" w:noHBand="0" w:noVBand="1"/>
      </w:tblPr>
      <w:tblGrid>
        <w:gridCol w:w="958"/>
        <w:gridCol w:w="4128"/>
        <w:gridCol w:w="3900"/>
      </w:tblGrid>
      <w:tr w:rsidR="001A57F9" w14:paraId="16A09B90" w14:textId="77777777">
        <w:tc>
          <w:tcPr>
            <w:tcW w:w="958" w:type="dxa"/>
            <w:tcBorders>
              <w:left w:val="nil"/>
              <w:right w:val="nil"/>
            </w:tcBorders>
          </w:tcPr>
          <w:p w14:paraId="72A27BF7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Genes</w:t>
            </w:r>
          </w:p>
        </w:tc>
        <w:tc>
          <w:tcPr>
            <w:tcW w:w="4128" w:type="dxa"/>
            <w:tcBorders>
              <w:left w:val="nil"/>
              <w:right w:val="nil"/>
            </w:tcBorders>
          </w:tcPr>
          <w:p w14:paraId="5E7AA7C4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Forward primers</w:t>
            </w:r>
          </w:p>
        </w:tc>
        <w:tc>
          <w:tcPr>
            <w:tcW w:w="3900" w:type="dxa"/>
            <w:tcBorders>
              <w:left w:val="nil"/>
              <w:right w:val="nil"/>
            </w:tcBorders>
          </w:tcPr>
          <w:p w14:paraId="2282FFEB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Reverse primers</w:t>
            </w:r>
          </w:p>
        </w:tc>
      </w:tr>
      <w:tr w:rsidR="001A57F9" w14:paraId="6F146062" w14:textId="77777777">
        <w:tc>
          <w:tcPr>
            <w:tcW w:w="958" w:type="dxa"/>
            <w:tcBorders>
              <w:left w:val="nil"/>
              <w:bottom w:val="nil"/>
              <w:right w:val="nil"/>
            </w:tcBorders>
          </w:tcPr>
          <w:p w14:paraId="2A7C97D7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CCL2</w:t>
            </w:r>
          </w:p>
        </w:tc>
        <w:tc>
          <w:tcPr>
            <w:tcW w:w="4128" w:type="dxa"/>
            <w:tcBorders>
              <w:left w:val="nil"/>
              <w:bottom w:val="nil"/>
              <w:right w:val="nil"/>
            </w:tcBorders>
          </w:tcPr>
          <w:p w14:paraId="08D9D33F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5’-AGGTGTCCCAAAGAAGCTGT-3’</w:t>
            </w:r>
          </w:p>
        </w:tc>
        <w:tc>
          <w:tcPr>
            <w:tcW w:w="3900" w:type="dxa"/>
            <w:tcBorders>
              <w:left w:val="nil"/>
              <w:bottom w:val="nil"/>
              <w:right w:val="nil"/>
            </w:tcBorders>
          </w:tcPr>
          <w:p w14:paraId="2789DDF2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5’-ACGGGTCAACTTCACATTCA-3’</w:t>
            </w:r>
          </w:p>
        </w:tc>
      </w:tr>
      <w:tr w:rsidR="001A57F9" w14:paraId="10D5A0BD" w14:textId="77777777"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BC276C6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CCL5</w:t>
            </w:r>
          </w:p>
        </w:tc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</w:tcPr>
          <w:p w14:paraId="6E538EC6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5’-CCTGCTGCTTTGCCTACCTCTC-3’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</w:tcPr>
          <w:p w14:paraId="16994415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5’-ACACACTTGGCGGTTCCTTCGA-3’</w:t>
            </w:r>
          </w:p>
        </w:tc>
      </w:tr>
      <w:tr w:rsidR="001A57F9" w14:paraId="4BF1A94A" w14:textId="77777777">
        <w:tc>
          <w:tcPr>
            <w:tcW w:w="958" w:type="dxa"/>
            <w:tcBorders>
              <w:top w:val="nil"/>
              <w:left w:val="nil"/>
              <w:right w:val="nil"/>
            </w:tcBorders>
          </w:tcPr>
          <w:p w14:paraId="6E843498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TBP</w:t>
            </w:r>
          </w:p>
        </w:tc>
        <w:tc>
          <w:tcPr>
            <w:tcW w:w="4128" w:type="dxa"/>
            <w:tcBorders>
              <w:top w:val="nil"/>
              <w:left w:val="nil"/>
              <w:right w:val="nil"/>
            </w:tcBorders>
          </w:tcPr>
          <w:p w14:paraId="60E2A56D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5’-CTACCGTGAATCTTGGCTGTAAAC-3’</w:t>
            </w:r>
          </w:p>
        </w:tc>
        <w:tc>
          <w:tcPr>
            <w:tcW w:w="3900" w:type="dxa"/>
            <w:tcBorders>
              <w:top w:val="nil"/>
              <w:left w:val="nil"/>
              <w:right w:val="nil"/>
            </w:tcBorders>
          </w:tcPr>
          <w:p w14:paraId="71F12A53" w14:textId="77777777" w:rsidR="001A57F9" w:rsidRDefault="00000000">
            <w:pPr>
              <w:pStyle w:val="a3"/>
              <w:autoSpaceDE w:val="0"/>
              <w:autoSpaceDN w:val="0"/>
              <w:snapToGrid w:val="0"/>
              <w:spacing w:before="5" w:line="480" w:lineRule="auto"/>
              <w:jc w:val="lef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5’-AATCAACGCAGTTGTCCGTGGC-3’</w:t>
            </w:r>
          </w:p>
        </w:tc>
      </w:tr>
    </w:tbl>
    <w:p w14:paraId="10F84E88" w14:textId="77777777" w:rsidR="001A57F9" w:rsidRDefault="00000000">
      <w:pPr>
        <w:pStyle w:val="a3"/>
        <w:autoSpaceDE w:val="0"/>
        <w:autoSpaceDN w:val="0"/>
        <w:snapToGrid w:val="0"/>
        <w:spacing w:before="5" w:line="480" w:lineRule="auto"/>
        <w:jc w:val="lef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CCL2, chemokine (C-C motif) ligand 2; CCL5, chemokine (C-C motif) ligand 5; TBP, TATA box binding protein.</w:t>
      </w:r>
    </w:p>
    <w:p w14:paraId="20E9784C" w14:textId="77777777" w:rsidR="001A57F9" w:rsidRDefault="001A57F9">
      <w:pPr>
        <w:pStyle w:val="a3"/>
        <w:autoSpaceDE w:val="0"/>
        <w:autoSpaceDN w:val="0"/>
        <w:snapToGrid w:val="0"/>
        <w:spacing w:before="5" w:line="480" w:lineRule="auto"/>
        <w:jc w:val="left"/>
        <w:rPr>
          <w:rFonts w:ascii="Arial" w:hAnsi="Arial" w:cs="Arial"/>
          <w:sz w:val="20"/>
          <w:szCs w:val="20"/>
          <w:lang w:val="en-US"/>
        </w:rPr>
      </w:pPr>
    </w:p>
    <w:p w14:paraId="37B8BAA0" w14:textId="77777777" w:rsidR="001A57F9" w:rsidRDefault="00000000">
      <w:pPr>
        <w:pStyle w:val="a3"/>
        <w:autoSpaceDE w:val="0"/>
        <w:autoSpaceDN w:val="0"/>
        <w:snapToGrid w:val="0"/>
        <w:spacing w:before="5" w:line="48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59EBE3A1" wp14:editId="498887CE">
            <wp:extent cx="5274310" cy="3955415"/>
            <wp:effectExtent l="0" t="0" r="2540" b="6985"/>
            <wp:docPr id="999634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3441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5CBF" w14:textId="3C179208" w:rsidR="001A57F9" w:rsidRPr="00E07988" w:rsidRDefault="00000000">
      <w:pPr>
        <w:pStyle w:val="a3"/>
        <w:autoSpaceDE w:val="0"/>
        <w:autoSpaceDN w:val="0"/>
        <w:snapToGrid w:val="0"/>
        <w:spacing w:before="5" w:line="480" w:lineRule="auto"/>
        <w:rPr>
          <w:rFonts w:ascii="Arial" w:hAnsi="Arial" w:cs="Arial" w:hint="eastAsia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Supplementary Figure 1</w:t>
      </w:r>
      <w:r>
        <w:rPr>
          <w:rFonts w:ascii="Arial" w:hAnsi="Arial" w:cs="Arial"/>
          <w:sz w:val="20"/>
          <w:szCs w:val="20"/>
          <w:lang w:val="en-US"/>
        </w:rPr>
        <w:t xml:space="preserve"> Syk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S544Y</w:t>
      </w:r>
      <w:r>
        <w:rPr>
          <w:rFonts w:ascii="Arial" w:hAnsi="Arial" w:cs="Arial"/>
          <w:sz w:val="20"/>
          <w:szCs w:val="20"/>
          <w:lang w:val="en-US"/>
        </w:rPr>
        <w:t xml:space="preserve"> mice were susceptible to DSS</w:t>
      </w:r>
      <w:r w:rsidR="00E07988">
        <w:rPr>
          <w:rFonts w:ascii="Arial" w:hAnsi="Arial" w:cs="Arial" w:hint="eastAsia"/>
          <w:sz w:val="20"/>
          <w:szCs w:val="20"/>
          <w:lang w:val="en-US"/>
        </w:rPr>
        <w:t>-</w:t>
      </w:r>
      <w:r>
        <w:rPr>
          <w:rFonts w:ascii="Arial" w:hAnsi="Arial" w:cs="Arial"/>
          <w:sz w:val="20"/>
          <w:szCs w:val="20"/>
          <w:lang w:val="en-US"/>
        </w:rPr>
        <w:t>induced chronic colitis. WT and Syk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S544Y</w:t>
      </w:r>
      <w:r>
        <w:rPr>
          <w:rFonts w:ascii="Arial" w:hAnsi="Arial" w:cs="Arial"/>
          <w:sz w:val="20"/>
          <w:szCs w:val="20"/>
          <w:lang w:val="en-US"/>
        </w:rPr>
        <w:t xml:space="preserve"> mice (n=6/group) were treated with three cycles of 2% DSS (7d of DSS induction as described and 14d of water</w:t>
      </w:r>
      <w:r w:rsidRPr="00854DFB">
        <w:rPr>
          <w:rFonts w:ascii="Arial" w:hAnsi="Arial" w:cs="Arial"/>
          <w:sz w:val="20"/>
          <w:szCs w:val="20"/>
          <w:lang w:val="en-US"/>
        </w:rPr>
        <w:t>).</w:t>
      </w:r>
      <w:r w:rsidR="00E07988">
        <w:rPr>
          <w:rFonts w:ascii="Arial" w:hAnsi="Arial" w:cs="Arial" w:hint="eastAsia"/>
          <w:sz w:val="20"/>
          <w:szCs w:val="20"/>
          <w:lang w:val="en-US"/>
        </w:rPr>
        <w:t xml:space="preserve"> </w:t>
      </w:r>
      <w:r w:rsidRPr="00E07988">
        <w:rPr>
          <w:rFonts w:ascii="Arial" w:hAnsi="Arial" w:cs="Arial"/>
          <w:sz w:val="20"/>
          <w:szCs w:val="20"/>
          <w:lang w:val="en-US"/>
        </w:rPr>
        <w:t>The</w:t>
      </w:r>
      <w:r>
        <w:rPr>
          <w:rFonts w:ascii="Arial" w:hAnsi="Arial" w:cs="Arial"/>
          <w:sz w:val="20"/>
          <w:szCs w:val="20"/>
          <w:lang w:val="en-US"/>
        </w:rPr>
        <w:t xml:space="preserve"> colitis </w:t>
      </w:r>
      <w:r w:rsidR="00E07988">
        <w:rPr>
          <w:rFonts w:ascii="Arial" w:hAnsi="Arial" w:cs="Arial" w:hint="eastAsia"/>
          <w:sz w:val="20"/>
          <w:szCs w:val="20"/>
          <w:lang w:val="en-US"/>
        </w:rPr>
        <w:t>was</w:t>
      </w:r>
      <w:r>
        <w:rPr>
          <w:rFonts w:ascii="Arial" w:hAnsi="Arial" w:cs="Arial"/>
          <w:sz w:val="20"/>
          <w:szCs w:val="20"/>
          <w:lang w:val="en-US"/>
        </w:rPr>
        <w:t xml:space="preserve"> evaluated by (A) survival curve, and (B) body weight loss, expressed as a percentage of the initial body weight.</w:t>
      </w:r>
      <w:r>
        <w:rPr>
          <w:rFonts w:ascii="Arial" w:hAnsi="Arial" w:cs="Arial"/>
          <w:color w:val="0070C0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(C, D)</w:t>
      </w:r>
      <w:r>
        <w:rPr>
          <w:rFonts w:ascii="Arial" w:hAnsi="Arial" w:cs="Arial"/>
          <w:color w:val="4874CB" w:themeColor="accen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Representative images of colon and spleen in different groups after induction. (E) </w:t>
      </w:r>
      <w:r w:rsidR="00E07988">
        <w:rPr>
          <w:rFonts w:ascii="Arial" w:hAnsi="Arial" w:cs="Arial" w:hint="eastAsia"/>
          <w:sz w:val="20"/>
          <w:szCs w:val="20"/>
          <w:lang w:val="en-US"/>
        </w:rPr>
        <w:t>R</w:t>
      </w:r>
      <w:r>
        <w:rPr>
          <w:rFonts w:ascii="Arial" w:hAnsi="Arial" w:cs="Arial"/>
          <w:sz w:val="20"/>
          <w:szCs w:val="20"/>
          <w:lang w:val="en-US"/>
        </w:rPr>
        <w:t xml:space="preserve">epresentative images of mucosal inflammation analyzed with </w:t>
      </w:r>
      <w:r w:rsidR="00E07988">
        <w:rPr>
          <w:rFonts w:ascii="Arial" w:hAnsi="Arial" w:cs="Arial"/>
          <w:sz w:val="20"/>
          <w:szCs w:val="20"/>
          <w:lang w:val="en-US"/>
        </w:rPr>
        <w:t>colon sections</w:t>
      </w:r>
      <w:r w:rsidR="00E07988">
        <w:rPr>
          <w:rFonts w:ascii="Arial" w:hAnsi="Arial" w:cs="Arial"/>
          <w:sz w:val="20"/>
          <w:szCs w:val="20"/>
          <w:lang w:val="en-US"/>
        </w:rPr>
        <w:t xml:space="preserve"> </w:t>
      </w:r>
      <w:r w:rsidR="00E07988">
        <w:rPr>
          <w:rFonts w:ascii="Arial" w:hAnsi="Arial" w:cs="Arial" w:hint="eastAsia"/>
          <w:sz w:val="20"/>
          <w:szCs w:val="20"/>
          <w:lang w:val="en-US"/>
        </w:rPr>
        <w:t xml:space="preserve">stained with </w:t>
      </w:r>
      <w:r>
        <w:rPr>
          <w:rFonts w:ascii="Arial" w:hAnsi="Arial" w:cs="Arial"/>
          <w:sz w:val="20"/>
          <w:szCs w:val="20"/>
          <w:lang w:val="en-US"/>
        </w:rPr>
        <w:t>H&amp;E and Masson’s trichrome. Scale bar: 200μm. Data are shown as mean values ± SEM; *</w:t>
      </w:r>
      <w:r>
        <w:rPr>
          <w:rFonts w:ascii="Arial" w:hAnsi="Arial" w:cs="Arial"/>
          <w:i/>
          <w:iCs/>
          <w:sz w:val="20"/>
          <w:szCs w:val="20"/>
          <w:lang w:val="en-US"/>
        </w:rPr>
        <w:t>P</w:t>
      </w:r>
      <w:r>
        <w:rPr>
          <w:rFonts w:ascii="Arial" w:hAnsi="Arial" w:cs="Arial"/>
          <w:sz w:val="20"/>
          <w:szCs w:val="20"/>
          <w:lang w:val="en-US"/>
        </w:rPr>
        <w:t xml:space="preserve"> &lt; 0.05. DSS, dextran sodium sulphate</w:t>
      </w:r>
      <w:r w:rsidR="00E07988">
        <w:rPr>
          <w:rFonts w:ascii="Arial" w:hAnsi="Arial" w:cs="Arial" w:hint="eastAsia"/>
          <w:sz w:val="20"/>
          <w:szCs w:val="20"/>
          <w:lang w:val="en-US"/>
        </w:rPr>
        <w:t xml:space="preserve">; </w:t>
      </w:r>
      <w:r w:rsidR="00E07988" w:rsidRPr="00E07988">
        <w:rPr>
          <w:rFonts w:ascii="Arial" w:hAnsi="Arial" w:cs="Arial"/>
          <w:sz w:val="20"/>
          <w:szCs w:val="20"/>
          <w:lang w:val="en-US"/>
        </w:rPr>
        <w:t>SEM</w:t>
      </w:r>
      <w:r w:rsidR="00E07988" w:rsidRPr="00E07988">
        <w:rPr>
          <w:rFonts w:ascii="Arial" w:hAnsi="Arial" w:cs="Arial" w:hint="eastAsia"/>
          <w:sz w:val="20"/>
          <w:szCs w:val="20"/>
          <w:lang w:val="en-US"/>
        </w:rPr>
        <w:t xml:space="preserve">, </w:t>
      </w:r>
      <w:r w:rsidR="00E07988" w:rsidRPr="00E07988">
        <w:rPr>
          <w:rFonts w:ascii="Arial" w:hAnsi="Arial" w:cs="Arial"/>
          <w:sz w:val="20"/>
          <w:szCs w:val="20"/>
          <w:lang w:val="en-US"/>
        </w:rPr>
        <w:t>standard error of the mean.</w:t>
      </w:r>
    </w:p>
    <w:p w14:paraId="54DEF64F" w14:textId="77777777" w:rsidR="001A57F9" w:rsidRDefault="001A57F9">
      <w:pPr>
        <w:snapToGrid w:val="0"/>
        <w:spacing w:line="480" w:lineRule="auto"/>
        <w:rPr>
          <w:rFonts w:ascii="Arial" w:hAnsi="Arial" w:cs="Arial"/>
          <w:sz w:val="20"/>
          <w:szCs w:val="20"/>
        </w:rPr>
      </w:pPr>
    </w:p>
    <w:p w14:paraId="089C1642" w14:textId="77777777" w:rsidR="001A57F9" w:rsidRDefault="00000000">
      <w:pPr>
        <w:pStyle w:val="a3"/>
        <w:autoSpaceDE w:val="0"/>
        <w:autoSpaceDN w:val="0"/>
        <w:snapToGrid w:val="0"/>
        <w:spacing w:before="5" w:line="48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15CECE65" wp14:editId="39D0A307">
            <wp:extent cx="2475230" cy="2146300"/>
            <wp:effectExtent l="0" t="0" r="1270" b="6350"/>
            <wp:docPr id="3498786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78615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9" t="16776" r="20324" b="13183"/>
                    <a:stretch>
                      <a:fillRect/>
                    </a:stretch>
                  </pic:blipFill>
                  <pic:spPr>
                    <a:xfrm>
                      <a:off x="0" y="0"/>
                      <a:ext cx="2513620" cy="217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A87B" w14:textId="77777777" w:rsidR="001A57F9" w:rsidRDefault="00000000">
      <w:pPr>
        <w:pStyle w:val="a3"/>
        <w:autoSpaceDE w:val="0"/>
        <w:autoSpaceDN w:val="0"/>
        <w:snapToGrid w:val="0"/>
        <w:spacing w:before="5" w:line="480" w:lineRule="auto"/>
        <w:jc w:val="left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Supplementary Figure 2</w:t>
      </w:r>
      <w:r>
        <w:rPr>
          <w:rFonts w:ascii="Arial" w:hAnsi="Arial" w:cs="Arial"/>
          <w:sz w:val="20"/>
          <w:szCs w:val="20"/>
          <w:lang w:val="en-US"/>
        </w:rPr>
        <w:t xml:space="preserve"> Boxplot of the expression of SYK in GEO dataset GSE123141 (*</w:t>
      </w:r>
      <w:r>
        <w:rPr>
          <w:rFonts w:ascii="Arial" w:hAnsi="Arial" w:cs="Arial"/>
          <w:i/>
          <w:iCs/>
          <w:sz w:val="20"/>
          <w:szCs w:val="20"/>
          <w:lang w:val="en-US"/>
        </w:rPr>
        <w:t>P</w:t>
      </w:r>
      <w:r>
        <w:rPr>
          <w:rFonts w:ascii="Arial" w:hAnsi="Arial" w:cs="Arial"/>
          <w:sz w:val="20"/>
          <w:szCs w:val="20"/>
          <w:lang w:val="en-US"/>
        </w:rPr>
        <w:t xml:space="preserve"> &lt; 0.05).   </w:t>
      </w:r>
    </w:p>
    <w:p w14:paraId="386273F7" w14:textId="77777777" w:rsidR="001A57F9" w:rsidRDefault="001A57F9">
      <w:pPr>
        <w:snapToGrid w:val="0"/>
        <w:spacing w:line="480" w:lineRule="auto"/>
        <w:rPr>
          <w:rFonts w:ascii="Arial" w:hAnsi="Arial" w:cs="Arial"/>
          <w:sz w:val="20"/>
          <w:szCs w:val="20"/>
        </w:rPr>
      </w:pPr>
    </w:p>
    <w:p w14:paraId="3407992E" w14:textId="77777777" w:rsidR="001A57F9" w:rsidRDefault="00000000">
      <w:pPr>
        <w:pStyle w:val="a3"/>
        <w:autoSpaceDE w:val="0"/>
        <w:autoSpaceDN w:val="0"/>
        <w:snapToGrid w:val="0"/>
        <w:spacing w:before="5" w:line="48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140B0F13" wp14:editId="074E02FA">
            <wp:extent cx="5273675" cy="5529580"/>
            <wp:effectExtent l="0" t="0" r="3175" b="0"/>
            <wp:docPr id="12524028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02805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4" b="121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5A5F" w14:textId="1263156D" w:rsidR="001A57F9" w:rsidRDefault="00000000">
      <w:pPr>
        <w:pStyle w:val="a3"/>
        <w:autoSpaceDE w:val="0"/>
        <w:autoSpaceDN w:val="0"/>
        <w:snapToGrid w:val="0"/>
        <w:spacing w:before="5" w:line="480" w:lineRule="auto"/>
        <w:jc w:val="left"/>
        <w:rPr>
          <w:rFonts w:ascii="Arial" w:hAnsi="Arial" w:cs="Arial"/>
          <w:color w:val="4874CB" w:themeColor="accent1"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Supplementary Figure 3</w:t>
      </w:r>
      <w:r>
        <w:rPr>
          <w:rFonts w:ascii="Arial" w:hAnsi="Arial" w:cs="Arial"/>
          <w:color w:val="4874CB" w:themeColor="accen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Representative images of the phagocytic ability and ROS production </w:t>
      </w:r>
      <w:r w:rsidR="00E07988">
        <w:rPr>
          <w:rFonts w:ascii="Arial" w:hAnsi="Arial" w:cs="Arial" w:hint="eastAsia"/>
          <w:sz w:val="20"/>
          <w:szCs w:val="20"/>
          <w:lang w:val="en-US"/>
        </w:rPr>
        <w:t>in</w:t>
      </w:r>
      <w:r>
        <w:rPr>
          <w:rFonts w:ascii="Arial" w:hAnsi="Arial" w:cs="Arial"/>
          <w:sz w:val="20"/>
          <w:szCs w:val="20"/>
          <w:lang w:val="en-US"/>
        </w:rPr>
        <w:t xml:space="preserve"> BMDM. WT and Syk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S544Y</w:t>
      </w:r>
      <w:r>
        <w:rPr>
          <w:rFonts w:ascii="Arial" w:hAnsi="Arial" w:cs="Arial"/>
          <w:sz w:val="20"/>
          <w:szCs w:val="20"/>
          <w:lang w:val="en-US"/>
        </w:rPr>
        <w:t xml:space="preserve"> BMDM (8×10</w:t>
      </w:r>
      <w:r>
        <w:rPr>
          <w:rFonts w:ascii="Arial" w:hAnsi="Arial" w:cs="Arial"/>
          <w:sz w:val="20"/>
          <w:szCs w:val="20"/>
          <w:vertAlign w:val="superscript"/>
          <w:lang w:val="en-US"/>
        </w:rPr>
        <w:t>5</w:t>
      </w:r>
      <w:r>
        <w:rPr>
          <w:rFonts w:ascii="Arial" w:hAnsi="Arial" w:cs="Arial"/>
          <w:sz w:val="20"/>
          <w:szCs w:val="20"/>
          <w:lang w:val="en-US"/>
        </w:rPr>
        <w:t xml:space="preserve"> ) were treated </w:t>
      </w:r>
      <w:r w:rsidR="00E07988">
        <w:rPr>
          <w:rFonts w:ascii="Arial" w:hAnsi="Arial" w:cs="Arial" w:hint="eastAsia"/>
          <w:sz w:val="20"/>
          <w:szCs w:val="20"/>
          <w:lang w:val="en-US"/>
        </w:rPr>
        <w:t xml:space="preserve">with </w:t>
      </w:r>
      <w:r>
        <w:rPr>
          <w:rFonts w:ascii="Arial" w:hAnsi="Arial" w:cs="Arial"/>
          <w:sz w:val="20"/>
          <w:szCs w:val="20"/>
          <w:lang w:val="en-US"/>
        </w:rPr>
        <w:t xml:space="preserve">or </w:t>
      </w:r>
      <w:r w:rsidR="00E07988">
        <w:rPr>
          <w:rFonts w:ascii="Arial" w:hAnsi="Arial" w:cs="Arial" w:hint="eastAsia"/>
          <w:sz w:val="20"/>
          <w:szCs w:val="20"/>
          <w:lang w:val="en-US"/>
        </w:rPr>
        <w:t xml:space="preserve">without </w:t>
      </w:r>
      <w:r>
        <w:rPr>
          <w:rFonts w:ascii="Arial" w:hAnsi="Arial" w:cs="Arial"/>
          <w:sz w:val="20"/>
          <w:szCs w:val="20"/>
          <w:lang w:val="en-US"/>
        </w:rPr>
        <w:t>200</w:t>
      </w:r>
      <w:r w:rsidR="00E07988">
        <w:rPr>
          <w:rFonts w:ascii="Arial" w:hAnsi="Arial" w:cs="Arial" w:hint="eastAsia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ng/m</w:t>
      </w:r>
      <w:r w:rsidR="00E07988">
        <w:rPr>
          <w:rFonts w:ascii="Arial" w:hAnsi="Arial" w:cs="Arial" w:hint="eastAsia"/>
          <w:sz w:val="20"/>
          <w:szCs w:val="20"/>
          <w:lang w:val="en-US"/>
        </w:rPr>
        <w:t>L</w:t>
      </w:r>
      <w:r>
        <w:rPr>
          <w:rFonts w:ascii="Arial" w:hAnsi="Arial" w:cs="Arial"/>
          <w:sz w:val="20"/>
          <w:szCs w:val="20"/>
          <w:lang w:val="en-US"/>
        </w:rPr>
        <w:t xml:space="preserve"> LPS overnight for phagocytosis or treated for 3h for ROS detection in the presence or absence of 2</w:t>
      </w:r>
      <w:r w:rsidR="00E07988">
        <w:rPr>
          <w:rFonts w:ascii="Arial" w:hAnsi="Arial" w:cs="Arial" w:hint="eastAsia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R406 . (A) Phagocytosis of BMDM to Fluorescent microspheres detected by flow cytometry (n=4/group). (B) ROS labeled with DCFH-DA in BMDM detected by flow cytometry (n=4/group). ROS, reactive oxygen species; BMDM, bone marrow-derived macrophages; LPS, Lipopolysaccharides; DCFH-DA, 2, 7-dichloride-hydro fluorescein diacetate.</w:t>
      </w:r>
    </w:p>
    <w:p w14:paraId="7D73AE1F" w14:textId="77777777" w:rsidR="001A57F9" w:rsidRDefault="001A57F9">
      <w:pPr>
        <w:rPr>
          <w:rFonts w:ascii="Times New Roman" w:hAnsi="Times New Roman" w:cs="Times New Roman"/>
          <w:sz w:val="20"/>
          <w:szCs w:val="20"/>
        </w:rPr>
      </w:pPr>
    </w:p>
    <w:sectPr w:rsidR="001A57F9">
      <w:footerReference w:type="default" r:id="rId10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C312D0" w14:textId="77777777" w:rsidR="004D3BF9" w:rsidRDefault="004D3BF9">
      <w:r>
        <w:separator/>
      </w:r>
    </w:p>
  </w:endnote>
  <w:endnote w:type="continuationSeparator" w:id="0">
    <w:p w14:paraId="71A21E3F" w14:textId="77777777" w:rsidR="004D3BF9" w:rsidRDefault="004D3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701B6" w14:textId="77777777" w:rsidR="001A57F9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EA1708" wp14:editId="4782869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326D9" w14:textId="77777777" w:rsidR="001A57F9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A1708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57326D9" w14:textId="77777777" w:rsidR="001A57F9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BE92A" w14:textId="77777777" w:rsidR="004D3BF9" w:rsidRDefault="004D3BF9">
      <w:r>
        <w:separator/>
      </w:r>
    </w:p>
  </w:footnote>
  <w:footnote w:type="continuationSeparator" w:id="0">
    <w:p w14:paraId="2CB38300" w14:textId="77777777" w:rsidR="004D3BF9" w:rsidRDefault="004D3B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WIwZWUwZmFmYTMwZmY3Y2ExNGQ2ZWIzZjNkNzBlOTYifQ=="/>
  </w:docVars>
  <w:rsids>
    <w:rsidRoot w:val="00A460E1"/>
    <w:rsid w:val="001423A5"/>
    <w:rsid w:val="00160491"/>
    <w:rsid w:val="001A57F9"/>
    <w:rsid w:val="002E7CAC"/>
    <w:rsid w:val="002F1E3A"/>
    <w:rsid w:val="00331CD1"/>
    <w:rsid w:val="004D3BF9"/>
    <w:rsid w:val="00854DFB"/>
    <w:rsid w:val="00A23466"/>
    <w:rsid w:val="00A460E1"/>
    <w:rsid w:val="00A47560"/>
    <w:rsid w:val="00CC56A9"/>
    <w:rsid w:val="00DE2109"/>
    <w:rsid w:val="00DF7A3E"/>
    <w:rsid w:val="00E07988"/>
    <w:rsid w:val="00FD14C2"/>
    <w:rsid w:val="0E3B47B8"/>
    <w:rsid w:val="14C90EB8"/>
    <w:rsid w:val="30CA34B3"/>
    <w:rsid w:val="37A24532"/>
    <w:rsid w:val="43B40C9C"/>
    <w:rsid w:val="4D4C7898"/>
    <w:rsid w:val="4FC0741C"/>
    <w:rsid w:val="6C653B28"/>
    <w:rsid w:val="70D72B7D"/>
    <w:rsid w:val="780A4CEB"/>
    <w:rsid w:val="7FA0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97CD9"/>
  <w14:defaultImageDpi w14:val="330"/>
  <w15:docId w15:val="{3040D9E7-6A18-4F6D-8EB9-911D5567C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24"/>
      <w:lang w:val="zh-CN" w:bidi="zh-CN"/>
    </w:rPr>
  </w:style>
  <w:style w:type="paragraph" w:styleId="a4">
    <w:name w:val="Balloon Text"/>
    <w:basedOn w:val="a"/>
    <w:link w:val="a5"/>
    <w:rPr>
      <w:rFonts w:ascii="宋体" w:eastAsia="宋体"/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</w:style>
  <w:style w:type="character" w:customStyle="1" w:styleId="a5">
    <w:name w:val="批注框文本 字符"/>
    <w:basedOn w:val="a0"/>
    <w:link w:val="a4"/>
    <w:rPr>
      <w:rFonts w:ascii="宋体" w:eastAsia="宋体"/>
      <w:kern w:val="2"/>
      <w:sz w:val="18"/>
      <w:szCs w:val="18"/>
    </w:rPr>
  </w:style>
  <w:style w:type="paragraph" w:styleId="aa">
    <w:name w:val="Revision"/>
    <w:hidden/>
    <w:uiPriority w:val="99"/>
    <w:unhideWhenUsed/>
    <w:rsid w:val="00854DF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用户</cp:lastModifiedBy>
  <cp:revision>7</cp:revision>
  <dcterms:created xsi:type="dcterms:W3CDTF">2014-10-29T12:08:00Z</dcterms:created>
  <dcterms:modified xsi:type="dcterms:W3CDTF">2024-10-18T11:39:00Z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D236C2E5497C49969224D3D2CAC53CF6_12</vt:lpwstr>
  </property>
</Properties>
</file>