
<file path=[Content_Types].xml><?xml version="1.0" encoding="utf-8"?>
<Types xmlns="http://schemas.openxmlformats.org/package/2006/content-types">
  <Default Extension="tiff" ContentType="image/tif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CC8DB3">
      <w:pPr>
        <w:spacing w:line="480" w:lineRule="auto"/>
        <w:rPr>
          <w:rFonts w:hint="default" w:ascii="Times New Roman" w:hAnsi="Times New Roman" w:cs="Times New Roman"/>
          <w:b/>
          <w:i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b/>
          <w:i/>
          <w:color w:val="auto"/>
          <w:sz w:val="24"/>
          <w:szCs w:val="24"/>
        </w:rPr>
        <w:t>Supplementary Information</w:t>
      </w:r>
    </w:p>
    <w:p w14:paraId="0B5500C1">
      <w:pPr>
        <w:spacing w:line="480" w:lineRule="auto"/>
        <w:rPr>
          <w:rFonts w:hint="default"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</w:rPr>
        <w:t>GSDMD mediates Ang II-induced hypertensive nephropathy by regulating the GATA2/AQP4 signaling pathway</w:t>
      </w:r>
    </w:p>
    <w:p w14:paraId="0D75D2B8">
      <w:pPr>
        <w:spacing w:line="480" w:lineRule="auto"/>
        <w:rPr>
          <w:rFonts w:hint="default" w:ascii="Times New Roman" w:hAnsi="Times New Roman" w:cs="Times New Roman"/>
          <w:b/>
          <w:color w:val="auto"/>
        </w:rPr>
      </w:pPr>
    </w:p>
    <w:p w14:paraId="42D9EB8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</w:rPr>
        <w:t>Online Supplement:</w:t>
      </w:r>
    </w:p>
    <w:p w14:paraId="1D1DE3EA">
      <w:pPr>
        <w:pStyle w:val="7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Chars="0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</w:rPr>
        <w:t>Supplementary Figure S</w:t>
      </w:r>
      <w:r>
        <w:rPr>
          <w:rFonts w:hint="default" w:ascii="Times New Roman" w:hAnsi="Times New Roman" w:cs="Times New Roman"/>
          <w:color w:val="auto"/>
          <w:sz w:val="24"/>
          <w:lang w:val="en-US" w:eastAsia="zh-CN"/>
        </w:rPr>
        <w:t>1-4</w:t>
      </w:r>
    </w:p>
    <w:p w14:paraId="083150E6">
      <w:pPr>
        <w:pStyle w:val="7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Chars="0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</w:rPr>
        <w:t>Extended Materials and Methods</w:t>
      </w:r>
    </w:p>
    <w:p w14:paraId="170DBF1B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rPr>
          <w:rFonts w:hint="default" w:ascii="Times New Roman" w:hAnsi="Times New Roman" w:cs="Times New Roman"/>
          <w:b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</w:rPr>
        <w:t xml:space="preserve">Supplementary Table 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>S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>1-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>2</w:t>
      </w:r>
    </w:p>
    <w:p w14:paraId="4C2C74E9">
      <w:pPr>
        <w:rPr>
          <w:rFonts w:hint="default" w:ascii="Times New Roman" w:hAnsi="Times New Roman" w:cs="Times New Roman"/>
          <w:b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br w:type="page"/>
      </w:r>
    </w:p>
    <w:p w14:paraId="1BD59CF6">
      <w:pPr>
        <w:rPr>
          <w:rFonts w:hint="default" w:ascii="Times New Roman" w:hAnsi="Times New Roman" w:eastAsia="宋体" w:cs="Times New Roman"/>
          <w:b/>
          <w:bCs/>
          <w:color w:val="auto"/>
        </w:rPr>
      </w:pPr>
      <w:r>
        <w:rPr>
          <w:rFonts w:hint="default" w:ascii="Times New Roman" w:hAnsi="Times New Roman" w:cs="Times New Roman"/>
          <w:b/>
          <w:i/>
          <w:color w:val="auto"/>
          <w:sz w:val="24"/>
        </w:rPr>
        <w:t>Supplementary Figures:</w:t>
      </w:r>
    </w:p>
    <w:p w14:paraId="6486C457">
      <w:pPr>
        <w:rPr>
          <w:rFonts w:hint="default" w:ascii="Times New Roman" w:hAnsi="Times New Roman" w:eastAsia="宋体" w:cs="Times New Roman"/>
          <w:b/>
          <w:bCs/>
          <w:color w:val="auto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lang w:val="en-US" w:eastAsia="zh-CN"/>
        </w:rPr>
        <w:drawing>
          <wp:inline distT="0" distB="0" distL="114300" distR="114300">
            <wp:extent cx="4785995" cy="3118485"/>
            <wp:effectExtent l="0" t="0" r="0" b="0"/>
            <wp:docPr id="3" name="图片 3" descr="幻灯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幻灯片4"/>
                    <pic:cNvPicPr>
                      <a:picLocks noChangeAspect="1"/>
                    </pic:cNvPicPr>
                  </pic:nvPicPr>
                  <pic:blipFill>
                    <a:blip r:embed="rId4"/>
                    <a:srcRect l="6671" t="2445" r="4659" b="57527"/>
                    <a:stretch>
                      <a:fillRect/>
                    </a:stretch>
                  </pic:blipFill>
                  <pic:spPr>
                    <a:xfrm>
                      <a:off x="0" y="0"/>
                      <a:ext cx="4785995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5A88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textAlignment w:val="auto"/>
        <w:rPr>
          <w:rFonts w:hint="default" w:ascii="Times New Roman" w:hAnsi="Times New Roman" w:eastAsia="宋体" w:cs="Times New Roman"/>
          <w:b w:val="0"/>
          <w:bCs w:val="0"/>
          <w:color w:val="auto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auto"/>
        </w:rPr>
        <w:t>Figure S</w:t>
      </w:r>
      <w:r>
        <w:rPr>
          <w:rFonts w:hint="default" w:ascii="Times New Roman" w:hAnsi="Times New Roman" w:eastAsia="宋体" w:cs="Times New Roman"/>
          <w:b/>
          <w:bCs/>
          <w:color w:val="auto"/>
          <w:lang w:val="en-US" w:eastAsia="zh-CN"/>
        </w:rPr>
        <w:t xml:space="preserve">1 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  <w:lang w:val="en-US" w:eastAsia="zh-CN"/>
        </w:rPr>
        <w:t xml:space="preserve">A. </w:t>
      </w: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  <w:t xml:space="preserve">Expression levels of Fibronectin, </w:t>
      </w:r>
      <w:r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  <w:t>COL-III</w:t>
      </w: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  <w:t xml:space="preserve">, </w:t>
      </w:r>
      <w:r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  <w:t>COL-I</w:t>
      </w: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  <w:t>, α-SMA, and TGF-β in kidney tissues of WT and Gsdmd</w:t>
      </w: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  <w:vertAlign w:val="superscript"/>
          <w:lang w:val="en-US" w:eastAsia="zh-CN"/>
        </w:rPr>
        <w:t>-/-</w:t>
      </w: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  <w:t xml:space="preserve"> mice induced by Ang II. 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  <w:lang w:val="en-US" w:eastAsia="zh-CN"/>
        </w:rPr>
        <w:t>B</w:t>
      </w: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  <w:t xml:space="preserve">. The Corresponding statistical results of 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</w:rPr>
        <w:t>Figure S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lang w:val="en-US" w:eastAsia="zh-CN"/>
        </w:rPr>
        <w:t xml:space="preserve">A (n = 6). </w:t>
      </w:r>
      <w:r>
        <w:rPr>
          <w:rFonts w:hint="default" w:ascii="Times New Roman" w:hAnsi="Times New Roman" w:eastAsia="宋体" w:cs="Times New Roman"/>
          <w:b/>
          <w:bCs/>
          <w:color w:val="auto"/>
          <w:lang w:val="en-US" w:eastAsia="zh-CN"/>
        </w:rPr>
        <w:t>C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lang w:val="en-US" w:eastAsia="zh-CN"/>
        </w:rPr>
        <w:t xml:space="preserve">. IL-6, Tnf-α, Cxcl1, Ccl2, Vcam1, Icam1 mRNA levels in kidney tissue from </w:t>
      </w: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  <w:t>WT and Gsdmd</w:t>
      </w: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  <w:vertAlign w:val="superscript"/>
          <w:lang w:val="en-US" w:eastAsia="zh-CN"/>
        </w:rPr>
        <w:t>-/-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lang w:val="en-US" w:eastAsia="zh-CN"/>
        </w:rPr>
        <w:t xml:space="preserve"> mice induced by Ang II (n = 6). 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 xml:space="preserve">****, </w:t>
      </w:r>
      <w:r>
        <w:rPr>
          <w:rFonts w:hint="default" w:ascii="Times New Roman" w:hAnsi="Times New Roman" w:cs="Times New Roman"/>
          <w:i/>
          <w:iCs/>
          <w:color w:val="auto"/>
          <w:sz w:val="24"/>
          <w:szCs w:val="24"/>
        </w:rPr>
        <w:t>P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 xml:space="preserve"> &lt; 0.0001; ***, </w:t>
      </w:r>
      <w:r>
        <w:rPr>
          <w:rFonts w:hint="default" w:ascii="Times New Roman" w:hAnsi="Times New Roman" w:cs="Times New Roman"/>
          <w:i/>
          <w:iCs/>
          <w:color w:val="auto"/>
          <w:sz w:val="24"/>
          <w:szCs w:val="24"/>
        </w:rPr>
        <w:t>P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 xml:space="preserve"> &lt; 0.001; **, </w:t>
      </w:r>
      <w:r>
        <w:rPr>
          <w:rFonts w:hint="default" w:ascii="Times New Roman" w:hAnsi="Times New Roman" w:cs="Times New Roman"/>
          <w:i/>
          <w:iCs/>
          <w:color w:val="auto"/>
          <w:sz w:val="24"/>
          <w:szCs w:val="24"/>
        </w:rPr>
        <w:t>P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 xml:space="preserve"> &lt; 0.01; *, </w:t>
      </w:r>
      <w:r>
        <w:rPr>
          <w:rFonts w:hint="default" w:ascii="Times New Roman" w:hAnsi="Times New Roman" w:cs="Times New Roman"/>
          <w:i/>
          <w:iCs/>
          <w:color w:val="auto"/>
          <w:sz w:val="24"/>
          <w:szCs w:val="24"/>
        </w:rPr>
        <w:t xml:space="preserve">P 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>&lt; 0.05.</w:t>
      </w:r>
    </w:p>
    <w:p w14:paraId="2746485E">
      <w:pPr>
        <w:rPr>
          <w:rFonts w:hint="default" w:ascii="Times New Roman" w:hAnsi="Times New Roman" w:eastAsia="宋体" w:cs="Times New Roman"/>
          <w:b w:val="0"/>
          <w:bCs w:val="0"/>
          <w:color w:val="auto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lang w:val="en-US" w:eastAsia="zh-CN"/>
        </w:rPr>
        <w:br w:type="page"/>
      </w:r>
    </w:p>
    <w:p w14:paraId="10EB0F72">
      <w:pPr>
        <w:spacing w:line="480" w:lineRule="auto"/>
        <w:rPr>
          <w:rFonts w:hint="eastAsia" w:ascii="Times New Roman" w:hAnsi="Times New Roman" w:cs="Times New Roman" w:eastAsiaTheme="minorEastAsia"/>
          <w:color w:val="auto"/>
          <w:lang w:eastAsia="zh-CN"/>
        </w:rPr>
      </w:pPr>
      <w:r>
        <w:rPr>
          <w:rFonts w:hint="eastAsia" w:ascii="Times New Roman" w:hAnsi="Times New Roman" w:cs="Times New Roman" w:eastAsiaTheme="minorEastAsia"/>
          <w:color w:val="auto"/>
          <w:lang w:eastAsia="zh-CN"/>
        </w:rPr>
        <w:drawing>
          <wp:inline distT="0" distB="0" distL="114300" distR="114300">
            <wp:extent cx="4862195" cy="3234055"/>
            <wp:effectExtent l="0" t="0" r="0" b="0"/>
            <wp:docPr id="4" name="图片 4" descr="幻灯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幻灯片5"/>
                    <pic:cNvPicPr>
                      <a:picLocks noChangeAspect="1"/>
                    </pic:cNvPicPr>
                  </pic:nvPicPr>
                  <pic:blipFill>
                    <a:blip r:embed="rId5"/>
                    <a:srcRect l="6906" t="5803" r="3012" b="52686"/>
                    <a:stretch>
                      <a:fillRect/>
                    </a:stretch>
                  </pic:blipFill>
                  <pic:spPr>
                    <a:xfrm>
                      <a:off x="0" y="0"/>
                      <a:ext cx="4862195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B9F8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auto"/>
        </w:rPr>
        <w:t>Figure S</w:t>
      </w:r>
      <w:r>
        <w:rPr>
          <w:rFonts w:hint="default" w:ascii="Times New Roman" w:hAnsi="Times New Roman" w:eastAsia="宋体" w:cs="Times New Roman"/>
          <w:b/>
          <w:bCs/>
          <w:color w:val="auto"/>
          <w:lang w:val="en-US" w:eastAsia="zh-CN"/>
        </w:rPr>
        <w:t xml:space="preserve">2 A. </w:t>
      </w: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  <w:t>H&amp;E staining depicting the histological alterations in kidney tissues of WT and Gsdmd</w:t>
      </w: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  <w:vertAlign w:val="superscript"/>
          <w:lang w:val="en-US" w:eastAsia="zh-CN"/>
        </w:rPr>
        <w:t>-/-</w:t>
      </w: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  <w:t xml:space="preserve"> mice on </w:t>
      </w:r>
      <w:r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  <w:t>r</w:t>
      </w:r>
      <w:r>
        <w:rPr>
          <w:rFonts w:hint="default" w:ascii="Times New Roman" w:hAnsi="Times New Roman" w:cs="Times New Roman"/>
          <w:color w:val="auto"/>
          <w:szCs w:val="21"/>
        </w:rPr>
        <w:t>enal ischemia-reperfusion</w:t>
      </w:r>
      <w:r>
        <w:rPr>
          <w:rFonts w:hint="eastAsia" w:ascii="Times New Roman" w:hAnsi="Times New Roman" w:cs="Times New Roman"/>
          <w:color w:val="auto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szCs w:val="21"/>
        </w:rPr>
        <w:t>injury</w:t>
      </w:r>
      <w:r>
        <w:rPr>
          <w:rFonts w:hint="eastAsia" w:ascii="Times New Roman" w:hAnsi="Times New Roman" w:cs="Times New Roman"/>
          <w:color w:val="auto"/>
          <w:szCs w:val="21"/>
          <w:lang w:val="en-US" w:eastAsia="zh-CN"/>
        </w:rPr>
        <w:t xml:space="preserve"> (IRI)</w:t>
      </w:r>
      <w:r>
        <w:rPr>
          <w:rFonts w:hint="default" w:ascii="Times New Roman" w:hAnsi="Times New Roman" w:cs="Times New Roman"/>
          <w:color w:val="auto"/>
          <w:szCs w:val="21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  <w:t xml:space="preserve">, (scale bar = 50 μm). 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  <w:lang w:val="en-US" w:eastAsia="zh-CN"/>
        </w:rPr>
        <w:t xml:space="preserve">B. </w:t>
      </w: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  <w:t xml:space="preserve">Expression levels of Fibronectin, </w:t>
      </w:r>
      <w:r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  <w:t>COL-III</w:t>
      </w: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  <w:t xml:space="preserve">, </w:t>
      </w:r>
      <w:r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  <w:t>COL-I</w:t>
      </w: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  <w:t>, α-SMA, and TGF-β in kidney tissues of WT and Gsdmd</w:t>
      </w: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  <w:vertAlign w:val="superscript"/>
          <w:lang w:val="en-US" w:eastAsia="zh-CN"/>
        </w:rPr>
        <w:t>-/-</w:t>
      </w: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  <w:t xml:space="preserve"> mice on </w:t>
      </w:r>
      <w:r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  <w:t>IRI</w:t>
      </w: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  <w:t xml:space="preserve">. 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  <w:lang w:val="en-US" w:eastAsia="zh-CN"/>
        </w:rPr>
        <w:t>C</w:t>
      </w: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  <w:t xml:space="preserve">.The Corresponding statistical results of 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</w:rPr>
        <w:t>Figure S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lang w:val="en-US" w:eastAsia="zh-CN"/>
        </w:rPr>
        <w:t>3B.（n=6）.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 xml:space="preserve">****, </w:t>
      </w:r>
      <w:r>
        <w:rPr>
          <w:rFonts w:hint="default" w:ascii="Times New Roman" w:hAnsi="Times New Roman" w:cs="Times New Roman"/>
          <w:i/>
          <w:iCs/>
          <w:color w:val="auto"/>
          <w:sz w:val="24"/>
          <w:szCs w:val="24"/>
        </w:rPr>
        <w:t>P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 xml:space="preserve"> &lt; 0.0001.</w:t>
      </w:r>
    </w:p>
    <w:p w14:paraId="2BBC100F">
      <w:pPr>
        <w:rPr>
          <w:rFonts w:hint="default" w:ascii="Times New Roman" w:hAnsi="Times New Roman" w:eastAsia="宋体" w:cs="Times New Roman"/>
          <w:b/>
          <w:bCs/>
          <w:color w:val="auto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lang w:val="en-US" w:eastAsia="zh-CN"/>
        </w:rPr>
        <w:br w:type="page"/>
      </w:r>
    </w:p>
    <w:p w14:paraId="640E8B4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114300" distR="114300">
            <wp:extent cx="5270500" cy="3093720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A4AA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eastAsia="宋体" w:cs="Times New Roman"/>
          <w:b/>
          <w:bCs/>
          <w:color w:val="auto"/>
        </w:rPr>
        <w:t>Figure S</w:t>
      </w:r>
      <w:r>
        <w:rPr>
          <w:rFonts w:hint="default" w:ascii="Times New Roman" w:hAnsi="Times New Roman" w:eastAsia="宋体" w:cs="Times New Roman"/>
          <w:b/>
          <w:bCs/>
          <w:color w:val="auto"/>
          <w:lang w:val="en-US" w:eastAsia="zh-CN"/>
        </w:rPr>
        <w:t>3</w:t>
      </w:r>
      <w:r>
        <w:rPr>
          <w:rFonts w:hint="default" w:ascii="Times New Roman" w:hAnsi="Times New Roman" w:cs="Times New Roman"/>
          <w:b/>
          <w:bCs/>
          <w:color w:val="auto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  <w:t xml:space="preserve">Top 30 of </w:t>
      </w: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</w:rPr>
        <w:t>Gene Set Enrichment Analysis (GSEA) on the transcriptomic data</w:t>
      </w:r>
      <w:r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  <w:t xml:space="preserve"> (</w:t>
      </w: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  <w:t>kidney of Gsdmd</w:t>
      </w: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  <w:vertAlign w:val="superscript"/>
          <w:lang w:val="en-US" w:eastAsia="zh-CN"/>
        </w:rPr>
        <w:t>-/-</w:t>
      </w: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  <w:t>+Ang II vs WT+Ang II, n = 3</w:t>
      </w:r>
      <w:r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  <w:t>)</w:t>
      </w: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  <w:t>. N</w:t>
      </w: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</w:rPr>
        <w:t>ormalize the enrichment score for each gene set to account for the size of the set,</w:t>
      </w: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</w:rPr>
        <w:t>yielding a normalized enrichment score (NES)</w:t>
      </w: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  <w:t xml:space="preserve">. </w:t>
      </w: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</w:rPr>
        <w:t>A positive NES indicates upregulation of the gene set, while a negative NES indicates downregulation</w:t>
      </w: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p w14:paraId="51E773A4">
      <w:pPr>
        <w:rPr>
          <w:rFonts w:hint="default" w:ascii="Times New Roman" w:hAnsi="Times New Roman" w:cs="Times New Roman"/>
          <w:b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b/>
          <w:color w:val="auto"/>
          <w:sz w:val="24"/>
          <w:szCs w:val="24"/>
        </w:rPr>
        <w:br w:type="page"/>
      </w:r>
    </w:p>
    <w:p w14:paraId="11610BDD">
      <w:pPr>
        <w:rPr>
          <w:rFonts w:hint="default" w:ascii="Times New Roman" w:hAnsi="Times New Roman" w:cs="Times New Roman" w:eastAsiaTheme="minorEastAsia"/>
          <w:color w:val="auto"/>
          <w:lang w:eastAsia="zh-CN"/>
        </w:rPr>
      </w:pPr>
      <w:r>
        <w:rPr>
          <w:rFonts w:hint="default" w:ascii="Times New Roman" w:hAnsi="Times New Roman" w:cs="Times New Roman" w:eastAsiaTheme="minorEastAsia"/>
          <w:color w:val="auto"/>
          <w:lang w:eastAsia="zh-CN"/>
        </w:rPr>
        <w:drawing>
          <wp:inline distT="0" distB="0" distL="114300" distR="114300">
            <wp:extent cx="3935095" cy="3173730"/>
            <wp:effectExtent l="0" t="0" r="0" b="0"/>
            <wp:docPr id="6" name="图片 6" descr="幻灯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幻灯片6"/>
                    <pic:cNvPicPr>
                      <a:picLocks noChangeAspect="1"/>
                    </pic:cNvPicPr>
                  </pic:nvPicPr>
                  <pic:blipFill>
                    <a:blip r:embed="rId7"/>
                    <a:srcRect l="6082" t="5624" r="21012" b="53639"/>
                    <a:stretch>
                      <a:fillRect/>
                    </a:stretch>
                  </pic:blipFill>
                  <pic:spPr>
                    <a:xfrm>
                      <a:off x="0" y="0"/>
                      <a:ext cx="3935095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GoBack"/>
      <w:bookmarkEnd w:id="4"/>
    </w:p>
    <w:p w14:paraId="183E1C4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auto"/>
        </w:rPr>
        <w:t>Figure S</w:t>
      </w:r>
      <w:r>
        <w:rPr>
          <w:rFonts w:hint="default" w:ascii="Times New Roman" w:hAnsi="Times New Roman" w:eastAsia="宋体" w:cs="Times New Roman"/>
          <w:b/>
          <w:bCs/>
          <w:color w:val="auto"/>
          <w:lang w:val="en-US" w:eastAsia="zh-CN"/>
        </w:rPr>
        <w:t xml:space="preserve">4 </w:t>
      </w: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  <w:lang w:val="en-US"/>
        </w:rPr>
        <w:t xml:space="preserve">GI-Y1 effectively attenuated Ang II-mediated fibrosis in TCMK-1 cells in a dose-dependent manner 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  <w:lang w:val="en-US" w:eastAsia="zh-CN"/>
        </w:rPr>
        <w:t>A</w:t>
      </w: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  <w:t xml:space="preserve">. </w:t>
      </w: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</w:rPr>
        <w:t>The</w:t>
      </w: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  <w:t xml:space="preserve"> viability</w:t>
      </w: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</w:rPr>
        <w:t xml:space="preserve"> of TCMK-1 cells under the effect of different doses of GI-Y1 showed no statistically significant difference among groups.</w:t>
      </w: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  <w:lang w:val="en-US" w:eastAsia="zh-CN"/>
        </w:rPr>
        <w:t>B-C</w:t>
      </w: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  <w:t xml:space="preserve">. Expression levels of Fibronectin, </w:t>
      </w:r>
      <w:r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  <w:t>COL-III</w:t>
      </w: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  <w:t xml:space="preserve">, </w:t>
      </w:r>
      <w:r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  <w:t>COL-I</w:t>
      </w: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  <w:lang w:val="en-US" w:eastAsia="zh-CN"/>
        </w:rPr>
        <w:t xml:space="preserve">, α-SMA, and TGF-β in TCMK-1 cells under different doses of GI-Y1 stimulation with AngII and the corresponding statistical results (n = 3). 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 xml:space="preserve">****, </w:t>
      </w:r>
      <w:r>
        <w:rPr>
          <w:rFonts w:hint="default" w:ascii="Times New Roman" w:hAnsi="Times New Roman" w:cs="Times New Roman"/>
          <w:i/>
          <w:iCs/>
          <w:color w:val="auto"/>
          <w:sz w:val="24"/>
          <w:szCs w:val="24"/>
        </w:rPr>
        <w:t>P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 xml:space="preserve"> &lt; 0.0001; ***, </w:t>
      </w:r>
      <w:r>
        <w:rPr>
          <w:rFonts w:hint="default" w:ascii="Times New Roman" w:hAnsi="Times New Roman" w:cs="Times New Roman"/>
          <w:i/>
          <w:iCs/>
          <w:color w:val="auto"/>
          <w:sz w:val="24"/>
          <w:szCs w:val="24"/>
        </w:rPr>
        <w:t>P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 xml:space="preserve"> &lt; 0.001; **, </w:t>
      </w:r>
      <w:r>
        <w:rPr>
          <w:rFonts w:hint="default" w:ascii="Times New Roman" w:hAnsi="Times New Roman" w:cs="Times New Roman"/>
          <w:i/>
          <w:iCs/>
          <w:color w:val="auto"/>
          <w:sz w:val="24"/>
          <w:szCs w:val="24"/>
        </w:rPr>
        <w:t>P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 xml:space="preserve"> &lt; 0.01; *, </w:t>
      </w:r>
      <w:r>
        <w:rPr>
          <w:rFonts w:hint="default" w:ascii="Times New Roman" w:hAnsi="Times New Roman" w:cs="Times New Roman"/>
          <w:i/>
          <w:iCs/>
          <w:color w:val="auto"/>
          <w:sz w:val="24"/>
          <w:szCs w:val="24"/>
        </w:rPr>
        <w:t xml:space="preserve">P 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>&lt; 0.05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bCs/>
          <w:color w:val="auto"/>
          <w:sz w:val="24"/>
          <w:szCs w:val="24"/>
        </w:rPr>
        <w:t xml:space="preserve">ns, </w:t>
      </w:r>
      <w:r>
        <w:rPr>
          <w:rFonts w:hint="default" w:ascii="Times New Roman" w:hAnsi="Times New Roman" w:cs="Times New Roman"/>
          <w:i/>
          <w:iCs/>
          <w:color w:val="auto"/>
          <w:sz w:val="24"/>
          <w:szCs w:val="24"/>
        </w:rPr>
        <w:t>P</w:t>
      </w:r>
      <w:r>
        <w:rPr>
          <w:rFonts w:hint="default" w:ascii="Times New Roman" w:hAnsi="Times New Roman" w:cs="Times New Roman"/>
          <w:bCs/>
          <w:color w:val="auto"/>
          <w:sz w:val="24"/>
          <w:szCs w:val="24"/>
        </w:rPr>
        <w:t xml:space="preserve"> &gt; 0.05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>.</w:t>
      </w:r>
    </w:p>
    <w:p w14:paraId="3E5DBF58">
      <w:pPr>
        <w:spacing w:line="480" w:lineRule="auto"/>
        <w:rPr>
          <w:rFonts w:hint="default" w:ascii="Times New Roman" w:hAnsi="Times New Roman" w:eastAsia="宋体" w:cs="Times New Roman"/>
          <w:b/>
          <w:bCs/>
          <w:color w:val="auto"/>
          <w:lang w:val="en-US" w:eastAsia="zh-CN"/>
        </w:rPr>
      </w:pPr>
      <w:r>
        <w:rPr>
          <w:rFonts w:hint="default" w:ascii="Times New Roman" w:hAnsi="Times New Roman" w:cs="Times New Roman"/>
          <w:b/>
          <w:color w:val="auto"/>
          <w:sz w:val="24"/>
          <w:szCs w:val="24"/>
        </w:rPr>
        <w:br w:type="page"/>
      </w:r>
    </w:p>
    <w:p w14:paraId="68D7C6F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rPr>
          <w:rFonts w:hint="default" w:ascii="Times New Roman" w:hAnsi="Times New Roman" w:cs="Times New Roman"/>
          <w:b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b/>
          <w:color w:val="auto"/>
          <w:sz w:val="24"/>
          <w:szCs w:val="24"/>
        </w:rPr>
        <w:t>Extended Materials and Methods</w:t>
      </w:r>
    </w:p>
    <w:p w14:paraId="31E3BB5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rPr>
          <w:rFonts w:hint="default" w:ascii="Times New Roman" w:hAnsi="Times New Roman" w:cs="Times New Roman"/>
          <w:b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b/>
          <w:color w:val="auto"/>
          <w:sz w:val="24"/>
          <w:szCs w:val="24"/>
        </w:rPr>
        <w:t>Reagents</w:t>
      </w:r>
    </w:p>
    <w:p w14:paraId="62E3165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</w:rPr>
        <w:t xml:space="preserve">Ang II (HY-13948) was purchased from MedChemExpress USA (NJ, USA), TGN-020 (S0158) was purchased from Selleck Chemicals LLC. Antibodies against </w:t>
      </w:r>
      <w:bookmarkStart w:id="0" w:name="OLE_LINK25"/>
      <w:r>
        <w:rPr>
          <w:rFonts w:hint="default" w:ascii="Times New Roman" w:hAnsi="Times New Roman" w:cs="Times New Roman"/>
          <w:color w:val="auto"/>
          <w:sz w:val="24"/>
          <w:szCs w:val="24"/>
        </w:rPr>
        <w:t>Dersmin</w:t>
      </w:r>
      <w:bookmarkEnd w:id="0"/>
      <w:r>
        <w:rPr>
          <w:rFonts w:hint="default" w:ascii="Times New Roman" w:hAnsi="Times New Roman" w:cs="Times New Roman"/>
          <w:color w:val="auto"/>
          <w:sz w:val="24"/>
          <w:szCs w:val="24"/>
        </w:rPr>
        <w:t xml:space="preserve"> (5332S, 1:1000), alpha smooth muscle actin (α-SMA) (ab124964, 1:1000) and transforming growth factor β (TGF-β) (3711S, 1:200-1:1000) were purchased from Cell Signaling Technology (Danvers, MA, USA). Antibodies against GSDMD (ab219800, 1:1000) and 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</w:rPr>
        <w:t>WT1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 xml:space="preserve"> (ab89901, 1:1000) were purchased from Abcam (Cambridge, UK). Antibody against aquaporin 4 (AQP4) (HA500125, 1:1000) was purchased from Huabio (Wuhan, China). Antibodies against Cadherin-16 (15107-1-AP, 1:200), GATA2 (11103-1-AP, 1:50) and collagen type 1 (</w:t>
      </w:r>
      <w:r>
        <w:rPr>
          <w:rFonts w:hint="eastAsia" w:ascii="Times New Roman" w:hAnsi="Times New Roman" w:cs="Times New Roman"/>
          <w:color w:val="auto"/>
          <w:sz w:val="24"/>
          <w:szCs w:val="24"/>
          <w:lang w:eastAsia="zh-CN"/>
        </w:rPr>
        <w:t>COL-I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 xml:space="preserve">) (67288-1-Ig, 1:200-1:1000) were purchased from ProteinTech Group (Chicago, IL, USA). </w:t>
      </w:r>
      <w:bookmarkStart w:id="1" w:name="OLE_LINK20"/>
      <w:bookmarkStart w:id="2" w:name="OLE_LINK18"/>
      <w:r>
        <w:rPr>
          <w:rFonts w:hint="default" w:ascii="Times New Roman" w:hAnsi="Times New Roman" w:cs="Times New Roman"/>
          <w:color w:val="auto"/>
          <w:sz w:val="24"/>
          <w:szCs w:val="24"/>
        </w:rPr>
        <w:t>The secondary horseradish peroxidase coupling antibodies</w:t>
      </w:r>
      <w:bookmarkEnd w:id="1"/>
      <w:r>
        <w:rPr>
          <w:rFonts w:hint="default" w:ascii="Times New Roman" w:hAnsi="Times New Roman" w:cs="Times New Roman"/>
          <w:color w:val="auto"/>
          <w:sz w:val="24"/>
          <w:szCs w:val="24"/>
        </w:rPr>
        <w:t xml:space="preserve"> for immunoblotting were purchased from </w:t>
      </w:r>
      <w:bookmarkEnd w:id="2"/>
      <w:r>
        <w:rPr>
          <w:rFonts w:hint="default" w:ascii="Times New Roman" w:hAnsi="Times New Roman" w:cs="Times New Roman"/>
          <w:color w:val="auto"/>
          <w:sz w:val="24"/>
          <w:szCs w:val="24"/>
        </w:rPr>
        <w:t xml:space="preserve">Beyotime Biotechnology (A0208 and A0206, 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Shanghai, China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>).</w:t>
      </w:r>
    </w:p>
    <w:p w14:paraId="5A9B5B2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rPr>
          <w:rFonts w:hint="default" w:ascii="Times New Roman" w:hAnsi="Times New Roman" w:cs="Times New Roman"/>
          <w:b/>
          <w:color w:val="auto"/>
          <w:sz w:val="24"/>
          <w:szCs w:val="24"/>
        </w:rPr>
      </w:pPr>
    </w:p>
    <w:p w14:paraId="1F8B279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b/>
          <w:color w:val="auto"/>
          <w:sz w:val="24"/>
          <w:szCs w:val="24"/>
        </w:rPr>
        <w:t>Real-time quantitative polymerase chain reaction (</w:t>
      </w:r>
      <w:r>
        <w:rPr>
          <w:rFonts w:hint="eastAsia" w:ascii="Times New Roman" w:hAnsi="Times New Roman" w:cs="Times New Roman"/>
          <w:b/>
          <w:color w:val="auto"/>
          <w:sz w:val="24"/>
          <w:szCs w:val="24"/>
          <w:lang w:val="en-US" w:eastAsia="zh-CN"/>
        </w:rPr>
        <w:t>RT-</w:t>
      </w:r>
      <w:r>
        <w:rPr>
          <w:rFonts w:hint="default" w:ascii="Times New Roman" w:hAnsi="Times New Roman" w:cs="Times New Roman"/>
          <w:b/>
          <w:color w:val="auto"/>
          <w:sz w:val="24"/>
          <w:szCs w:val="24"/>
        </w:rPr>
        <w:t xml:space="preserve">PCR)               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 xml:space="preserve">                                                                                                   </w:t>
      </w:r>
    </w:p>
    <w:p w14:paraId="458DD54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</w:rPr>
        <w:t xml:space="preserve">Messenger ribonucleic acid (mRNA) levels were examined by RT-qPCR assay. TRIzol® Reagent (LifeChemicals, 15596018) was used to extract total ribonucleic acid (RNA) from cells or tissues. RNA was reverse transcribed using RevertAid™ First Strand cDNA Synthesis Kit (Fermentas, K1622) reagent. RT-qPCR was performed using SYBR® Premix Ex Taq™ II (TAKARA, RR820A) and 7300Plus Real-Time PCR System (Applied Biosystems). </w:t>
      </w:r>
      <w:r>
        <w:rPr>
          <w:rFonts w:hint="default" w:ascii="Times New Roman" w:hAnsi="Times New Roman" w:cs="Times New Roman"/>
          <w:color w:val="auto"/>
          <w:sz w:val="24"/>
          <w:szCs w:val="24"/>
          <w:lang w:eastAsia="zh-CN"/>
        </w:rPr>
        <w:t>The relative abundance of Target mRNA was adjusted based on the level of β-actin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 xml:space="preserve">. </w:t>
      </w:r>
      <w:r>
        <w:rPr>
          <w:rFonts w:hint="default" w:ascii="Times New Roman" w:hAnsi="Times New Roman" w:cs="Times New Roman"/>
          <w:color w:val="auto"/>
          <w:sz w:val="24"/>
          <w:szCs w:val="24"/>
          <w:lang w:eastAsia="zh-CN"/>
        </w:rPr>
        <w:t>RT-qPCR analysis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 xml:space="preserve"> was performed by  </w:t>
      </w:r>
      <w:r>
        <w:rPr>
          <w:rFonts w:hint="default" w:ascii="Times New Roman" w:hAnsi="Times New Roman" w:cs="Times New Roman"/>
          <w:color w:val="auto"/>
          <w:sz w:val="24"/>
          <w:szCs w:val="24"/>
          <w:lang w:eastAsia="zh-CN"/>
        </w:rPr>
        <w:t>ΔΔ-Ct algorithm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>.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sz w:val="24"/>
          <w:szCs w:val="24"/>
          <w:lang w:eastAsia="zh-CN"/>
        </w:rPr>
        <w:t>The primer sequences are presented in Supplementary Table S1 for reference.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 xml:space="preserve">                                                                                                       </w:t>
      </w:r>
    </w:p>
    <w:p w14:paraId="583525E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rPr>
          <w:rFonts w:hint="default" w:ascii="Times New Roman" w:hAnsi="Times New Roman" w:cs="Times New Roman"/>
          <w:color w:val="auto"/>
          <w:sz w:val="24"/>
          <w:szCs w:val="24"/>
        </w:rPr>
      </w:pPr>
    </w:p>
    <w:p w14:paraId="174D4C7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rPr>
          <w:rFonts w:hint="default" w:ascii="Times New Roman" w:hAnsi="Times New Roman" w:cs="Times New Roman"/>
          <w:b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b/>
          <w:color w:val="auto"/>
          <w:sz w:val="24"/>
          <w:szCs w:val="24"/>
        </w:rPr>
        <w:t xml:space="preserve">Western blot </w:t>
      </w:r>
    </w:p>
    <w:p w14:paraId="21EA722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</w:rPr>
        <w:t xml:space="preserve">Protein was extracted from cells and tissues </w:t>
      </w:r>
      <w:r>
        <w:rPr>
          <w:rFonts w:hint="default" w:ascii="Times New Roman" w:hAnsi="Times New Roman" w:cs="Times New Roman"/>
          <w:color w:val="auto"/>
          <w:sz w:val="24"/>
          <w:szCs w:val="24"/>
          <w:lang w:eastAsia="zh-Hans"/>
        </w:rPr>
        <w:t xml:space="preserve">by 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>using lysis buffer (AR0103-100, Boster Biological Technology, Pleasanton, CA). BCA Protein assay (Solarbio, Beijing, China) was used to determine the protein concentration. Equivalent quantities of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 xml:space="preserve"> p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 xml:space="preserve">roteins were added to the pores of the gel and different molecular weights of the proteins were separated by electrophoresis. </w:t>
      </w:r>
      <w:r>
        <w:rPr>
          <w:rFonts w:hint="default" w:ascii="Times New Roman" w:hAnsi="Times New Roman" w:cs="Times New Roman"/>
          <w:color w:val="auto"/>
          <w:sz w:val="24"/>
          <w:szCs w:val="24"/>
          <w:lang w:eastAsia="zh-CN"/>
        </w:rPr>
        <w:t>Proteins were then transferred onto nitrocellulose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 xml:space="preserve"> (NC)</w:t>
      </w:r>
      <w:r>
        <w:rPr>
          <w:rFonts w:hint="default" w:ascii="Times New Roman" w:hAnsi="Times New Roman" w:cs="Times New Roman"/>
          <w:color w:val="auto"/>
          <w:sz w:val="24"/>
          <w:szCs w:val="24"/>
          <w:lang w:eastAsia="zh-CN"/>
        </w:rPr>
        <w:t xml:space="preserve"> membrane membranes and blocked for 1 hour at room temperature. Following incubation in primary antibodies overnight at 4°C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 xml:space="preserve">, the membrane was then transferred to the corresponding secondary antibodies solution and incubated for another 1 hour at room temperature. Following washing in TBST three times, membranes were detected by the FG Super Sensitive ECL (Meilunbio, Dalian, China). Image J software (Version 1.53e, NIH, Bethesda, MD, USA) was used to quantify band intensities. </w:t>
      </w:r>
    </w:p>
    <w:p w14:paraId="7185ABF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rPr>
          <w:rFonts w:hint="default" w:ascii="Times New Roman" w:hAnsi="Times New Roman" w:cs="Times New Roman"/>
          <w:color w:val="auto"/>
          <w:sz w:val="24"/>
          <w:szCs w:val="24"/>
        </w:rPr>
      </w:pPr>
    </w:p>
    <w:p w14:paraId="5A8340C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b/>
          <w:color w:val="auto"/>
          <w:sz w:val="24"/>
          <w:szCs w:val="24"/>
        </w:rPr>
        <w:t>Kidney tissue staining</w:t>
      </w:r>
    </w:p>
    <w:p w14:paraId="307B62B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eastAsia="zh-CN"/>
        </w:rPr>
        <w:t>The mouse kidney samples were fixed in 4% neutral buffered formalin and then embedded in paraffin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 xml:space="preserve">. </w:t>
      </w:r>
      <w:r>
        <w:rPr>
          <w:rFonts w:hint="default" w:ascii="Times New Roman" w:hAnsi="Times New Roman" w:cs="Times New Roman"/>
          <w:color w:val="auto"/>
          <w:sz w:val="24"/>
          <w:szCs w:val="24"/>
          <w:lang w:eastAsia="zh-CN"/>
        </w:rPr>
        <w:t>Tissue samples were sectioned into slices with a thickness of 5 µm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>. Subsequently, we used hematoxylin-eosin(H&amp;E) staining (Solarbio,G1120) to analyze the specific structure of the kidney tissue sections, 0.1% Sirius Red solution (Solarbio, S8060) to detect collagen deposition, and Masson trichromatic staining (Solarbio, G1340-7) to assess tubulostromal lesions and fibrosis.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 xml:space="preserve">The degree of 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 xml:space="preserve">these 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>renal damage was evaluate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>d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>wuth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 xml:space="preserve"> Image J software.</w:t>
      </w:r>
    </w:p>
    <w:p w14:paraId="7ED7006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</w:pPr>
      <w:bookmarkStart w:id="3" w:name="OLE_LINK4"/>
      <w:r>
        <w:rPr>
          <w:rFonts w:hint="default" w:ascii="Times New Roman" w:hAnsi="Times New Roman" w:cs="Times New Roman"/>
          <w:color w:val="auto"/>
          <w:sz w:val="24"/>
          <w:szCs w:val="24"/>
        </w:rPr>
        <w:t xml:space="preserve">We performed antigen repair of tissues with sodium citrate solution, and quenched peroxidase with 3% H2O2, then the tissues were blocked with 5% bovine serum albumin (BSA) (Solarbio, A8020) for 30 min, followed by primary antibody incubation with </w:t>
      </w:r>
      <w:r>
        <w:rPr>
          <w:rFonts w:hint="eastAsia" w:ascii="Times New Roman" w:hAnsi="Times New Roman" w:cs="Times New Roman"/>
          <w:color w:val="auto"/>
          <w:sz w:val="24"/>
          <w:szCs w:val="24"/>
          <w:lang w:eastAsia="zh-CN"/>
        </w:rPr>
        <w:t>COL-I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>(1:200) and TGF-β(1:200). Finally, HRP-conjugated secondary antibody (Beyotime Biotechnology, 1:2000, A0216) and diaminobenzidine (DAB, Solarbio, DA1010) were used for detection. After staining with hematoxylin, images were captured using an Olympus TH4-200 microscope imaging system (Olympus, Tokyo, Japan).</w:t>
      </w:r>
      <w:bookmarkEnd w:id="3"/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>For immunofluorescence, the kidney sample from mice was embedded in optimum cutting temperature (OCT) compound. After rapid freezing, the kidney tissue was sectioned into cryosections with a thickness of 5 µm. The cryosections were fixed with 4% paraformaldehyde and blocked in 5% BSA. Subsequently, they were incubated overnight with the primary antibody Dersmin (1:200), WT1 (1:200) and Cadherin-16 (1:200), and following incubation with the secondary antibody Alexa-488/647 (Abcam, 1:5000) at room temperature for 1 h. The tissue sections were treated with a DAPI-containing anti-fluorescence quenching agent and sealed. Images were observed using a fluorescence microscope.</w:t>
      </w:r>
    </w:p>
    <w:p w14:paraId="5716610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</w:pPr>
    </w:p>
    <w:p w14:paraId="5C1FE00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rPr>
          <w:rFonts w:hint="default" w:ascii="Times New Roman" w:hAnsi="Times New Roman" w:cs="Times New Roman"/>
          <w:b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color w:val="auto"/>
          <w:sz w:val="24"/>
          <w:szCs w:val="24"/>
          <w:lang w:val="en-US" w:eastAsia="zh-CN"/>
        </w:rPr>
        <w:t>Gene set enrichment analysis</w:t>
      </w:r>
    </w:p>
    <w:p w14:paraId="644F2D3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 xml:space="preserve">GSEA was performed using the OmicStudio tools at 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fldChar w:fldCharType="begin"/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instrText xml:space="preserve"> HYPERLINK "https://www.omicstudio.cn/tool." </w:instrTex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fldChar w:fldCharType="separate"/>
      </w:r>
      <w:r>
        <w:rPr>
          <w:rStyle w:val="6"/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>https://www.omicstudio.cn/tool.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fldChar w:fldCharType="end"/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 xml:space="preserve"> The plots was drawn based on the R version 4.1.3 (2022-03-10) on the OmicStudio platform (https://www.omicstudio.cn).</w:t>
      </w:r>
    </w:p>
    <w:p w14:paraId="325D216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</w:pPr>
    </w:p>
    <w:p w14:paraId="48AF8AA1">
      <w:pPr>
        <w:rPr>
          <w:rFonts w:hint="default" w:ascii="Times New Roman" w:hAnsi="Times New Roman" w:cs="Times New Roman"/>
          <w:b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color w:val="auto"/>
          <w:sz w:val="24"/>
          <w:szCs w:val="24"/>
          <w:lang w:val="en-US" w:eastAsia="zh-CN"/>
        </w:rPr>
        <w:t>Renal ischemia-reperfusion injury model</w:t>
      </w:r>
    </w:p>
    <w:p w14:paraId="6449AB9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 xml:space="preserve">To establish a mouse model of acute kidney injury, surgery was performed under 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 xml:space="preserve">general 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 xml:space="preserve">anesthesia 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induced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 xml:space="preserve"> by sodium pentobarbital (30mg/kg, administered intraperitoneally). The right kidney was removed, and the left renal artery was occluded using a non-invasive vascular clamp for 30 minutes to induce ischemia. After confirming the onset of ischemia, reperfusion was restored, and following a 5-minute observation period to ensure procedural success, the surgical wound was sutured closed.</w:t>
      </w:r>
    </w:p>
    <w:p w14:paraId="6D5D56E2">
      <w:pP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br w:type="page"/>
      </w:r>
    </w:p>
    <w:p w14:paraId="770F43C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rPr>
          <w:rFonts w:hint="default" w:ascii="Times New Roman" w:hAnsi="Times New Roman" w:cs="Times New Roman"/>
          <w:b/>
          <w:i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b/>
          <w:i/>
          <w:color w:val="auto"/>
          <w:sz w:val="24"/>
          <w:szCs w:val="24"/>
        </w:rPr>
        <w:t>Supplementary Tables:</w:t>
      </w:r>
    </w:p>
    <w:p w14:paraId="4A81497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color w:val="auto"/>
          <w:sz w:val="24"/>
          <w:szCs w:val="24"/>
        </w:rPr>
        <w:t xml:space="preserve">Table </w:t>
      </w:r>
      <w:r>
        <w:rPr>
          <w:rFonts w:hint="default" w:ascii="Times New Roman" w:hAnsi="Times New Roman" w:cs="Times New Roman"/>
          <w:b/>
          <w:color w:val="auto"/>
          <w:sz w:val="24"/>
          <w:szCs w:val="24"/>
          <w:lang w:val="en-US" w:eastAsia="zh-CN"/>
        </w:rPr>
        <w:t>S</w:t>
      </w:r>
      <w:r>
        <w:rPr>
          <w:rFonts w:hint="default" w:ascii="Times New Roman" w:hAnsi="Times New Roman" w:cs="Times New Roman"/>
          <w:b/>
          <w:color w:val="auto"/>
          <w:sz w:val="24"/>
          <w:szCs w:val="24"/>
        </w:rPr>
        <w:t xml:space="preserve">1: </w:t>
      </w:r>
      <w:r>
        <w:rPr>
          <w:rFonts w:hint="default" w:ascii="Times New Roman" w:hAnsi="Times New Roman" w:cs="Times New Roman"/>
          <w:b/>
          <w:color w:val="auto"/>
          <w:sz w:val="24"/>
          <w:szCs w:val="24"/>
          <w:lang w:val="en-US" w:eastAsia="zh-CN"/>
        </w:rPr>
        <w:t>S</w:t>
      </w:r>
      <w:r>
        <w:rPr>
          <w:rFonts w:hint="default" w:ascii="Times New Roman" w:hAnsi="Times New Roman" w:cs="Times New Roman"/>
          <w:b/>
          <w:color w:val="auto"/>
          <w:sz w:val="24"/>
          <w:szCs w:val="24"/>
        </w:rPr>
        <w:t>equences for predicted binding sites of GATA2 and AQP4 promoters</w:t>
      </w:r>
    </w:p>
    <w:tbl>
      <w:tblPr>
        <w:tblStyle w:val="4"/>
        <w:tblpPr w:leftFromText="180" w:rightFromText="180" w:vertAnchor="text" w:horzAnchor="page" w:tblpX="1711" w:tblpY="222"/>
        <w:tblOverlap w:val="never"/>
        <w:tblW w:w="8225" w:type="dxa"/>
        <w:tblInd w:w="0" w:type="dxa"/>
        <w:tblBorders>
          <w:top w:val="none" w:color="auto" w:sz="0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3"/>
        <w:gridCol w:w="879"/>
        <w:gridCol w:w="1425"/>
        <w:gridCol w:w="779"/>
        <w:gridCol w:w="1004"/>
        <w:gridCol w:w="671"/>
        <w:gridCol w:w="590"/>
        <w:gridCol w:w="835"/>
        <w:gridCol w:w="1079"/>
      </w:tblGrid>
      <w:tr w14:paraId="06FDA41B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3" w:type="dxa"/>
            <w:tcBorders>
              <w:top w:val="single" w:color="auto" w:sz="4" w:space="0"/>
            </w:tcBorders>
            <w:vAlign w:val="bottom"/>
          </w:tcPr>
          <w:p w14:paraId="0AD7B5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Number</w:t>
            </w:r>
          </w:p>
        </w:tc>
        <w:tc>
          <w:tcPr>
            <w:tcW w:w="879" w:type="dxa"/>
            <w:tcBorders>
              <w:top w:val="single" w:color="auto" w:sz="4" w:space="0"/>
            </w:tcBorders>
            <w:vAlign w:val="bottom"/>
          </w:tcPr>
          <w:p w14:paraId="46E839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Matrix ID</w:t>
            </w:r>
          </w:p>
        </w:tc>
        <w:tc>
          <w:tcPr>
            <w:tcW w:w="1425" w:type="dxa"/>
            <w:tcBorders>
              <w:top w:val="single" w:color="auto" w:sz="4" w:space="0"/>
            </w:tcBorders>
            <w:vAlign w:val="bottom"/>
          </w:tcPr>
          <w:p w14:paraId="37C6EC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Name</w:t>
            </w:r>
          </w:p>
        </w:tc>
        <w:tc>
          <w:tcPr>
            <w:tcW w:w="779" w:type="dxa"/>
            <w:tcBorders>
              <w:top w:val="single" w:color="auto" w:sz="4" w:space="0"/>
            </w:tcBorders>
            <w:vAlign w:val="bottom"/>
          </w:tcPr>
          <w:p w14:paraId="5302C0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Score</w:t>
            </w:r>
          </w:p>
        </w:tc>
        <w:tc>
          <w:tcPr>
            <w:tcW w:w="1004" w:type="dxa"/>
            <w:tcBorders>
              <w:top w:val="single" w:color="auto" w:sz="4" w:space="0"/>
            </w:tcBorders>
            <w:vAlign w:val="bottom"/>
          </w:tcPr>
          <w:p w14:paraId="647A9A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Relative score</w:t>
            </w:r>
          </w:p>
        </w:tc>
        <w:tc>
          <w:tcPr>
            <w:tcW w:w="671" w:type="dxa"/>
            <w:tcBorders>
              <w:top w:val="single" w:color="auto" w:sz="4" w:space="0"/>
            </w:tcBorders>
            <w:vAlign w:val="bottom"/>
          </w:tcPr>
          <w:p w14:paraId="616CDA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Start</w:t>
            </w:r>
          </w:p>
        </w:tc>
        <w:tc>
          <w:tcPr>
            <w:tcW w:w="590" w:type="dxa"/>
            <w:tcBorders>
              <w:top w:val="single" w:color="auto" w:sz="4" w:space="0"/>
            </w:tcBorders>
            <w:vAlign w:val="bottom"/>
          </w:tcPr>
          <w:p w14:paraId="049F97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End</w:t>
            </w:r>
          </w:p>
        </w:tc>
        <w:tc>
          <w:tcPr>
            <w:tcW w:w="835" w:type="dxa"/>
            <w:tcBorders>
              <w:top w:val="single" w:color="auto" w:sz="4" w:space="0"/>
            </w:tcBorders>
            <w:vAlign w:val="bottom"/>
          </w:tcPr>
          <w:p w14:paraId="3EBFD6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Strand</w:t>
            </w:r>
          </w:p>
        </w:tc>
        <w:tc>
          <w:tcPr>
            <w:tcW w:w="1079" w:type="dxa"/>
            <w:tcBorders>
              <w:top w:val="single" w:color="auto" w:sz="4" w:space="0"/>
            </w:tcBorders>
            <w:vAlign w:val="bottom"/>
          </w:tcPr>
          <w:p w14:paraId="1CA441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Predicted sequence</w:t>
            </w:r>
          </w:p>
        </w:tc>
      </w:tr>
      <w:tr w14:paraId="378DB007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3" w:type="dxa"/>
            <w:vAlign w:val="top"/>
          </w:tcPr>
          <w:p w14:paraId="20040F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1</w:t>
            </w:r>
          </w:p>
        </w:tc>
        <w:tc>
          <w:tcPr>
            <w:tcW w:w="879" w:type="dxa"/>
            <w:vAlign w:val="top"/>
          </w:tcPr>
          <w:p w14:paraId="7D8D1C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instrText xml:space="preserve"> HYPERLINK "https://jaspar.genereg.net/matrix/MA0036.1" \o "https://jaspar.genereg.net/matrix/MA0036.1" </w:instrTex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fldChar w:fldCharType="separate"/>
            </w:r>
            <w:r>
              <w:rPr>
                <w:rStyle w:val="6"/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sz w:val="15"/>
                <w:szCs w:val="15"/>
                <w:u w:val="none"/>
              </w:rPr>
              <w:t>MA0036.1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425" w:type="dxa"/>
            <w:vAlign w:val="top"/>
          </w:tcPr>
          <w:p w14:paraId="77EE54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MA0036.1.GATA2</w:t>
            </w:r>
          </w:p>
        </w:tc>
        <w:tc>
          <w:tcPr>
            <w:tcW w:w="779" w:type="dxa"/>
            <w:vAlign w:val="top"/>
          </w:tcPr>
          <w:p w14:paraId="155C4D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5.778177</w:t>
            </w:r>
          </w:p>
        </w:tc>
        <w:tc>
          <w:tcPr>
            <w:tcW w:w="1004" w:type="dxa"/>
            <w:vAlign w:val="top"/>
          </w:tcPr>
          <w:p w14:paraId="20FD70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0.949302466</w:t>
            </w:r>
          </w:p>
        </w:tc>
        <w:tc>
          <w:tcPr>
            <w:tcW w:w="671" w:type="dxa"/>
            <w:vAlign w:val="top"/>
          </w:tcPr>
          <w:p w14:paraId="10D93C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1473</w:t>
            </w:r>
          </w:p>
        </w:tc>
        <w:tc>
          <w:tcPr>
            <w:tcW w:w="590" w:type="dxa"/>
            <w:vAlign w:val="top"/>
          </w:tcPr>
          <w:p w14:paraId="5F1C7F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1477</w:t>
            </w:r>
          </w:p>
        </w:tc>
        <w:tc>
          <w:tcPr>
            <w:tcW w:w="835" w:type="dxa"/>
            <w:vAlign w:val="top"/>
          </w:tcPr>
          <w:p w14:paraId="1F396F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+</w:t>
            </w:r>
          </w:p>
        </w:tc>
        <w:tc>
          <w:tcPr>
            <w:tcW w:w="1079" w:type="dxa"/>
            <w:vAlign w:val="top"/>
          </w:tcPr>
          <w:p w14:paraId="3CF01F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TGATA</w:t>
            </w:r>
          </w:p>
        </w:tc>
      </w:tr>
      <w:tr w14:paraId="163163D1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3" w:type="dxa"/>
            <w:vAlign w:val="top"/>
          </w:tcPr>
          <w:p w14:paraId="073A1C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2</w:t>
            </w:r>
          </w:p>
        </w:tc>
        <w:tc>
          <w:tcPr>
            <w:tcW w:w="879" w:type="dxa"/>
            <w:vAlign w:val="top"/>
          </w:tcPr>
          <w:p w14:paraId="3367B7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instrText xml:space="preserve"> HYPERLINK "https://jaspar.genereg.net/matrix/MA0036.1" \o "https://jaspar.genereg.net/matrix/MA0036.1" </w:instrTex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fldChar w:fldCharType="separate"/>
            </w:r>
            <w:r>
              <w:rPr>
                <w:rStyle w:val="6"/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sz w:val="15"/>
                <w:szCs w:val="15"/>
                <w:u w:val="none"/>
              </w:rPr>
              <w:t>MA0036.1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425" w:type="dxa"/>
            <w:vAlign w:val="top"/>
          </w:tcPr>
          <w:p w14:paraId="1773E1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MA0036.1.GATA2</w:t>
            </w:r>
          </w:p>
        </w:tc>
        <w:tc>
          <w:tcPr>
            <w:tcW w:w="779" w:type="dxa"/>
            <w:vAlign w:val="top"/>
          </w:tcPr>
          <w:p w14:paraId="38B3CF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5.55889</w:t>
            </w:r>
          </w:p>
        </w:tc>
        <w:tc>
          <w:tcPr>
            <w:tcW w:w="1004" w:type="dxa"/>
            <w:vAlign w:val="top"/>
          </w:tcPr>
          <w:p w14:paraId="29A52E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0.93657158</w:t>
            </w:r>
          </w:p>
        </w:tc>
        <w:tc>
          <w:tcPr>
            <w:tcW w:w="671" w:type="dxa"/>
            <w:vAlign w:val="top"/>
          </w:tcPr>
          <w:p w14:paraId="2649C7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996</w:t>
            </w:r>
          </w:p>
        </w:tc>
        <w:tc>
          <w:tcPr>
            <w:tcW w:w="590" w:type="dxa"/>
            <w:vAlign w:val="top"/>
          </w:tcPr>
          <w:p w14:paraId="49A2F6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1000</w:t>
            </w:r>
          </w:p>
        </w:tc>
        <w:tc>
          <w:tcPr>
            <w:tcW w:w="835" w:type="dxa"/>
            <w:vAlign w:val="top"/>
          </w:tcPr>
          <w:p w14:paraId="72FE10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+</w:t>
            </w:r>
          </w:p>
        </w:tc>
        <w:tc>
          <w:tcPr>
            <w:tcW w:w="1079" w:type="dxa"/>
            <w:vAlign w:val="top"/>
          </w:tcPr>
          <w:p w14:paraId="36644F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AGATG</w:t>
            </w:r>
          </w:p>
        </w:tc>
      </w:tr>
      <w:tr w14:paraId="3A26BDA8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3" w:type="dxa"/>
            <w:tcBorders>
              <w:bottom w:val="single" w:color="auto" w:sz="4" w:space="0"/>
            </w:tcBorders>
            <w:vAlign w:val="top"/>
          </w:tcPr>
          <w:p w14:paraId="5AA73C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3</w:t>
            </w:r>
          </w:p>
        </w:tc>
        <w:tc>
          <w:tcPr>
            <w:tcW w:w="879" w:type="dxa"/>
            <w:tcBorders>
              <w:bottom w:val="single" w:color="auto" w:sz="4" w:space="0"/>
            </w:tcBorders>
            <w:vAlign w:val="top"/>
          </w:tcPr>
          <w:p w14:paraId="700D3C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instrText xml:space="preserve"> HYPERLINK "https://jaspar.genereg.net/matrix/MA0036.1" \o "https://jaspar.genereg.net/matrix/MA0036.1" </w:instrTex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fldChar w:fldCharType="separate"/>
            </w:r>
            <w:r>
              <w:rPr>
                <w:rStyle w:val="6"/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sz w:val="15"/>
                <w:szCs w:val="15"/>
                <w:u w:val="none"/>
              </w:rPr>
              <w:t>MA0036.1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425" w:type="dxa"/>
            <w:tcBorders>
              <w:bottom w:val="single" w:color="auto" w:sz="4" w:space="0"/>
            </w:tcBorders>
            <w:vAlign w:val="top"/>
          </w:tcPr>
          <w:p w14:paraId="61A50E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MA0036.1.GATA2</w:t>
            </w:r>
          </w:p>
        </w:tc>
        <w:tc>
          <w:tcPr>
            <w:tcW w:w="779" w:type="dxa"/>
            <w:tcBorders>
              <w:bottom w:val="single" w:color="auto" w:sz="4" w:space="0"/>
            </w:tcBorders>
            <w:vAlign w:val="top"/>
          </w:tcPr>
          <w:p w14:paraId="65AB4D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5.105046</w:t>
            </w:r>
          </w:p>
        </w:tc>
        <w:tc>
          <w:tcPr>
            <w:tcW w:w="1004" w:type="dxa"/>
            <w:tcBorders>
              <w:bottom w:val="single" w:color="auto" w:sz="4" w:space="0"/>
            </w:tcBorders>
            <w:vAlign w:val="top"/>
          </w:tcPr>
          <w:p w14:paraId="6C995D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0.91022328</w:t>
            </w:r>
          </w:p>
        </w:tc>
        <w:tc>
          <w:tcPr>
            <w:tcW w:w="671" w:type="dxa"/>
            <w:tcBorders>
              <w:bottom w:val="single" w:color="auto" w:sz="4" w:space="0"/>
            </w:tcBorders>
            <w:vAlign w:val="top"/>
          </w:tcPr>
          <w:p w14:paraId="50E1E2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77</w:t>
            </w:r>
          </w:p>
        </w:tc>
        <w:tc>
          <w:tcPr>
            <w:tcW w:w="590" w:type="dxa"/>
            <w:tcBorders>
              <w:bottom w:val="single" w:color="auto" w:sz="4" w:space="0"/>
            </w:tcBorders>
            <w:vAlign w:val="top"/>
          </w:tcPr>
          <w:p w14:paraId="414A79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81</w:t>
            </w:r>
          </w:p>
        </w:tc>
        <w:tc>
          <w:tcPr>
            <w:tcW w:w="835" w:type="dxa"/>
            <w:tcBorders>
              <w:bottom w:val="single" w:color="auto" w:sz="4" w:space="0"/>
            </w:tcBorders>
            <w:vAlign w:val="top"/>
          </w:tcPr>
          <w:p w14:paraId="4A5B10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+</w:t>
            </w:r>
          </w:p>
        </w:tc>
        <w:tc>
          <w:tcPr>
            <w:tcW w:w="1079" w:type="dxa"/>
            <w:tcBorders>
              <w:bottom w:val="single" w:color="auto" w:sz="4" w:space="0"/>
            </w:tcBorders>
            <w:vAlign w:val="top"/>
          </w:tcPr>
          <w:p w14:paraId="746649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TGATG</w:t>
            </w:r>
          </w:p>
        </w:tc>
      </w:tr>
    </w:tbl>
    <w:p w14:paraId="6E90F7A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rPr>
          <w:rFonts w:hint="default" w:ascii="Times New Roman" w:hAnsi="Times New Roman" w:cs="Times New Roman"/>
          <w:b/>
          <w:color w:val="auto"/>
          <w:sz w:val="24"/>
          <w:szCs w:val="24"/>
        </w:rPr>
      </w:pPr>
    </w:p>
    <w:p w14:paraId="4191EA8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color w:val="auto"/>
          <w:sz w:val="24"/>
          <w:szCs w:val="24"/>
        </w:rPr>
        <w:t xml:space="preserve">Table </w:t>
      </w:r>
      <w:r>
        <w:rPr>
          <w:rFonts w:hint="default" w:ascii="Times New Roman" w:hAnsi="Times New Roman" w:cs="Times New Roman"/>
          <w:b/>
          <w:color w:val="auto"/>
          <w:sz w:val="24"/>
          <w:szCs w:val="24"/>
          <w:lang w:val="en-US" w:eastAsia="zh-CN"/>
        </w:rPr>
        <w:t>S2</w:t>
      </w:r>
      <w:r>
        <w:rPr>
          <w:rFonts w:hint="default" w:ascii="Times New Roman" w:hAnsi="Times New Roman" w:cs="Times New Roman"/>
          <w:b/>
          <w:color w:val="auto"/>
          <w:sz w:val="24"/>
          <w:szCs w:val="24"/>
        </w:rPr>
        <w:t>: Primer sequences for qPCR</w:t>
      </w:r>
    </w:p>
    <w:tbl>
      <w:tblPr>
        <w:tblStyle w:val="4"/>
        <w:tblW w:w="59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0"/>
        <w:gridCol w:w="1203"/>
        <w:gridCol w:w="2910"/>
        <w:gridCol w:w="2955"/>
      </w:tblGrid>
      <w:tr w14:paraId="098A3D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5" w:type="dxa"/>
            <w:tcBorders>
              <w:top w:val="single" w:color="auto" w:sz="4" w:space="0"/>
              <w:left w:val="nil"/>
              <w:right w:val="nil"/>
            </w:tcBorders>
            <w:vAlign w:val="bottom"/>
          </w:tcPr>
          <w:p w14:paraId="535ABD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Number</w:t>
            </w:r>
          </w:p>
        </w:tc>
        <w:tc>
          <w:tcPr>
            <w:tcW w:w="874" w:type="dxa"/>
            <w:tcBorders>
              <w:top w:val="single" w:color="auto" w:sz="4" w:space="0"/>
              <w:left w:val="nil"/>
              <w:right w:val="nil"/>
            </w:tcBorders>
            <w:vAlign w:val="bottom"/>
          </w:tcPr>
          <w:p w14:paraId="24E101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Predicted sequence</w:t>
            </w:r>
          </w:p>
        </w:tc>
        <w:tc>
          <w:tcPr>
            <w:tcW w:w="2130" w:type="dxa"/>
            <w:tcBorders>
              <w:top w:val="single" w:color="auto" w:sz="4" w:space="0"/>
              <w:left w:val="nil"/>
              <w:right w:val="nil"/>
            </w:tcBorders>
          </w:tcPr>
          <w:p w14:paraId="566828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Forward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ab/>
            </w:r>
          </w:p>
        </w:tc>
        <w:tc>
          <w:tcPr>
            <w:tcW w:w="2130" w:type="dxa"/>
            <w:tcBorders>
              <w:top w:val="single" w:color="auto" w:sz="4" w:space="0"/>
              <w:left w:val="nil"/>
              <w:right w:val="nil"/>
            </w:tcBorders>
          </w:tcPr>
          <w:p w14:paraId="5FF46F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Reverse</w:t>
            </w:r>
          </w:p>
        </w:tc>
      </w:tr>
      <w:tr w14:paraId="092EDE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5" w:type="dxa"/>
            <w:tcBorders>
              <w:left w:val="nil"/>
              <w:right w:val="nil"/>
            </w:tcBorders>
            <w:vAlign w:val="top"/>
          </w:tcPr>
          <w:p w14:paraId="1FA28E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874" w:type="dxa"/>
            <w:tcBorders>
              <w:left w:val="nil"/>
              <w:right w:val="nil"/>
            </w:tcBorders>
            <w:vAlign w:val="top"/>
          </w:tcPr>
          <w:p w14:paraId="12EA43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TGATA</w:t>
            </w:r>
          </w:p>
        </w:tc>
        <w:tc>
          <w:tcPr>
            <w:tcW w:w="2130" w:type="dxa"/>
            <w:tcBorders>
              <w:left w:val="nil"/>
              <w:right w:val="nil"/>
            </w:tcBorders>
          </w:tcPr>
          <w:p w14:paraId="235488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TCCCCATAATTTCGTCCCCA</w:t>
            </w:r>
          </w:p>
        </w:tc>
        <w:tc>
          <w:tcPr>
            <w:tcW w:w="2130" w:type="dxa"/>
            <w:tcBorders>
              <w:left w:val="nil"/>
              <w:right w:val="nil"/>
            </w:tcBorders>
          </w:tcPr>
          <w:p w14:paraId="1061C4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AGACTGCTCTAGGGTGCTCA</w:t>
            </w:r>
          </w:p>
        </w:tc>
      </w:tr>
      <w:tr w14:paraId="223480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5" w:type="dxa"/>
            <w:tcBorders>
              <w:left w:val="nil"/>
              <w:right w:val="nil"/>
            </w:tcBorders>
            <w:vAlign w:val="top"/>
          </w:tcPr>
          <w:p w14:paraId="31ABED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874" w:type="dxa"/>
            <w:tcBorders>
              <w:left w:val="nil"/>
              <w:right w:val="nil"/>
            </w:tcBorders>
            <w:vAlign w:val="top"/>
          </w:tcPr>
          <w:p w14:paraId="08F605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AGATG</w:t>
            </w:r>
          </w:p>
        </w:tc>
        <w:tc>
          <w:tcPr>
            <w:tcW w:w="2130" w:type="dxa"/>
            <w:tcBorders>
              <w:left w:val="nil"/>
              <w:right w:val="nil"/>
            </w:tcBorders>
          </w:tcPr>
          <w:p w14:paraId="09D1FB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AGGCATCCGTAGGTAATGTGAG</w:t>
            </w:r>
          </w:p>
        </w:tc>
        <w:tc>
          <w:tcPr>
            <w:tcW w:w="2130" w:type="dxa"/>
            <w:tcBorders>
              <w:left w:val="nil"/>
              <w:right w:val="nil"/>
            </w:tcBorders>
          </w:tcPr>
          <w:p w14:paraId="3461D3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ACACTCTGTCATCACTCGTGCA</w:t>
            </w:r>
          </w:p>
        </w:tc>
      </w:tr>
      <w:tr w14:paraId="754427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5" w:type="dxa"/>
            <w:tcBorders>
              <w:left w:val="nil"/>
              <w:bottom w:val="single" w:color="auto" w:sz="4" w:space="0"/>
              <w:right w:val="nil"/>
            </w:tcBorders>
            <w:vAlign w:val="top"/>
          </w:tcPr>
          <w:p w14:paraId="650F39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</w:t>
            </w:r>
          </w:p>
        </w:tc>
        <w:tc>
          <w:tcPr>
            <w:tcW w:w="874" w:type="dxa"/>
            <w:tcBorders>
              <w:left w:val="nil"/>
              <w:bottom w:val="single" w:color="auto" w:sz="4" w:space="0"/>
              <w:right w:val="nil"/>
            </w:tcBorders>
            <w:vAlign w:val="top"/>
          </w:tcPr>
          <w:p w14:paraId="1126EA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TGATG</w:t>
            </w:r>
          </w:p>
        </w:tc>
        <w:tc>
          <w:tcPr>
            <w:tcW w:w="2130" w:type="dxa"/>
            <w:tcBorders>
              <w:left w:val="nil"/>
              <w:bottom w:val="single" w:color="auto" w:sz="4" w:space="0"/>
              <w:right w:val="nil"/>
            </w:tcBorders>
          </w:tcPr>
          <w:p w14:paraId="025942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GAGGCATCCGTAGGTAATGTGAG</w:t>
            </w:r>
          </w:p>
        </w:tc>
        <w:tc>
          <w:tcPr>
            <w:tcW w:w="2130" w:type="dxa"/>
            <w:tcBorders>
              <w:left w:val="nil"/>
              <w:bottom w:val="single" w:color="auto" w:sz="4" w:space="0"/>
              <w:right w:val="nil"/>
            </w:tcBorders>
          </w:tcPr>
          <w:p w14:paraId="499F71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TCTGTCATCACTCGTGCATGTATG</w:t>
            </w:r>
          </w:p>
        </w:tc>
      </w:tr>
    </w:tbl>
    <w:p w14:paraId="09640B7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rPr>
          <w:rFonts w:hint="default" w:ascii="Times New Roman" w:hAnsi="Times New Roman" w:cs="Times New Roman"/>
          <w:color w:val="auto"/>
          <w:sz w:val="24"/>
          <w:szCs w:val="24"/>
        </w:rPr>
      </w:pPr>
    </w:p>
    <w:sectPr>
      <w:pgSz w:w="11906" w:h="16838"/>
      <w:pgMar w:top="1701" w:right="1701" w:bottom="1701" w:left="1701" w:header="851" w:footer="992" w:gutter="0"/>
      <w:lnNumType w:countBy="1" w:restart="continuous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2680A2A"/>
    <w:multiLevelType w:val="multilevel"/>
    <w:tmpl w:val="32680A2A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 w:ascii="Times New Roman" w:hAnsi="Times New Roman" w:eastAsia="宋体" w:cs="Times New Roman"/>
        <w:b w:val="0"/>
        <w:bCs w:val="0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RkODk0YmYyN2FkYTQ3M2M1NTFkNDk4NjM0Nzg3MjEifQ=="/>
  </w:docVars>
  <w:rsids>
    <w:rsidRoot w:val="2BC034C2"/>
    <w:rsid w:val="004A7649"/>
    <w:rsid w:val="00643BE3"/>
    <w:rsid w:val="008A3CC9"/>
    <w:rsid w:val="009603FF"/>
    <w:rsid w:val="01DD1E9F"/>
    <w:rsid w:val="061623F8"/>
    <w:rsid w:val="08512C9F"/>
    <w:rsid w:val="08B84ACC"/>
    <w:rsid w:val="0960170D"/>
    <w:rsid w:val="0B255FF3"/>
    <w:rsid w:val="0BA84B6B"/>
    <w:rsid w:val="0BCA5242"/>
    <w:rsid w:val="0C5138FA"/>
    <w:rsid w:val="0CC31C91"/>
    <w:rsid w:val="0D0006AD"/>
    <w:rsid w:val="0F296723"/>
    <w:rsid w:val="0F2B40FD"/>
    <w:rsid w:val="0F3B1F8A"/>
    <w:rsid w:val="106D2FA7"/>
    <w:rsid w:val="14BB6070"/>
    <w:rsid w:val="14C6340F"/>
    <w:rsid w:val="15192D96"/>
    <w:rsid w:val="15D867AD"/>
    <w:rsid w:val="165A18B8"/>
    <w:rsid w:val="16EE3CE4"/>
    <w:rsid w:val="17B7343A"/>
    <w:rsid w:val="19DD0836"/>
    <w:rsid w:val="1AE14A63"/>
    <w:rsid w:val="1B2D1349"/>
    <w:rsid w:val="1CCA71C9"/>
    <w:rsid w:val="1EDD167E"/>
    <w:rsid w:val="1FD55B0C"/>
    <w:rsid w:val="20FD356C"/>
    <w:rsid w:val="214E3DC8"/>
    <w:rsid w:val="24E3525A"/>
    <w:rsid w:val="25787B04"/>
    <w:rsid w:val="25DA20CE"/>
    <w:rsid w:val="2BC034C2"/>
    <w:rsid w:val="2CB5192D"/>
    <w:rsid w:val="2DC17496"/>
    <w:rsid w:val="2F4800A8"/>
    <w:rsid w:val="3381002D"/>
    <w:rsid w:val="378FCF33"/>
    <w:rsid w:val="384E3824"/>
    <w:rsid w:val="390E6689"/>
    <w:rsid w:val="3CD31755"/>
    <w:rsid w:val="3D012160"/>
    <w:rsid w:val="3DF44458"/>
    <w:rsid w:val="3F3271BB"/>
    <w:rsid w:val="3FF81676"/>
    <w:rsid w:val="42446DF5"/>
    <w:rsid w:val="43996CCD"/>
    <w:rsid w:val="456F4189"/>
    <w:rsid w:val="49E01723"/>
    <w:rsid w:val="4A9C3B5F"/>
    <w:rsid w:val="4B975CC9"/>
    <w:rsid w:val="4D67622A"/>
    <w:rsid w:val="4DE44FE8"/>
    <w:rsid w:val="4F344AEC"/>
    <w:rsid w:val="50D91050"/>
    <w:rsid w:val="51B201A1"/>
    <w:rsid w:val="51E4221C"/>
    <w:rsid w:val="54931516"/>
    <w:rsid w:val="54E844DB"/>
    <w:rsid w:val="55524158"/>
    <w:rsid w:val="56FC035D"/>
    <w:rsid w:val="56FC6611"/>
    <w:rsid w:val="57CE66F7"/>
    <w:rsid w:val="5ADC59C5"/>
    <w:rsid w:val="5AEF04EA"/>
    <w:rsid w:val="5C313755"/>
    <w:rsid w:val="5CE27E10"/>
    <w:rsid w:val="6071195D"/>
    <w:rsid w:val="60D07D7A"/>
    <w:rsid w:val="67D52F54"/>
    <w:rsid w:val="6A0665BA"/>
    <w:rsid w:val="6E6733A0"/>
    <w:rsid w:val="6F1522E3"/>
    <w:rsid w:val="6F34344C"/>
    <w:rsid w:val="6F4242A3"/>
    <w:rsid w:val="7372B19A"/>
    <w:rsid w:val="73EEB586"/>
    <w:rsid w:val="753B10E2"/>
    <w:rsid w:val="76D75298"/>
    <w:rsid w:val="7789D302"/>
    <w:rsid w:val="780B1BC8"/>
    <w:rsid w:val="7AAC2004"/>
    <w:rsid w:val="7BDD2EF3"/>
    <w:rsid w:val="7C26103C"/>
    <w:rsid w:val="7DB3123C"/>
    <w:rsid w:val="7F576C07"/>
    <w:rsid w:val="FEE99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autoRedefine/>
    <w:qFormat/>
    <w:uiPriority w:val="0"/>
    <w:rPr>
      <w:color w:val="0000FF"/>
      <w:u w:val="single"/>
    </w:rPr>
  </w:style>
  <w:style w:type="paragraph" w:styleId="7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tiff"/><Relationship Id="rId6" Type="http://schemas.openxmlformats.org/officeDocument/2006/relationships/image" Target="media/image3.png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1092</Words>
  <Characters>6528</Characters>
  <Lines>0</Lines>
  <Paragraphs>0</Paragraphs>
  <TotalTime>2</TotalTime>
  <ScaleCrop>false</ScaleCrop>
  <LinksUpToDate>false</LinksUpToDate>
  <CharactersWithSpaces>7757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2023-12-21T02:25:00Z</dcterms:created>
  <dc:creator>樊樊</dc:creator>
  <cp:lastModifiedBy>樊樊</cp:lastModifiedBy>
  <dcterms:modified xsi:type="dcterms:W3CDTF">2024-10-19T08:24:28Z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4781D21D616148DE90F324E122CB8B20_13</vt:lpwstr>
  </property>
</Properties>
</file>