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>Supplementary Table 1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Instruments and reagents for in vivo experiments.</w:t>
      </w:r>
    </w:p>
    <w:tbl>
      <w:tblPr>
        <w:tblStyle w:val="3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492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4925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Company</w:t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Catalog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Sprague Dawley (SD) male rats</w:t>
            </w:r>
          </w:p>
        </w:tc>
        <w:tc>
          <w:tcPr>
            <w:tcW w:w="492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Beijing Vital River Laboratory Animal Technology 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SC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K (Jing) 2021–00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Papain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Beijing Soleibao Biotechnology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G8430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L-cysteine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Beijing Soleibao Biotechnology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vertAlign w:val="baseline"/>
              </w:rPr>
              <w:t>odium pentobarbital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Sigma-Aldrich Corporation,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P3761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vertAlign w:val="baseline"/>
              </w:rPr>
              <w:t>lectric von Frey esthesiometer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Stolting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lnc,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ALMEMO 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D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ehydrator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Wuhan Junjie Electronics 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JJ-12J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Embedding machine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Wuhan Junjie Electronics 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JB-P5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Pathological microtome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Shanghai Leica Instrument 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RM2016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Frozen table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Wuhan Junjie Electronics 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JB-L5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Oven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Shanghai Huitai Instrument Manufacturing 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DHG-9140A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Microwave oven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Galanz microwave electric appliance Co., LTD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P70D20TL-P4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Decolorizing shaker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SCILOGEX</w:t>
            </w:r>
            <w:r>
              <w:rPr>
                <w:rFonts w:hint="default" w:ascii="Times New Roman" w:hAnsi="Times New Roman" w:cs="Times New Roman"/>
                <w:vertAlign w:val="baseline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CF1524R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Anhydrous ethanol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Sinopharm Group Chemical reagent Co., LTD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100092683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vertAlign w:val="baseline"/>
              </w:rPr>
              <w:t>ylene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Sinopharm Group Chemical reagent Co., LTD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10023418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Neutral gum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Sinopharm Group Chemical reagent Co., LTD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10004160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</w:rPr>
              <w:t>P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ositive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fluorescence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microscope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Nikon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Japan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ECLIPSE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</w:rPr>
              <w:t>Imaging system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Nikon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Japan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DS-</w:t>
            </w:r>
            <w:r>
              <w:rPr>
                <w:rFonts w:hint="default" w:ascii="Times New Roman" w:hAnsi="Times New Roman" w:cs="Times New Roman"/>
                <w:spacing w:val="-5"/>
              </w:rPr>
              <w:t>U3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</w:rPr>
              <w:t>ewaxing solution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Wuhan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Servicebio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Biotechnology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G1128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PBS buffer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Wuhan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Procell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Life Technology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PB180327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everse transcription kit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Beijing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Heyi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iological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echnology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E047-01B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qPCR kit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Beijing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Heyi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iological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echnology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E096-01A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Total RNA extraction reagent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Shanghai Yase Biomedical Technology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YY101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hloroform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Shandong Shuangshuang Chemical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GB/T682-2002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sopropanol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Tianjin Zhiyuan Chemical Reagent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4℃ centrifuge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Quzhou Xinzhi Biotechnology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CF1524R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Ultra-clean table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Suzhou purification Equipment Co., LTD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SW-CJ-2D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Nucleic acid quantifier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Thermo Fisher Technologies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Thermo NANODROP 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qPCR instrument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oche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Switzerland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Roche LightCycler480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RIPA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PC101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Protease inhibitor</w:t>
            </w:r>
          </w:p>
        </w:tc>
        <w:tc>
          <w:tcPr>
            <w:tcW w:w="492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GRF101</w:t>
            </w:r>
          </w:p>
        </w:tc>
      </w:tr>
    </w:tbl>
    <w:p/>
    <w:p/>
    <w:p/>
    <w:p/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Continued Table 1</w:t>
      </w:r>
    </w:p>
    <w:tbl>
      <w:tblPr>
        <w:tblStyle w:val="3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492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4925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Company</w:t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Catalog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Phosphatase inhibitor</w:t>
            </w:r>
          </w:p>
        </w:tc>
        <w:tc>
          <w:tcPr>
            <w:tcW w:w="492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GRF102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PMSF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Beijing Soleibao Biotechnology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BCA protein quantitative kit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Beijing Soleibao Biotechnology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PC0020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Nuclear protein extraction kit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Beijing Soleibao Biotechnology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5× Loading buffer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LT101S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electrophoresis buffer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PS105S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transmembrane buffer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PS109S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Skim milk powder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PS112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Developing solution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Beijing Soleibao Biotechnology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SQ201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10×TBST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Epizyme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, Inc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, USA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PS103S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ethyl alcohol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Tianjin Hengxing Chemical reagent manufacturing Co., LTD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, China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GraphPad Prism 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.2</w:t>
            </w:r>
          </w:p>
        </w:tc>
        <w:tc>
          <w:tcPr>
            <w:tcW w:w="492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Yu Gothic UI Semibold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GraphPad Software</w:t>
            </w:r>
          </w:p>
        </w:tc>
        <w:tc>
          <w:tcPr>
            <w:tcW w:w="233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jI2YmZhOGVhMGNkNzhiY2FmNThiMWFhOTQ2NTkifQ=="/>
  </w:docVars>
  <w:rsids>
    <w:rsidRoot w:val="00000000"/>
    <w:rsid w:val="024339CB"/>
    <w:rsid w:val="04573710"/>
    <w:rsid w:val="11F36CE5"/>
    <w:rsid w:val="14A359F5"/>
    <w:rsid w:val="438E5124"/>
    <w:rsid w:val="49C31597"/>
    <w:rsid w:val="4E5A1D7A"/>
    <w:rsid w:val="56134F43"/>
    <w:rsid w:val="612F7696"/>
    <w:rsid w:val="64B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2329</Characters>
  <Lines>0</Lines>
  <Paragraphs>0</Paragraphs>
  <TotalTime>1</TotalTime>
  <ScaleCrop>false</ScaleCrop>
  <LinksUpToDate>false</LinksUpToDate>
  <CharactersWithSpaces>2560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2024-06-09T10:26:00Z</dcterms:created>
  <dc:creator>86185</dc:creator>
  <cp:lastModifiedBy>Hui Xu</cp:lastModifiedBy>
  <dcterms:modified xsi:type="dcterms:W3CDTF">2024-07-02T10:13:25Z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810DA7D0A22446CFB99F29ABDE00A7D5_12</vt:lpwstr>
  </property>
</Properties>
</file>