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D95CF" w14:textId="210586F5" w:rsidR="00B37CCF" w:rsidRPr="00B255A0" w:rsidRDefault="00B37CCF" w:rsidP="00B37CCF">
      <w:pPr>
        <w:spacing w:line="360" w:lineRule="auto"/>
        <w:rPr>
          <w:rFonts w:cstheme="minorHAnsi"/>
        </w:rPr>
      </w:pPr>
      <w:r w:rsidRPr="00B255A0">
        <w:rPr>
          <w:rFonts w:cstheme="minorHAnsi"/>
          <w:b/>
          <w:bCs/>
        </w:rPr>
        <w:t>Table S1</w:t>
      </w:r>
      <w:r w:rsidR="000A74B8">
        <w:rPr>
          <w:rFonts w:cstheme="minorHAnsi"/>
          <w:b/>
          <w:bCs/>
        </w:rPr>
        <w:t>.</w:t>
      </w:r>
      <w:r w:rsidRPr="00B255A0">
        <w:rPr>
          <w:rFonts w:cstheme="minorHAnsi"/>
          <w:b/>
          <w:bCs/>
        </w:rPr>
        <w:t xml:space="preserve"> Screening tools used to assess clinical burden and treatment expectations and satisfaction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400"/>
        <w:gridCol w:w="2664"/>
        <w:gridCol w:w="4962"/>
      </w:tblGrid>
      <w:tr w:rsidR="00B37CCF" w:rsidRPr="00B255A0" w14:paraId="5B2A7E19" w14:textId="77777777" w:rsidTr="007710A1">
        <w:trPr>
          <w:trHeight w:val="600"/>
        </w:trPr>
        <w:tc>
          <w:tcPr>
            <w:tcW w:w="775" w:type="pct"/>
            <w:tcBorders>
              <w:top w:val="single" w:sz="4" w:space="0" w:color="auto"/>
              <w:bottom w:val="single" w:sz="4" w:space="0" w:color="auto"/>
            </w:tcBorders>
            <w:shd w:val="clear" w:color="auto" w:fill="BFBFBF" w:themeFill="background1" w:themeFillShade="BF"/>
            <w:hideMark/>
          </w:tcPr>
          <w:p w14:paraId="5AD9188A" w14:textId="77777777" w:rsidR="00B37CCF" w:rsidRPr="00B255A0" w:rsidRDefault="00B37CCF" w:rsidP="007710A1">
            <w:pPr>
              <w:spacing w:line="360" w:lineRule="auto"/>
              <w:rPr>
                <w:rFonts w:cstheme="minorHAnsi"/>
              </w:rPr>
            </w:pPr>
            <w:r w:rsidRPr="00B255A0">
              <w:rPr>
                <w:rFonts w:cstheme="minorHAnsi"/>
                <w:b/>
                <w:bCs/>
              </w:rPr>
              <w:t>Screening tool</w:t>
            </w:r>
          </w:p>
        </w:tc>
        <w:tc>
          <w:tcPr>
            <w:tcW w:w="1476" w:type="pct"/>
            <w:tcBorders>
              <w:top w:val="single" w:sz="4" w:space="0" w:color="auto"/>
              <w:bottom w:val="single" w:sz="4" w:space="0" w:color="auto"/>
            </w:tcBorders>
            <w:shd w:val="clear" w:color="auto" w:fill="BFBFBF" w:themeFill="background1" w:themeFillShade="BF"/>
            <w:hideMark/>
          </w:tcPr>
          <w:p w14:paraId="558F4704" w14:textId="77777777" w:rsidR="00B37CCF" w:rsidRPr="00B255A0" w:rsidRDefault="00B37CCF" w:rsidP="007710A1">
            <w:pPr>
              <w:spacing w:line="360" w:lineRule="auto"/>
              <w:rPr>
                <w:rFonts w:cstheme="minorHAnsi"/>
              </w:rPr>
            </w:pPr>
            <w:r w:rsidRPr="00B255A0">
              <w:rPr>
                <w:rFonts w:cstheme="minorHAnsi"/>
                <w:b/>
                <w:bCs/>
              </w:rPr>
              <w:t>Description</w:t>
            </w:r>
          </w:p>
        </w:tc>
        <w:tc>
          <w:tcPr>
            <w:tcW w:w="2749" w:type="pct"/>
            <w:tcBorders>
              <w:top w:val="single" w:sz="4" w:space="0" w:color="auto"/>
              <w:bottom w:val="single" w:sz="4" w:space="0" w:color="auto"/>
            </w:tcBorders>
            <w:shd w:val="clear" w:color="auto" w:fill="BFBFBF" w:themeFill="background1" w:themeFillShade="BF"/>
          </w:tcPr>
          <w:p w14:paraId="74A438F8" w14:textId="77777777" w:rsidR="00B37CCF" w:rsidRPr="00B255A0" w:rsidRDefault="00B37CCF" w:rsidP="007710A1">
            <w:pPr>
              <w:spacing w:line="360" w:lineRule="auto"/>
              <w:rPr>
                <w:rFonts w:cstheme="minorHAnsi"/>
                <w:b/>
                <w:bCs/>
              </w:rPr>
            </w:pPr>
            <w:r w:rsidRPr="00B255A0">
              <w:rPr>
                <w:rFonts w:cstheme="minorHAnsi"/>
                <w:b/>
                <w:bCs/>
              </w:rPr>
              <w:t>Response and scoring system</w:t>
            </w:r>
          </w:p>
        </w:tc>
      </w:tr>
      <w:tr w:rsidR="00B37CCF" w:rsidRPr="00B255A0" w14:paraId="63BA1BB9" w14:textId="77777777" w:rsidTr="007710A1">
        <w:trPr>
          <w:trHeight w:val="838"/>
        </w:trPr>
        <w:tc>
          <w:tcPr>
            <w:tcW w:w="775" w:type="pct"/>
            <w:tcBorders>
              <w:top w:val="single" w:sz="4" w:space="0" w:color="auto"/>
              <w:bottom w:val="single" w:sz="4" w:space="0" w:color="auto"/>
            </w:tcBorders>
            <w:hideMark/>
          </w:tcPr>
          <w:p w14:paraId="0834769A" w14:textId="77777777" w:rsidR="00B37CCF" w:rsidRPr="00B255A0" w:rsidRDefault="00B37CCF" w:rsidP="007710A1">
            <w:pPr>
              <w:spacing w:line="360" w:lineRule="auto"/>
              <w:rPr>
                <w:rFonts w:cstheme="minorHAnsi"/>
              </w:rPr>
            </w:pPr>
            <w:r w:rsidRPr="00B255A0">
              <w:rPr>
                <w:rFonts w:cstheme="minorHAnsi"/>
              </w:rPr>
              <w:t>PHQ-9</w:t>
            </w:r>
          </w:p>
          <w:p w14:paraId="5FB6AC8A" w14:textId="77777777" w:rsidR="00B37CCF" w:rsidRPr="00B255A0" w:rsidRDefault="00B37CCF" w:rsidP="007710A1">
            <w:pPr>
              <w:spacing w:line="360" w:lineRule="auto"/>
              <w:rPr>
                <w:rFonts w:cstheme="minorHAnsi"/>
              </w:rPr>
            </w:pPr>
            <w:r w:rsidRPr="00B255A0">
              <w:rPr>
                <w:rFonts w:cstheme="minorHAnsi"/>
              </w:rPr>
              <w:fldChar w:fldCharType="begin" w:fldLock="1"/>
            </w:r>
            <w:r w:rsidRPr="00B255A0">
              <w:rPr>
                <w:rFonts w:cstheme="minorHAnsi"/>
              </w:rPr>
              <w:instrText xml:space="preserve"> ADDIN ZOTERO_ITEM CSL_CITATION {"citationID":"kKRYCZ4h","properties":{"formattedCitation":"(Kroenke et al., 2001)","plainCitation":"(Kroenke et al., 2001)","noteIndex":0},"citationItems":[{"id":"xYXTRrT5/2g9oA8GD","uris":["http://www.mendeley.com/documents/?uuid=11b7932e-04a0-3d8a-bce3-44ffba74a2df"],"itemData":{"DOI":"10.1046/j.1525-1497.2001.016009606.x","ISSN":"08848734","PMID":"11556941","abstract":"OBJECTIVE: While considerable attention has focused on improving the detection of depression, assessment of severity is also important in guiding treatment decisions. Therefore, we examined the validity of a brief, new measure of depression severity. MEASUREMENTS: The Patient Health Questionnaire PHQ) is a self-administered version of the PRIME-MD diagnostic instrument for common mental disorders. The PHQ-9 is the depression module, which scores each of the 9 DSM-IV criteria as \"O\"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 RESULTS: As PHQ-9 depression severity increased, there was a substantial decrease in functional status on all 6 SF-20 subscales. Also, symptom-related difficulty, sick days, and health care utilization increased. Using the MHP reinterview as the criterion standard, a PHQ-9 score ≥10 had a sensitivity of 88% and a specificity of 88% for major depression. PHQ-9 scores of 5, 10, 15, and 20 represented mild, moderate, moderately severe, and severe depression, respectively. Results were similar in the primary care and obstetrics-gynecology samples. CONCLUSION: In addition to making criteria-based diagnoses of depressive disorders, the PHQ-9 is also a reliable and valid measure of depression severity. These characteristics plus its brevity make the PHQ-9 a useful clinical and research tool.","author":[{"dropping-particle":"","family":"Kroenke","given":"Kurt","non-dropping-particle":"","parse-names":false,"suffix":""},{"dropping-particle":"","family":"Spitzer","given":"Robert L.","non-dropping-particle":"","parse-names":false,"suffix":""},{"dropping-particle":"","family":"Williams","given":"Janet B.W.","non-dropping-particle":"","parse-names":false,"suffix":""}],"container-title":"Journal of General Internal Medicine","id":"ITEM-1","issue":"9","issued":{"date-parts":[["2001"]]},"page":"606-613","publisher":"J Gen Intern Med","title":"The PHQ-9: Validity of a brief depression severity measure","type":"article-journal","volume":"16"}}],"schema":"https://github.com/citation-style-language/schema/raw/master/csl-citation.json"} </w:instrText>
            </w:r>
            <w:r w:rsidRPr="00B255A0">
              <w:rPr>
                <w:rFonts w:cstheme="minorHAnsi"/>
              </w:rPr>
              <w:fldChar w:fldCharType="separate"/>
            </w:r>
            <w:r w:rsidRPr="00B255A0">
              <w:rPr>
                <w:rFonts w:cstheme="minorHAnsi"/>
              </w:rPr>
              <w:t>(Kroenke et al., 2001)</w:t>
            </w:r>
            <w:r w:rsidRPr="00B255A0">
              <w:rPr>
                <w:rFonts w:cstheme="minorHAnsi"/>
              </w:rPr>
              <w:fldChar w:fldCharType="end"/>
            </w:r>
          </w:p>
        </w:tc>
        <w:tc>
          <w:tcPr>
            <w:tcW w:w="1476" w:type="pct"/>
            <w:tcBorders>
              <w:top w:val="single" w:sz="4" w:space="0" w:color="auto"/>
              <w:bottom w:val="single" w:sz="4" w:space="0" w:color="auto"/>
            </w:tcBorders>
            <w:hideMark/>
          </w:tcPr>
          <w:p w14:paraId="7E06059E" w14:textId="77777777" w:rsidR="00B37CCF" w:rsidRPr="00B255A0" w:rsidRDefault="00B37CCF" w:rsidP="007710A1">
            <w:pPr>
              <w:spacing w:line="360" w:lineRule="auto"/>
              <w:rPr>
                <w:rFonts w:cstheme="minorHAnsi"/>
              </w:rPr>
            </w:pPr>
            <w:r w:rsidRPr="00B255A0">
              <w:rPr>
                <w:rFonts w:cstheme="minorHAnsi"/>
              </w:rPr>
              <w:t>9-item questionnaire was administered to all non-physician respondents to measure the frequency of depression symptoms experienced in the past 2 weeks</w:t>
            </w:r>
          </w:p>
        </w:tc>
        <w:tc>
          <w:tcPr>
            <w:tcW w:w="2749" w:type="pct"/>
            <w:tcBorders>
              <w:top w:val="single" w:sz="4" w:space="0" w:color="auto"/>
              <w:bottom w:val="single" w:sz="4" w:space="0" w:color="auto"/>
            </w:tcBorders>
          </w:tcPr>
          <w:p w14:paraId="48127649" w14:textId="77777777" w:rsidR="00B37CCF" w:rsidRPr="00B255A0" w:rsidRDefault="00B37CCF" w:rsidP="007710A1">
            <w:pPr>
              <w:pStyle w:val="ListParagraph"/>
              <w:numPr>
                <w:ilvl w:val="0"/>
                <w:numId w:val="4"/>
              </w:numPr>
              <w:spacing w:line="360" w:lineRule="auto"/>
              <w:ind w:left="465"/>
              <w:contextualSpacing w:val="0"/>
              <w:rPr>
                <w:rFonts w:asciiTheme="minorHAnsi" w:hAnsiTheme="minorHAnsi" w:cstheme="minorHAnsi"/>
                <w:sz w:val="22"/>
                <w:szCs w:val="22"/>
              </w:rPr>
            </w:pPr>
            <w:r w:rsidRPr="00B255A0">
              <w:rPr>
                <w:rFonts w:asciiTheme="minorHAnsi" w:hAnsiTheme="minorHAnsi" w:cstheme="minorHAnsi"/>
                <w:sz w:val="22"/>
                <w:szCs w:val="22"/>
              </w:rPr>
              <w:t>Items were rated on a 4-point scale (0=not at all to 3=nearly every day)</w:t>
            </w:r>
          </w:p>
          <w:p w14:paraId="075099FA" w14:textId="77777777" w:rsidR="00B37CCF" w:rsidRPr="00B255A0" w:rsidRDefault="00B37CCF" w:rsidP="007710A1">
            <w:pPr>
              <w:pStyle w:val="ListParagraph"/>
              <w:numPr>
                <w:ilvl w:val="0"/>
                <w:numId w:val="4"/>
              </w:numPr>
              <w:spacing w:line="360" w:lineRule="auto"/>
              <w:ind w:left="465"/>
              <w:contextualSpacing w:val="0"/>
              <w:rPr>
                <w:rFonts w:asciiTheme="minorHAnsi" w:hAnsiTheme="minorHAnsi" w:cstheme="minorHAnsi"/>
                <w:sz w:val="22"/>
                <w:szCs w:val="22"/>
              </w:rPr>
            </w:pPr>
            <w:r w:rsidRPr="00B255A0">
              <w:rPr>
                <w:rFonts w:asciiTheme="minorHAnsi" w:hAnsiTheme="minorHAnsi" w:cstheme="minorHAnsi"/>
                <w:sz w:val="22"/>
                <w:szCs w:val="22"/>
              </w:rPr>
              <w:t>Items were summed up into a total score range of 0 to 27:</w:t>
            </w:r>
          </w:p>
          <w:p w14:paraId="3A2FBBED" w14:textId="77777777" w:rsidR="00B37CCF" w:rsidRPr="00B255A0" w:rsidRDefault="00B37CCF" w:rsidP="007710A1">
            <w:pPr>
              <w:pStyle w:val="ListParagraph"/>
              <w:numPr>
                <w:ilvl w:val="0"/>
                <w:numId w:val="3"/>
              </w:numPr>
              <w:spacing w:line="360" w:lineRule="auto"/>
              <w:ind w:left="748"/>
              <w:contextualSpacing w:val="0"/>
              <w:rPr>
                <w:rFonts w:asciiTheme="minorHAnsi" w:hAnsiTheme="minorHAnsi" w:cstheme="minorHAnsi"/>
                <w:sz w:val="22"/>
                <w:szCs w:val="22"/>
              </w:rPr>
            </w:pPr>
            <w:r w:rsidRPr="00B255A0">
              <w:rPr>
                <w:rFonts w:asciiTheme="minorHAnsi" w:hAnsiTheme="minorHAnsi" w:cstheme="minorHAnsi"/>
                <w:sz w:val="22"/>
                <w:szCs w:val="22"/>
              </w:rPr>
              <w:t>0-4: No depression</w:t>
            </w:r>
          </w:p>
          <w:p w14:paraId="54493E1A" w14:textId="77777777" w:rsidR="00B37CCF" w:rsidRPr="00B255A0" w:rsidRDefault="00B37CCF" w:rsidP="007710A1">
            <w:pPr>
              <w:pStyle w:val="ListParagraph"/>
              <w:numPr>
                <w:ilvl w:val="0"/>
                <w:numId w:val="3"/>
              </w:numPr>
              <w:spacing w:line="360" w:lineRule="auto"/>
              <w:ind w:left="748"/>
              <w:contextualSpacing w:val="0"/>
              <w:rPr>
                <w:rFonts w:asciiTheme="minorHAnsi" w:hAnsiTheme="minorHAnsi" w:cstheme="minorHAnsi"/>
                <w:sz w:val="22"/>
                <w:szCs w:val="22"/>
              </w:rPr>
            </w:pPr>
            <w:r w:rsidRPr="00B255A0">
              <w:rPr>
                <w:rFonts w:asciiTheme="minorHAnsi" w:hAnsiTheme="minorHAnsi" w:cstheme="minorHAnsi"/>
                <w:sz w:val="22"/>
                <w:szCs w:val="22"/>
              </w:rPr>
              <w:t>5-9: Mild depression</w:t>
            </w:r>
          </w:p>
          <w:p w14:paraId="18E03E78" w14:textId="77777777" w:rsidR="00B37CCF" w:rsidRPr="00B255A0" w:rsidRDefault="00B37CCF" w:rsidP="007710A1">
            <w:pPr>
              <w:pStyle w:val="ListParagraph"/>
              <w:numPr>
                <w:ilvl w:val="0"/>
                <w:numId w:val="3"/>
              </w:numPr>
              <w:spacing w:line="360" w:lineRule="auto"/>
              <w:ind w:left="748"/>
              <w:contextualSpacing w:val="0"/>
              <w:rPr>
                <w:rFonts w:asciiTheme="minorHAnsi" w:hAnsiTheme="minorHAnsi" w:cstheme="minorHAnsi"/>
                <w:sz w:val="22"/>
                <w:szCs w:val="22"/>
              </w:rPr>
            </w:pPr>
            <w:r w:rsidRPr="00B255A0">
              <w:rPr>
                <w:rFonts w:asciiTheme="minorHAnsi" w:hAnsiTheme="minorHAnsi" w:cstheme="minorHAnsi"/>
                <w:sz w:val="22"/>
                <w:szCs w:val="22"/>
              </w:rPr>
              <w:t>10-14: Moderate depression</w:t>
            </w:r>
          </w:p>
          <w:p w14:paraId="6DC93EF5" w14:textId="77777777" w:rsidR="00B37CCF" w:rsidRPr="00B255A0" w:rsidRDefault="00B37CCF" w:rsidP="007710A1">
            <w:pPr>
              <w:pStyle w:val="ListParagraph"/>
              <w:numPr>
                <w:ilvl w:val="0"/>
                <w:numId w:val="3"/>
              </w:numPr>
              <w:spacing w:line="360" w:lineRule="auto"/>
              <w:ind w:left="748"/>
              <w:contextualSpacing w:val="0"/>
              <w:rPr>
                <w:rFonts w:asciiTheme="minorHAnsi" w:hAnsiTheme="minorHAnsi" w:cstheme="minorHAnsi"/>
                <w:sz w:val="22"/>
                <w:szCs w:val="22"/>
              </w:rPr>
            </w:pPr>
            <w:r w:rsidRPr="00B255A0">
              <w:rPr>
                <w:rFonts w:asciiTheme="minorHAnsi" w:hAnsiTheme="minorHAnsi" w:cstheme="minorHAnsi"/>
                <w:sz w:val="22"/>
                <w:szCs w:val="22"/>
              </w:rPr>
              <w:t>15-19: Moderate-severe depression</w:t>
            </w:r>
          </w:p>
          <w:p w14:paraId="5C813423" w14:textId="77777777" w:rsidR="00B37CCF" w:rsidRPr="00B255A0" w:rsidRDefault="00B37CCF" w:rsidP="007710A1">
            <w:pPr>
              <w:pStyle w:val="ListParagraph"/>
              <w:numPr>
                <w:ilvl w:val="0"/>
                <w:numId w:val="3"/>
              </w:numPr>
              <w:spacing w:line="360" w:lineRule="auto"/>
              <w:ind w:left="748"/>
              <w:contextualSpacing w:val="0"/>
              <w:rPr>
                <w:rFonts w:asciiTheme="minorHAnsi" w:hAnsiTheme="minorHAnsi" w:cstheme="minorHAnsi"/>
                <w:sz w:val="22"/>
                <w:szCs w:val="22"/>
              </w:rPr>
            </w:pPr>
            <w:r w:rsidRPr="00B255A0">
              <w:rPr>
                <w:rFonts w:asciiTheme="minorHAnsi" w:hAnsiTheme="minorHAnsi" w:cstheme="minorHAnsi"/>
                <w:sz w:val="22"/>
                <w:szCs w:val="22"/>
              </w:rPr>
              <w:t>20-27: Severe depression</w:t>
            </w:r>
          </w:p>
        </w:tc>
      </w:tr>
      <w:tr w:rsidR="00B37CCF" w:rsidRPr="00B255A0" w14:paraId="4DB6D51D" w14:textId="77777777" w:rsidTr="007710A1">
        <w:trPr>
          <w:trHeight w:val="1184"/>
        </w:trPr>
        <w:tc>
          <w:tcPr>
            <w:tcW w:w="775" w:type="pct"/>
            <w:tcBorders>
              <w:top w:val="single" w:sz="4" w:space="0" w:color="auto"/>
              <w:bottom w:val="single" w:sz="4" w:space="0" w:color="auto"/>
            </w:tcBorders>
            <w:hideMark/>
          </w:tcPr>
          <w:p w14:paraId="75C66F75" w14:textId="77777777" w:rsidR="00B37CCF" w:rsidRPr="00B255A0" w:rsidRDefault="00B37CCF" w:rsidP="007710A1">
            <w:pPr>
              <w:spacing w:line="360" w:lineRule="auto"/>
              <w:rPr>
                <w:rFonts w:cstheme="minorHAnsi"/>
              </w:rPr>
            </w:pPr>
            <w:r w:rsidRPr="00B255A0">
              <w:rPr>
                <w:rFonts w:cstheme="minorHAnsi"/>
              </w:rPr>
              <w:t xml:space="preserve">SHAPS </w:t>
            </w:r>
          </w:p>
          <w:p w14:paraId="58AEC0E1" w14:textId="77777777" w:rsidR="00B37CCF" w:rsidRPr="00B255A0" w:rsidRDefault="00B37CCF" w:rsidP="007710A1">
            <w:pPr>
              <w:pStyle w:val="BodyText12"/>
              <w:rPr>
                <w:rFonts w:asciiTheme="minorHAnsi" w:hAnsiTheme="minorHAnsi" w:cstheme="minorHAnsi"/>
                <w:sz w:val="22"/>
                <w:szCs w:val="22"/>
                <w:vertAlign w:val="superscript"/>
              </w:rPr>
            </w:pPr>
            <w:r w:rsidRPr="00B255A0">
              <w:rPr>
                <w:rFonts w:asciiTheme="minorHAnsi" w:hAnsiTheme="minorHAnsi" w:cstheme="minorHAnsi"/>
                <w:sz w:val="22"/>
                <w:szCs w:val="22"/>
              </w:rPr>
              <w:t xml:space="preserve">Snaith et al., 1995, </w:t>
            </w:r>
            <w:r w:rsidRPr="00B255A0">
              <w:rPr>
                <w:rFonts w:asciiTheme="minorHAnsi" w:hAnsiTheme="minorHAnsi" w:cstheme="minorHAnsi"/>
                <w:sz w:val="22"/>
                <w:szCs w:val="22"/>
              </w:rPr>
              <w:fldChar w:fldCharType="begin"/>
            </w:r>
            <w:r w:rsidRPr="00B255A0">
              <w:rPr>
                <w:rFonts w:asciiTheme="minorHAnsi" w:hAnsiTheme="minorHAnsi" w:cstheme="minorHAnsi"/>
                <w:sz w:val="22"/>
                <w:szCs w:val="22"/>
              </w:rPr>
              <w:instrText xml:space="preserve"> ADDIN ZOTERO_ITEM CSL_CITATION {"citationID":"aIbWDBUB","properties":{"formattedCitation":"(Snaith et al., 1995b; Tr\\uc0\\u248{}stheim et al., 2020b)","plainCitation":"(Snaith et al., 1995b; Trøstheim et al., 2020b)","dontUpdate":true,"noteIndex":0},"citationItems":[{"id":2626,"uris":["http://zotero.org/groups/2328285/items/HXVB6RPQ"],"itemData":{"id":2626,"type":"article-journal","abstract":"BackgroundHedonic tone and its absence, anhedonia, are important in psychopathological research, but instruments for their assessment are lengthy and probably culturally biased.MethodA new scale was constructed from the responses of a large sample of the general population to a request to list six situations which afforded pleasure. The most frequent items were reviewed and those likely to be affected by cultural setting, age, or sex were removed. A pilot study led to an abbreviated scale of 14 items, covering four domains of pleasure response. This questionnaire was subjected to psychometric evaluation in new samples from the general population and psychiatric patients.ResultsThe scale was found to have a score range that would distinguish a ‘normal’ from an ‘abnormal’ response. Validity and reliability were found to be satisfactory.ConclusionsThe new scale, the Snaith-Hamilton Pleasure Scale (SHAPS), is an instrument which may be recommended for psychopathological research.","container-title":"The British Journal of Psychiatry","DOI":"10.1192/bjp.167.1.99","ISSN":"0007-1250, 1472-1465","issue":"1","language":"en","note":"publisher: Cambridge University Press","page":"99-103","source":"Cambridge University Press","title":"A Scale for the Assessment of Hedonic Tone the Snaith–Hamilton Pleasure Scale","volume":"167","author":[{"family":"Snaith","given":"R. P."},{"family":"Hamilton","given":"M."},{"family":"Morley","given":"S."},{"family":"Humayan","given":"A."},{"family":"Hargreaves","given":"D."},{"family":"Trigwell","given":"P."}],"issued":{"date-parts":[["1995",7]]}}},{"id":2291,"uris":["http://zotero.org/groups/2328285/items/8MRUA95U"],"itemData":{"id":2291,"type":"article-journal","abstract":"OBJECTIVE To generate and compare reference values for anhedonia levels in adults with and without mental illness. DATA SOURCES Web of Science, Scopus, PubMed, and Google Scholar were used to list all articles from January 1, 1995 to July 2, 2019, citing the scale development report of a widely used anhedonia questionnaire, the Snaith-Hamilton Pleasure Scale (SHAPS). Searches were conducted from April 5 to 11, 2018, and on July 2, 2019. STUDY SELECTION Studies including healthy patients and those with a verified diagnosis, assessed at baseline or in a no-treatment condition with the complete 14-item SHAPS, were included in this preregistered meta-analysis. DATA EXTRACTION AND SYNTHESIS Random-effects models were used to calculate mean SHAPS scores and 95% CIs separately for healthy participants and patients with current major depressive disorder (MDD), past/remitted MDD, bipolar disorder, schizophrenia, substance use disorders, Parkinson disease, and chronic pain. SHAPS scores were compared between groups using metaregression, and traditional effect size meta-analyses were conducted to estimate differences in SHAPS scores between healthy and patient samples. This study followed the Preferred Reporting Items for Systematic Reviews and Meta-analyses (PRISMA) guidelines. MAIN OUTCOMES AND MEASURES Self-reported anhedonia as measured by 2 different formats of the SHAPS (possible ranges, 0-14 and 14-56 points), with higher values on both scales indicating greater anhedonia symptoms.\nRESULTS In the available literature (168 articles; 16 494 participants; 8058 [49%] female participants; aged 13-72 years), patients with current MDD, schizophrenia, substance use disorder, Parkinson disease, and chronic pain scored higher on the SHAPS than healthy participants. Within the patient groups, those with current MDD scored considerably higher than all other groups. Patients with remitted MDD scored within the healthy range (g = 0.1). This pattern replicated across SHAPS scoring methods and was consistent across point estimate and effect size analyses.\nCONCLUSIONS AND RELEVANCE The findings of this meta-analysis indicate that the severity of anhedonia may differ across disorders associated with anhedonia. Whereas anhedonia in MDD affects multiple pleasure domains, patients with other conditions may experience decreased","container-title":"JAMA Network Open","DOI":"10.1001/jamanetworkopen.2020.13233","ISSN":"2574-3805","issue":"8","journalAbbreviation":"JAMA Netw Open","language":"en","page":"e2013233","source":"DOI.org (Crossref)","title":"Assessment of Anhedonia in Adults With and Without Mental Illness: A Systematic Review and Meta-analysis","title-short":"Assessment of Anhedonia in Adults With and Without Mental Illness","volume":"3","author":[{"family":"Trøstheim","given":"Martin"},{"family":"Eikemo","given":"Marie"},{"family":"Meir","given":"Remy"},{"family":"Hansen","given":"Ingelin"},{"family":"Paul","given":"Elisabeth"},{"family":"Kroll","given":"Sara Liane"},{"family":"Garland","given":"Eric L."},{"family":"Leknes","given":"Siri"}],"issued":{"date-parts":[["2020",8,13]]}}}],"schema":"https://github.com/citation-style-language/schema/raw/master/csl-citation.json"} </w:instrText>
            </w:r>
            <w:r w:rsidRPr="00B255A0">
              <w:rPr>
                <w:rFonts w:asciiTheme="minorHAnsi" w:hAnsiTheme="minorHAnsi" w:cstheme="minorHAnsi"/>
                <w:sz w:val="22"/>
                <w:szCs w:val="22"/>
              </w:rPr>
              <w:fldChar w:fldCharType="separate"/>
            </w:r>
            <w:r w:rsidRPr="00B255A0">
              <w:rPr>
                <w:rFonts w:asciiTheme="minorHAnsi" w:hAnsiTheme="minorHAnsi" w:cstheme="minorHAnsi"/>
                <w:sz w:val="22"/>
                <w:szCs w:val="22"/>
              </w:rPr>
              <w:t xml:space="preserve"> Trøstheim et al., 2020)</w:t>
            </w:r>
            <w:r w:rsidRPr="00B255A0">
              <w:rPr>
                <w:rFonts w:asciiTheme="minorHAnsi" w:hAnsiTheme="minorHAnsi" w:cstheme="minorHAnsi"/>
                <w:sz w:val="22"/>
                <w:szCs w:val="22"/>
              </w:rPr>
              <w:fldChar w:fldCharType="end"/>
            </w:r>
            <w:r w:rsidRPr="00B255A0">
              <w:rPr>
                <w:rFonts w:asciiTheme="minorHAnsi" w:hAnsiTheme="minorHAnsi" w:cstheme="minorHAnsi"/>
                <w:sz w:val="22"/>
                <w:szCs w:val="22"/>
              </w:rPr>
              <w:t>.</w:t>
            </w:r>
          </w:p>
          <w:p w14:paraId="432A6ECD" w14:textId="77777777" w:rsidR="00B37CCF" w:rsidRPr="00B255A0" w:rsidRDefault="00B37CCF" w:rsidP="007710A1">
            <w:pPr>
              <w:spacing w:line="360" w:lineRule="auto"/>
              <w:rPr>
                <w:rFonts w:cstheme="minorHAnsi"/>
              </w:rPr>
            </w:pPr>
          </w:p>
        </w:tc>
        <w:tc>
          <w:tcPr>
            <w:tcW w:w="1476" w:type="pct"/>
            <w:tcBorders>
              <w:top w:val="single" w:sz="4" w:space="0" w:color="auto"/>
              <w:bottom w:val="single" w:sz="4" w:space="0" w:color="auto"/>
            </w:tcBorders>
            <w:hideMark/>
          </w:tcPr>
          <w:p w14:paraId="4DE97A00" w14:textId="77777777" w:rsidR="00B37CCF" w:rsidRPr="00B255A0" w:rsidRDefault="00B37CCF" w:rsidP="007710A1">
            <w:pPr>
              <w:spacing w:line="360" w:lineRule="auto"/>
              <w:rPr>
                <w:rFonts w:cstheme="minorHAnsi"/>
              </w:rPr>
            </w:pPr>
            <w:r w:rsidRPr="00B255A0">
              <w:rPr>
                <w:rFonts w:cstheme="minorHAnsi"/>
              </w:rPr>
              <w:t xml:space="preserve">14-item scale assessing 4 domains of pleasure response: </w:t>
            </w:r>
          </w:p>
          <w:p w14:paraId="10FA2F70" w14:textId="77777777" w:rsidR="00B37CCF" w:rsidRPr="00B255A0" w:rsidRDefault="00B37CCF" w:rsidP="007710A1">
            <w:pPr>
              <w:pStyle w:val="ListParagraph"/>
              <w:numPr>
                <w:ilvl w:val="0"/>
                <w:numId w:val="2"/>
              </w:numPr>
              <w:spacing w:line="360" w:lineRule="auto"/>
              <w:ind w:left="425"/>
              <w:contextualSpacing w:val="0"/>
              <w:rPr>
                <w:rFonts w:asciiTheme="minorHAnsi" w:hAnsiTheme="minorHAnsi" w:cstheme="minorHAnsi"/>
                <w:sz w:val="22"/>
                <w:szCs w:val="22"/>
              </w:rPr>
            </w:pPr>
            <w:r w:rsidRPr="00B255A0">
              <w:rPr>
                <w:rFonts w:asciiTheme="minorHAnsi" w:hAnsiTheme="minorHAnsi" w:cstheme="minorHAnsi"/>
                <w:sz w:val="22"/>
                <w:szCs w:val="22"/>
              </w:rPr>
              <w:t>interest/pastimes</w:t>
            </w:r>
          </w:p>
          <w:p w14:paraId="68FAA291" w14:textId="77777777" w:rsidR="00B37CCF" w:rsidRPr="00B255A0" w:rsidRDefault="00B37CCF" w:rsidP="007710A1">
            <w:pPr>
              <w:pStyle w:val="ListParagraph"/>
              <w:numPr>
                <w:ilvl w:val="0"/>
                <w:numId w:val="2"/>
              </w:numPr>
              <w:spacing w:line="360" w:lineRule="auto"/>
              <w:ind w:left="425"/>
              <w:contextualSpacing w:val="0"/>
              <w:rPr>
                <w:rFonts w:asciiTheme="minorHAnsi" w:hAnsiTheme="minorHAnsi" w:cstheme="minorHAnsi"/>
                <w:sz w:val="22"/>
                <w:szCs w:val="22"/>
              </w:rPr>
            </w:pPr>
            <w:r w:rsidRPr="00B255A0">
              <w:rPr>
                <w:rFonts w:asciiTheme="minorHAnsi" w:hAnsiTheme="minorHAnsi" w:cstheme="minorHAnsi"/>
                <w:sz w:val="22"/>
                <w:szCs w:val="22"/>
              </w:rPr>
              <w:t>social interaction</w:t>
            </w:r>
          </w:p>
          <w:p w14:paraId="723B8E6E" w14:textId="77777777" w:rsidR="00B37CCF" w:rsidRPr="00B255A0" w:rsidRDefault="00B37CCF" w:rsidP="007710A1">
            <w:pPr>
              <w:pStyle w:val="ListParagraph"/>
              <w:numPr>
                <w:ilvl w:val="0"/>
                <w:numId w:val="2"/>
              </w:numPr>
              <w:spacing w:line="360" w:lineRule="auto"/>
              <w:ind w:left="425"/>
              <w:contextualSpacing w:val="0"/>
              <w:rPr>
                <w:rFonts w:asciiTheme="minorHAnsi" w:hAnsiTheme="minorHAnsi" w:cstheme="minorHAnsi"/>
                <w:sz w:val="22"/>
                <w:szCs w:val="22"/>
              </w:rPr>
            </w:pPr>
            <w:r w:rsidRPr="00B255A0">
              <w:rPr>
                <w:rFonts w:asciiTheme="minorHAnsi" w:hAnsiTheme="minorHAnsi" w:cstheme="minorHAnsi"/>
                <w:sz w:val="22"/>
                <w:szCs w:val="22"/>
              </w:rPr>
              <w:t>sensory experience</w:t>
            </w:r>
          </w:p>
          <w:p w14:paraId="71D41888" w14:textId="77777777" w:rsidR="00B37CCF" w:rsidRPr="00B255A0" w:rsidRDefault="00B37CCF" w:rsidP="007710A1">
            <w:pPr>
              <w:pStyle w:val="ListParagraph"/>
              <w:numPr>
                <w:ilvl w:val="0"/>
                <w:numId w:val="2"/>
              </w:numPr>
              <w:spacing w:line="360" w:lineRule="auto"/>
              <w:ind w:left="425"/>
              <w:contextualSpacing w:val="0"/>
              <w:rPr>
                <w:rFonts w:asciiTheme="minorHAnsi" w:hAnsiTheme="minorHAnsi" w:cstheme="minorHAnsi"/>
                <w:sz w:val="22"/>
                <w:szCs w:val="22"/>
              </w:rPr>
            </w:pPr>
            <w:r w:rsidRPr="00B255A0">
              <w:rPr>
                <w:rFonts w:asciiTheme="minorHAnsi" w:hAnsiTheme="minorHAnsi" w:cstheme="minorHAnsi"/>
                <w:sz w:val="22"/>
                <w:szCs w:val="22"/>
              </w:rPr>
              <w:t>food/drink</w:t>
            </w:r>
          </w:p>
        </w:tc>
        <w:tc>
          <w:tcPr>
            <w:tcW w:w="2749" w:type="pct"/>
            <w:tcBorders>
              <w:top w:val="single" w:sz="4" w:space="0" w:color="auto"/>
              <w:bottom w:val="single" w:sz="4" w:space="0" w:color="auto"/>
            </w:tcBorders>
          </w:tcPr>
          <w:p w14:paraId="70BDFBEF" w14:textId="77777777" w:rsidR="00B37CCF" w:rsidRPr="00B255A0" w:rsidRDefault="00B37CCF" w:rsidP="007710A1">
            <w:pPr>
              <w:pStyle w:val="ListParagraph"/>
              <w:numPr>
                <w:ilvl w:val="0"/>
                <w:numId w:val="1"/>
              </w:numPr>
              <w:spacing w:line="360" w:lineRule="auto"/>
              <w:ind w:left="320"/>
              <w:contextualSpacing w:val="0"/>
              <w:rPr>
                <w:rFonts w:asciiTheme="minorHAnsi" w:hAnsiTheme="minorHAnsi" w:cstheme="minorHAnsi"/>
                <w:sz w:val="22"/>
                <w:szCs w:val="22"/>
              </w:rPr>
            </w:pPr>
            <w:r w:rsidRPr="00B255A0">
              <w:rPr>
                <w:rFonts w:asciiTheme="minorHAnsi" w:hAnsiTheme="minorHAnsi" w:cstheme="minorHAnsi"/>
                <w:sz w:val="22"/>
                <w:szCs w:val="22"/>
              </w:rPr>
              <w:t>Scored on a 2-point scale (1 = strongly disagree, 1 = disagree, 0 = agree, 0 = strongly agree); total score range: 0-14 (&gt;2: anhedonia)</w:t>
            </w:r>
          </w:p>
          <w:p w14:paraId="4376FAA2" w14:textId="77777777" w:rsidR="00B37CCF" w:rsidRPr="00B255A0" w:rsidRDefault="00B37CCF" w:rsidP="007710A1">
            <w:pPr>
              <w:pStyle w:val="ListParagraph"/>
              <w:numPr>
                <w:ilvl w:val="0"/>
                <w:numId w:val="1"/>
              </w:numPr>
              <w:spacing w:line="360" w:lineRule="auto"/>
              <w:ind w:left="320"/>
              <w:contextualSpacing w:val="0"/>
              <w:rPr>
                <w:rFonts w:asciiTheme="minorHAnsi" w:hAnsiTheme="minorHAnsi" w:cstheme="minorHAnsi"/>
                <w:sz w:val="22"/>
                <w:szCs w:val="22"/>
              </w:rPr>
            </w:pPr>
            <w:r w:rsidRPr="00B255A0">
              <w:rPr>
                <w:rFonts w:asciiTheme="minorHAnsi" w:hAnsiTheme="minorHAnsi" w:cstheme="minorHAnsi"/>
                <w:sz w:val="22"/>
                <w:szCs w:val="22"/>
              </w:rPr>
              <w:t>MDD patients who disagreed or strongly disagreed with &gt;2 items (2-point SHAPS &gt; 2) were considered anhedonic and categorized into the MDD ANH group</w:t>
            </w:r>
          </w:p>
          <w:p w14:paraId="4679E79A" w14:textId="77777777" w:rsidR="00B37CCF" w:rsidRPr="00B255A0" w:rsidRDefault="00B37CCF" w:rsidP="007710A1">
            <w:pPr>
              <w:pStyle w:val="ListParagraph"/>
              <w:spacing w:line="360" w:lineRule="auto"/>
              <w:ind w:left="597"/>
              <w:contextualSpacing w:val="0"/>
              <w:rPr>
                <w:rFonts w:asciiTheme="minorHAnsi" w:hAnsiTheme="minorHAnsi" w:cstheme="minorHAnsi"/>
                <w:sz w:val="22"/>
                <w:szCs w:val="22"/>
              </w:rPr>
            </w:pPr>
          </w:p>
        </w:tc>
      </w:tr>
      <w:tr w:rsidR="00B37CCF" w:rsidRPr="00B255A0" w14:paraId="34AAF0B7" w14:textId="77777777" w:rsidTr="007710A1">
        <w:trPr>
          <w:trHeight w:val="1184"/>
        </w:trPr>
        <w:tc>
          <w:tcPr>
            <w:tcW w:w="775" w:type="pct"/>
            <w:tcBorders>
              <w:top w:val="single" w:sz="4" w:space="0" w:color="auto"/>
              <w:bottom w:val="single" w:sz="4" w:space="0" w:color="auto"/>
            </w:tcBorders>
          </w:tcPr>
          <w:p w14:paraId="7A1A8F06" w14:textId="77777777" w:rsidR="00B37CCF" w:rsidRPr="00B255A0" w:rsidRDefault="00B37CCF" w:rsidP="007710A1">
            <w:pPr>
              <w:spacing w:line="360" w:lineRule="auto"/>
              <w:rPr>
                <w:rFonts w:cstheme="minorHAnsi"/>
                <w:b/>
                <w:bCs/>
              </w:rPr>
            </w:pPr>
            <w:r w:rsidRPr="00B255A0">
              <w:rPr>
                <w:rFonts w:cstheme="minorHAnsi"/>
              </w:rPr>
              <w:t>Importance of treatment goals</w:t>
            </w:r>
          </w:p>
        </w:tc>
        <w:tc>
          <w:tcPr>
            <w:tcW w:w="1476" w:type="pct"/>
            <w:tcBorders>
              <w:top w:val="single" w:sz="4" w:space="0" w:color="auto"/>
              <w:bottom w:val="single" w:sz="4" w:space="0" w:color="auto"/>
            </w:tcBorders>
          </w:tcPr>
          <w:p w14:paraId="67EDE30C" w14:textId="77777777" w:rsidR="00B37CCF" w:rsidRPr="00B255A0" w:rsidRDefault="00B37CCF" w:rsidP="007710A1">
            <w:pPr>
              <w:spacing w:line="360" w:lineRule="auto"/>
              <w:rPr>
                <w:rFonts w:cstheme="minorHAnsi"/>
              </w:rPr>
            </w:pPr>
            <w:r w:rsidRPr="00B255A0">
              <w:rPr>
                <w:rFonts w:cstheme="minorHAnsi"/>
              </w:rPr>
              <w:t xml:space="preserve">Assessed MDD and anhedonia symptoms in terms of treatment importance </w:t>
            </w:r>
          </w:p>
        </w:tc>
        <w:tc>
          <w:tcPr>
            <w:tcW w:w="2749" w:type="pct"/>
            <w:tcBorders>
              <w:top w:val="single" w:sz="4" w:space="0" w:color="auto"/>
              <w:bottom w:val="single" w:sz="4" w:space="0" w:color="auto"/>
            </w:tcBorders>
          </w:tcPr>
          <w:p w14:paraId="2C2C2598" w14:textId="77777777" w:rsidR="00B37CCF" w:rsidRPr="00B255A0" w:rsidRDefault="00B37CCF" w:rsidP="007710A1">
            <w:pPr>
              <w:pStyle w:val="ListParagraph"/>
              <w:numPr>
                <w:ilvl w:val="0"/>
                <w:numId w:val="5"/>
              </w:numPr>
              <w:spacing w:line="360" w:lineRule="auto"/>
              <w:ind w:left="398"/>
              <w:contextualSpacing w:val="0"/>
              <w:rPr>
                <w:rFonts w:asciiTheme="minorHAnsi" w:hAnsiTheme="minorHAnsi" w:cstheme="minorHAnsi"/>
                <w:sz w:val="22"/>
                <w:szCs w:val="22"/>
              </w:rPr>
            </w:pPr>
            <w:r w:rsidRPr="00B255A0">
              <w:rPr>
                <w:rFonts w:asciiTheme="minorHAnsi" w:hAnsiTheme="minorHAnsi" w:cstheme="minorHAnsi"/>
                <w:sz w:val="22"/>
                <w:szCs w:val="22"/>
              </w:rPr>
              <w:t>Rating on a Likert scale of 1-5; where higher scores indicate greater importance</w:t>
            </w:r>
          </w:p>
        </w:tc>
      </w:tr>
      <w:tr w:rsidR="00B37CCF" w:rsidRPr="00B255A0" w14:paraId="200BB6BE" w14:textId="77777777" w:rsidTr="007710A1">
        <w:trPr>
          <w:trHeight w:val="1184"/>
        </w:trPr>
        <w:tc>
          <w:tcPr>
            <w:tcW w:w="775" w:type="pct"/>
            <w:tcBorders>
              <w:top w:val="single" w:sz="4" w:space="0" w:color="auto"/>
              <w:bottom w:val="single" w:sz="4" w:space="0" w:color="auto"/>
            </w:tcBorders>
          </w:tcPr>
          <w:p w14:paraId="1CE174AC" w14:textId="77777777" w:rsidR="00B37CCF" w:rsidRPr="00B255A0" w:rsidRDefault="00B37CCF" w:rsidP="007710A1">
            <w:pPr>
              <w:spacing w:line="360" w:lineRule="auto"/>
              <w:rPr>
                <w:rFonts w:cstheme="minorHAnsi"/>
              </w:rPr>
            </w:pPr>
            <w:r w:rsidRPr="00B255A0">
              <w:rPr>
                <w:rFonts w:cstheme="minorHAnsi"/>
              </w:rPr>
              <w:t>Satisfaction with treatment goals</w:t>
            </w:r>
          </w:p>
        </w:tc>
        <w:tc>
          <w:tcPr>
            <w:tcW w:w="1476" w:type="pct"/>
            <w:tcBorders>
              <w:top w:val="single" w:sz="4" w:space="0" w:color="auto"/>
              <w:bottom w:val="single" w:sz="4" w:space="0" w:color="auto"/>
            </w:tcBorders>
          </w:tcPr>
          <w:p w14:paraId="1045BC4F" w14:textId="77777777" w:rsidR="00B37CCF" w:rsidRPr="00B255A0" w:rsidRDefault="00B37CCF" w:rsidP="007710A1">
            <w:pPr>
              <w:spacing w:line="360" w:lineRule="auto"/>
              <w:rPr>
                <w:rFonts w:cstheme="minorHAnsi"/>
              </w:rPr>
            </w:pPr>
            <w:r w:rsidRPr="00B255A0">
              <w:rPr>
                <w:rFonts w:cstheme="minorHAnsi"/>
              </w:rPr>
              <w:t>Assessed satisfaction of treatment received for MDD and anhedonia symptoms</w:t>
            </w:r>
          </w:p>
        </w:tc>
        <w:tc>
          <w:tcPr>
            <w:tcW w:w="2749" w:type="pct"/>
            <w:tcBorders>
              <w:top w:val="single" w:sz="4" w:space="0" w:color="auto"/>
              <w:bottom w:val="single" w:sz="4" w:space="0" w:color="auto"/>
            </w:tcBorders>
          </w:tcPr>
          <w:p w14:paraId="5E55E3A9" w14:textId="77777777" w:rsidR="00B37CCF" w:rsidRPr="00B255A0" w:rsidRDefault="00B37CCF" w:rsidP="007710A1">
            <w:pPr>
              <w:pStyle w:val="ListParagraph"/>
              <w:numPr>
                <w:ilvl w:val="0"/>
                <w:numId w:val="6"/>
              </w:numPr>
              <w:spacing w:line="360" w:lineRule="auto"/>
              <w:ind w:left="398"/>
              <w:contextualSpacing w:val="0"/>
              <w:rPr>
                <w:rFonts w:asciiTheme="minorHAnsi" w:hAnsiTheme="minorHAnsi" w:cstheme="minorHAnsi"/>
                <w:sz w:val="22"/>
                <w:szCs w:val="22"/>
              </w:rPr>
            </w:pPr>
            <w:r w:rsidRPr="00B255A0">
              <w:rPr>
                <w:rFonts w:asciiTheme="minorHAnsi" w:hAnsiTheme="minorHAnsi" w:cstheme="minorHAnsi"/>
                <w:sz w:val="22"/>
                <w:szCs w:val="22"/>
              </w:rPr>
              <w:t>Rating on a Likert scale of 1-9; where higher scores indicate greater satisfaction</w:t>
            </w:r>
          </w:p>
        </w:tc>
      </w:tr>
    </w:tbl>
    <w:p w14:paraId="7C6E6386" w14:textId="77777777" w:rsidR="00B37CCF" w:rsidRPr="00B8403D" w:rsidRDefault="00B37CCF" w:rsidP="00B37CCF">
      <w:pPr>
        <w:spacing w:line="360" w:lineRule="auto"/>
        <w:rPr>
          <w:rFonts w:cstheme="minorHAnsi"/>
          <w:sz w:val="20"/>
          <w:szCs w:val="20"/>
        </w:rPr>
        <w:sectPr w:rsidR="00B37CCF" w:rsidRPr="00B8403D">
          <w:pgSz w:w="11906" w:h="16838"/>
          <w:pgMar w:top="1440" w:right="1440" w:bottom="1440" w:left="1440" w:header="708" w:footer="708" w:gutter="0"/>
          <w:cols w:space="708"/>
          <w:docGrid w:linePitch="360"/>
        </w:sectPr>
      </w:pPr>
      <w:bookmarkStart w:id="0" w:name="_Hlk152400016"/>
      <w:r w:rsidRPr="00B8403D">
        <w:rPr>
          <w:rFonts w:cstheme="minorHAnsi"/>
          <w:sz w:val="20"/>
          <w:szCs w:val="20"/>
        </w:rPr>
        <w:t>MDD, major depressive disorder; PHQ-9, 9-item Patient Health Questionnaire; SHAPS, Snaith-Hamilton Pleasure Scale.</w:t>
      </w:r>
      <w:bookmarkStart w:id="1" w:name="_Ref109138436"/>
      <w:bookmarkStart w:id="2" w:name="_Toc111543770"/>
    </w:p>
    <w:bookmarkEnd w:id="0"/>
    <w:p w14:paraId="31ECF6FA" w14:textId="77777777" w:rsidR="00B37CCF" w:rsidRPr="00B255A0" w:rsidRDefault="00B37CCF" w:rsidP="00B37CCF">
      <w:pPr>
        <w:spacing w:line="360" w:lineRule="auto"/>
        <w:rPr>
          <w:rFonts w:cstheme="minorHAnsi"/>
          <w:b/>
          <w:bCs/>
        </w:rPr>
      </w:pPr>
      <w:r w:rsidRPr="00B255A0">
        <w:rPr>
          <w:rFonts w:cstheme="minorHAnsi"/>
          <w:b/>
          <w:bCs/>
        </w:rPr>
        <w:lastRenderedPageBreak/>
        <w:t xml:space="preserve">Table </w:t>
      </w:r>
      <w:bookmarkEnd w:id="1"/>
      <w:r w:rsidRPr="00B255A0">
        <w:rPr>
          <w:rFonts w:cstheme="minorHAnsi"/>
          <w:b/>
          <w:bCs/>
        </w:rPr>
        <w:t>S2. Depression-specific characteristics</w:t>
      </w:r>
      <w:bookmarkEnd w:id="2"/>
      <w:r w:rsidRPr="00B255A0">
        <w:rPr>
          <w:rFonts w:cstheme="minorHAnsi"/>
          <w:b/>
          <w:bCs/>
        </w:rPr>
        <w:t xml:space="preserve"> and treatment patterns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931"/>
      </w:tblGrid>
      <w:tr w:rsidR="00B37CCF" w:rsidRPr="00B255A0" w14:paraId="4C319E98" w14:textId="77777777" w:rsidTr="007710A1">
        <w:trPr>
          <w:trHeight w:val="288"/>
        </w:trPr>
        <w:tc>
          <w:tcPr>
            <w:tcW w:w="3085" w:type="dxa"/>
            <w:tcBorders>
              <w:top w:val="single" w:sz="4" w:space="0" w:color="auto"/>
              <w:bottom w:val="single" w:sz="4" w:space="0" w:color="auto"/>
            </w:tcBorders>
            <w:shd w:val="clear" w:color="auto" w:fill="BFBFBF" w:themeFill="background1" w:themeFillShade="BF"/>
            <w:vAlign w:val="center"/>
          </w:tcPr>
          <w:p w14:paraId="6ACBB2DA" w14:textId="77777777" w:rsidR="00B37CCF" w:rsidRPr="00B255A0" w:rsidRDefault="00B37CCF" w:rsidP="007710A1">
            <w:pPr>
              <w:pStyle w:val="TableText"/>
              <w:spacing w:line="360" w:lineRule="auto"/>
              <w:rPr>
                <w:rFonts w:asciiTheme="minorHAnsi" w:hAnsiTheme="minorHAnsi" w:cstheme="minorHAnsi"/>
                <w:sz w:val="22"/>
                <w:szCs w:val="22"/>
              </w:rPr>
            </w:pPr>
            <w:r w:rsidRPr="00B255A0">
              <w:rPr>
                <w:rFonts w:asciiTheme="minorHAnsi" w:hAnsiTheme="minorHAnsi" w:cstheme="minorHAnsi"/>
                <w:sz w:val="22"/>
                <w:szCs w:val="22"/>
              </w:rPr>
              <w:t>Variable</w:t>
            </w:r>
          </w:p>
        </w:tc>
        <w:tc>
          <w:tcPr>
            <w:tcW w:w="5931" w:type="dxa"/>
            <w:tcBorders>
              <w:top w:val="single" w:sz="4" w:space="0" w:color="auto"/>
              <w:bottom w:val="single" w:sz="4" w:space="0" w:color="auto"/>
            </w:tcBorders>
            <w:shd w:val="clear" w:color="auto" w:fill="BFBFBF" w:themeFill="background1" w:themeFillShade="BF"/>
            <w:vAlign w:val="center"/>
          </w:tcPr>
          <w:p w14:paraId="239953D4" w14:textId="77777777" w:rsidR="00B37CCF" w:rsidRPr="00B255A0" w:rsidRDefault="00B37CCF" w:rsidP="007710A1">
            <w:pPr>
              <w:pStyle w:val="TableText"/>
              <w:spacing w:line="360" w:lineRule="auto"/>
              <w:rPr>
                <w:rFonts w:asciiTheme="minorHAnsi" w:hAnsiTheme="minorHAnsi" w:cstheme="minorHAnsi"/>
                <w:b/>
                <w:sz w:val="22"/>
                <w:szCs w:val="22"/>
              </w:rPr>
            </w:pPr>
            <w:r w:rsidRPr="00B255A0">
              <w:rPr>
                <w:rFonts w:asciiTheme="minorHAnsi" w:hAnsiTheme="minorHAnsi" w:cstheme="minorHAnsi"/>
                <w:b/>
                <w:sz w:val="22"/>
                <w:szCs w:val="22"/>
              </w:rPr>
              <w:t>Definition</w:t>
            </w:r>
          </w:p>
        </w:tc>
      </w:tr>
      <w:tr w:rsidR="00B37CCF" w:rsidRPr="00B255A0" w14:paraId="3846CFA4" w14:textId="77777777" w:rsidTr="007710A1">
        <w:tc>
          <w:tcPr>
            <w:tcW w:w="3085" w:type="dxa"/>
            <w:tcBorders>
              <w:top w:val="single" w:sz="4" w:space="0" w:color="auto"/>
              <w:bottom w:val="single" w:sz="4" w:space="0" w:color="auto"/>
            </w:tcBorders>
          </w:tcPr>
          <w:p w14:paraId="269DF800" w14:textId="77777777" w:rsidR="00B37CCF" w:rsidRPr="00B255A0" w:rsidRDefault="00B37CCF" w:rsidP="007710A1">
            <w:pPr>
              <w:pStyle w:val="TableText"/>
              <w:spacing w:line="360" w:lineRule="auto"/>
              <w:rPr>
                <w:rFonts w:asciiTheme="minorHAnsi" w:hAnsiTheme="minorHAnsi" w:cstheme="minorHAnsi"/>
                <w:sz w:val="22"/>
                <w:szCs w:val="22"/>
              </w:rPr>
            </w:pPr>
            <w:r w:rsidRPr="00B255A0">
              <w:rPr>
                <w:rFonts w:asciiTheme="minorHAnsi" w:hAnsiTheme="minorHAnsi" w:cstheme="minorHAnsi"/>
                <w:color w:val="000000"/>
                <w:sz w:val="22"/>
                <w:szCs w:val="22"/>
              </w:rPr>
              <w:t>Depression Symptoms Prompting Diagnosis (three main symptoms)</w:t>
            </w:r>
          </w:p>
        </w:tc>
        <w:tc>
          <w:tcPr>
            <w:tcW w:w="5931" w:type="dxa"/>
            <w:tcBorders>
              <w:top w:val="single" w:sz="4" w:space="0" w:color="auto"/>
              <w:bottom w:val="single" w:sz="4" w:space="0" w:color="auto"/>
            </w:tcBorders>
          </w:tcPr>
          <w:p w14:paraId="153FD61E" w14:textId="77777777" w:rsidR="00B37CCF" w:rsidRPr="00B255A0" w:rsidRDefault="00B37CCF" w:rsidP="007710A1">
            <w:pPr>
              <w:pStyle w:val="TableText"/>
              <w:numPr>
                <w:ilvl w:val="0"/>
                <w:numId w:val="7"/>
              </w:numPr>
              <w:spacing w:line="360" w:lineRule="auto"/>
              <w:ind w:left="353"/>
              <w:rPr>
                <w:rFonts w:asciiTheme="minorHAnsi" w:hAnsiTheme="minorHAnsi" w:cstheme="minorHAnsi"/>
                <w:color w:val="000000"/>
                <w:sz w:val="22"/>
                <w:szCs w:val="22"/>
              </w:rPr>
            </w:pPr>
            <w:r w:rsidRPr="00B255A0">
              <w:rPr>
                <w:rFonts w:asciiTheme="minorHAnsi" w:hAnsiTheme="minorHAnsi" w:cstheme="minorHAnsi"/>
                <w:color w:val="000000"/>
                <w:sz w:val="22"/>
                <w:szCs w:val="22"/>
              </w:rPr>
              <w:t>Depressed mood and other emotional problems (e.g., hopelessness, tiredness, anxiety)</w:t>
            </w:r>
          </w:p>
          <w:p w14:paraId="4D0606A1" w14:textId="77777777" w:rsidR="00B37CCF" w:rsidRPr="00B255A0" w:rsidRDefault="00B37CCF" w:rsidP="007710A1">
            <w:pPr>
              <w:pStyle w:val="TableText"/>
              <w:numPr>
                <w:ilvl w:val="0"/>
                <w:numId w:val="7"/>
              </w:numPr>
              <w:spacing w:line="360" w:lineRule="auto"/>
              <w:ind w:left="353"/>
              <w:rPr>
                <w:rFonts w:asciiTheme="minorHAnsi" w:hAnsiTheme="minorHAnsi" w:cstheme="minorHAnsi"/>
                <w:color w:val="000000"/>
                <w:sz w:val="22"/>
                <w:szCs w:val="22"/>
              </w:rPr>
            </w:pPr>
            <w:r w:rsidRPr="00B255A0">
              <w:rPr>
                <w:rFonts w:asciiTheme="minorHAnsi" w:hAnsiTheme="minorHAnsi" w:cstheme="minorHAnsi"/>
                <w:color w:val="000000"/>
                <w:sz w:val="22"/>
                <w:szCs w:val="22"/>
              </w:rPr>
              <w:t>Eating pattern changes (e.g., appetite loss, weight loss, overeating, weight gain)</w:t>
            </w:r>
          </w:p>
          <w:p w14:paraId="7B391E22" w14:textId="77777777" w:rsidR="00B37CCF" w:rsidRPr="00B255A0" w:rsidRDefault="00B37CCF" w:rsidP="007710A1">
            <w:pPr>
              <w:pStyle w:val="TableText"/>
              <w:numPr>
                <w:ilvl w:val="0"/>
                <w:numId w:val="7"/>
              </w:numPr>
              <w:spacing w:line="360" w:lineRule="auto"/>
              <w:ind w:left="353"/>
              <w:rPr>
                <w:rFonts w:asciiTheme="minorHAnsi" w:hAnsiTheme="minorHAnsi" w:cstheme="minorHAnsi"/>
                <w:color w:val="000000"/>
                <w:sz w:val="22"/>
                <w:szCs w:val="22"/>
              </w:rPr>
            </w:pPr>
            <w:r w:rsidRPr="00B255A0">
              <w:rPr>
                <w:rFonts w:asciiTheme="minorHAnsi" w:hAnsiTheme="minorHAnsi" w:cstheme="minorHAnsi"/>
                <w:color w:val="000000"/>
                <w:sz w:val="22"/>
                <w:szCs w:val="22"/>
              </w:rPr>
              <w:t>Sleep pattern changes (e.g., difficulty sleeping, oversleeping, waking up early)</w:t>
            </w:r>
          </w:p>
          <w:p w14:paraId="594601C6" w14:textId="77777777" w:rsidR="00B37CCF" w:rsidRPr="00B255A0" w:rsidRDefault="00B37CCF" w:rsidP="007710A1">
            <w:pPr>
              <w:pStyle w:val="TableText"/>
              <w:numPr>
                <w:ilvl w:val="0"/>
                <w:numId w:val="7"/>
              </w:numPr>
              <w:spacing w:line="360" w:lineRule="auto"/>
              <w:ind w:left="353"/>
              <w:rPr>
                <w:rFonts w:asciiTheme="minorHAnsi" w:hAnsiTheme="minorHAnsi" w:cstheme="minorHAnsi"/>
                <w:color w:val="000000"/>
                <w:sz w:val="22"/>
                <w:szCs w:val="22"/>
              </w:rPr>
            </w:pPr>
            <w:r w:rsidRPr="00B255A0">
              <w:rPr>
                <w:rFonts w:asciiTheme="minorHAnsi" w:hAnsiTheme="minorHAnsi" w:cstheme="minorHAnsi"/>
                <w:color w:val="000000"/>
                <w:sz w:val="22"/>
                <w:szCs w:val="22"/>
              </w:rPr>
              <w:t>Mental changes (e.g., forgetfulness, difficulty thinking, difficulty concentrating)</w:t>
            </w:r>
          </w:p>
          <w:p w14:paraId="6DBEF9D8" w14:textId="77777777" w:rsidR="00B37CCF" w:rsidRPr="00B255A0" w:rsidRDefault="00B37CCF" w:rsidP="007710A1">
            <w:pPr>
              <w:pStyle w:val="TableText"/>
              <w:numPr>
                <w:ilvl w:val="0"/>
                <w:numId w:val="7"/>
              </w:numPr>
              <w:spacing w:line="360" w:lineRule="auto"/>
              <w:ind w:left="353"/>
              <w:rPr>
                <w:rFonts w:asciiTheme="minorHAnsi" w:hAnsiTheme="minorHAnsi" w:cstheme="minorHAnsi"/>
                <w:color w:val="000000"/>
                <w:sz w:val="22"/>
                <w:szCs w:val="22"/>
              </w:rPr>
            </w:pPr>
            <w:r w:rsidRPr="00B255A0">
              <w:rPr>
                <w:rFonts w:asciiTheme="minorHAnsi" w:hAnsiTheme="minorHAnsi" w:cstheme="minorHAnsi"/>
                <w:color w:val="000000"/>
                <w:sz w:val="22"/>
                <w:szCs w:val="22"/>
              </w:rPr>
              <w:t>Social problems (e.g., isolation, alcohol problems, drug problems, sex problems)</w:t>
            </w:r>
          </w:p>
          <w:p w14:paraId="5283C968" w14:textId="77777777" w:rsidR="00B37CCF" w:rsidRPr="00B255A0" w:rsidRDefault="00B37CCF" w:rsidP="007710A1">
            <w:pPr>
              <w:pStyle w:val="TableText"/>
              <w:numPr>
                <w:ilvl w:val="0"/>
                <w:numId w:val="7"/>
              </w:numPr>
              <w:spacing w:line="360" w:lineRule="auto"/>
              <w:ind w:left="353"/>
              <w:rPr>
                <w:rFonts w:asciiTheme="minorHAnsi" w:hAnsiTheme="minorHAnsi" w:cstheme="minorHAnsi"/>
                <w:color w:val="000000"/>
                <w:sz w:val="22"/>
                <w:szCs w:val="22"/>
              </w:rPr>
            </w:pPr>
            <w:r w:rsidRPr="00B255A0">
              <w:rPr>
                <w:rFonts w:asciiTheme="minorHAnsi" w:hAnsiTheme="minorHAnsi" w:cstheme="minorHAnsi"/>
                <w:color w:val="000000"/>
                <w:sz w:val="22"/>
                <w:szCs w:val="22"/>
              </w:rPr>
              <w:t>Physical problems (e.g., headaches, body aches, constipation)</w:t>
            </w:r>
          </w:p>
          <w:p w14:paraId="24D27107" w14:textId="77777777" w:rsidR="00B37CCF" w:rsidRPr="00B255A0" w:rsidRDefault="00B37CCF" w:rsidP="007710A1">
            <w:pPr>
              <w:pStyle w:val="TableText"/>
              <w:numPr>
                <w:ilvl w:val="0"/>
                <w:numId w:val="7"/>
              </w:numPr>
              <w:spacing w:line="360" w:lineRule="auto"/>
              <w:ind w:left="353"/>
              <w:rPr>
                <w:rFonts w:asciiTheme="minorHAnsi" w:hAnsiTheme="minorHAnsi" w:cstheme="minorHAnsi"/>
                <w:b/>
                <w:color w:val="000000"/>
                <w:sz w:val="22"/>
                <w:szCs w:val="22"/>
              </w:rPr>
            </w:pPr>
            <w:r w:rsidRPr="00B255A0">
              <w:rPr>
                <w:rFonts w:asciiTheme="minorHAnsi" w:hAnsiTheme="minorHAnsi" w:cstheme="minorHAnsi"/>
                <w:color w:val="000000"/>
                <w:sz w:val="22"/>
                <w:szCs w:val="22"/>
              </w:rPr>
              <w:t>None of these</w:t>
            </w:r>
          </w:p>
        </w:tc>
      </w:tr>
      <w:tr w:rsidR="00B37CCF" w:rsidRPr="00B255A0" w14:paraId="6A491BCB" w14:textId="77777777" w:rsidTr="007710A1">
        <w:tc>
          <w:tcPr>
            <w:tcW w:w="3085" w:type="dxa"/>
            <w:tcBorders>
              <w:top w:val="single" w:sz="4" w:space="0" w:color="auto"/>
              <w:bottom w:val="single" w:sz="4" w:space="0" w:color="auto"/>
            </w:tcBorders>
          </w:tcPr>
          <w:p w14:paraId="0F98A5F7" w14:textId="77777777" w:rsidR="00B37CCF" w:rsidRPr="00B255A0" w:rsidRDefault="00B37CCF" w:rsidP="007710A1">
            <w:pPr>
              <w:pStyle w:val="TableText"/>
              <w:spacing w:line="360" w:lineRule="auto"/>
              <w:rPr>
                <w:rFonts w:asciiTheme="minorHAnsi" w:hAnsiTheme="minorHAnsi" w:cstheme="minorHAnsi"/>
                <w:sz w:val="22"/>
                <w:szCs w:val="22"/>
              </w:rPr>
            </w:pPr>
            <w:r w:rsidRPr="00B255A0">
              <w:rPr>
                <w:rFonts w:asciiTheme="minorHAnsi" w:hAnsiTheme="minorHAnsi" w:cstheme="minorHAnsi"/>
                <w:sz w:val="22"/>
                <w:szCs w:val="22"/>
              </w:rPr>
              <w:t>Time since Depression Diagnosis (years)</w:t>
            </w:r>
          </w:p>
        </w:tc>
        <w:tc>
          <w:tcPr>
            <w:tcW w:w="5931" w:type="dxa"/>
            <w:tcBorders>
              <w:top w:val="single" w:sz="4" w:space="0" w:color="auto"/>
              <w:bottom w:val="single" w:sz="4" w:space="0" w:color="auto"/>
            </w:tcBorders>
          </w:tcPr>
          <w:p w14:paraId="6E23B0F8" w14:textId="77777777" w:rsidR="00B37CCF" w:rsidRPr="00B255A0" w:rsidRDefault="00B37CCF" w:rsidP="007710A1">
            <w:pPr>
              <w:pStyle w:val="TableText"/>
              <w:spacing w:line="360" w:lineRule="auto"/>
              <w:rPr>
                <w:rFonts w:asciiTheme="minorHAnsi" w:hAnsiTheme="minorHAnsi" w:cstheme="minorHAnsi"/>
                <w:color w:val="000000"/>
                <w:sz w:val="22"/>
                <w:szCs w:val="22"/>
              </w:rPr>
            </w:pPr>
            <w:r w:rsidRPr="00B255A0">
              <w:rPr>
                <w:rFonts w:asciiTheme="minorHAnsi" w:hAnsiTheme="minorHAnsi" w:cstheme="minorHAnsi"/>
                <w:sz w:val="22"/>
                <w:szCs w:val="22"/>
              </w:rPr>
              <w:t>Calculated from the year of depression diagnosis</w:t>
            </w:r>
          </w:p>
        </w:tc>
      </w:tr>
      <w:tr w:rsidR="00B37CCF" w:rsidRPr="00B255A0" w14:paraId="08DF36AE" w14:textId="77777777" w:rsidTr="007710A1">
        <w:tc>
          <w:tcPr>
            <w:tcW w:w="3085" w:type="dxa"/>
            <w:tcBorders>
              <w:top w:val="single" w:sz="4" w:space="0" w:color="auto"/>
              <w:bottom w:val="single" w:sz="4" w:space="0" w:color="auto"/>
            </w:tcBorders>
          </w:tcPr>
          <w:p w14:paraId="11BC24C6" w14:textId="77777777" w:rsidR="00B37CCF" w:rsidRPr="00B255A0" w:rsidRDefault="00B37CCF" w:rsidP="007710A1">
            <w:pPr>
              <w:pStyle w:val="TableText"/>
              <w:spacing w:line="360" w:lineRule="auto"/>
              <w:rPr>
                <w:rFonts w:asciiTheme="minorHAnsi" w:hAnsiTheme="minorHAnsi" w:cstheme="minorHAnsi"/>
                <w:sz w:val="22"/>
                <w:szCs w:val="22"/>
              </w:rPr>
            </w:pPr>
            <w:r w:rsidRPr="00B255A0">
              <w:rPr>
                <w:rFonts w:asciiTheme="minorHAnsi" w:hAnsiTheme="minorHAnsi" w:cstheme="minorHAnsi"/>
                <w:sz w:val="22"/>
                <w:szCs w:val="22"/>
              </w:rPr>
              <w:t>Diagnosing HCP</w:t>
            </w:r>
          </w:p>
        </w:tc>
        <w:tc>
          <w:tcPr>
            <w:tcW w:w="5931" w:type="dxa"/>
            <w:tcBorders>
              <w:top w:val="single" w:sz="4" w:space="0" w:color="auto"/>
              <w:bottom w:val="single" w:sz="4" w:space="0" w:color="auto"/>
            </w:tcBorders>
          </w:tcPr>
          <w:p w14:paraId="79DB743A" w14:textId="77777777" w:rsidR="00B37CCF" w:rsidRPr="00B255A0" w:rsidRDefault="00B37CCF" w:rsidP="007710A1">
            <w:pPr>
              <w:pStyle w:val="TableText"/>
              <w:numPr>
                <w:ilvl w:val="0"/>
                <w:numId w:val="8"/>
              </w:numPr>
              <w:tabs>
                <w:tab w:val="clear" w:pos="576"/>
                <w:tab w:val="clear" w:pos="864"/>
                <w:tab w:val="left" w:pos="360"/>
              </w:tabs>
              <w:spacing w:line="360" w:lineRule="auto"/>
              <w:ind w:left="353"/>
              <w:rPr>
                <w:rFonts w:asciiTheme="minorHAnsi" w:hAnsiTheme="minorHAnsi" w:cstheme="minorHAnsi"/>
                <w:color w:val="000000"/>
                <w:sz w:val="22"/>
                <w:szCs w:val="22"/>
              </w:rPr>
            </w:pPr>
            <w:r w:rsidRPr="00B255A0">
              <w:rPr>
                <w:rFonts w:asciiTheme="minorHAnsi" w:hAnsiTheme="minorHAnsi" w:cstheme="minorHAnsi"/>
                <w:color w:val="000000"/>
                <w:sz w:val="22"/>
                <w:szCs w:val="22"/>
              </w:rPr>
              <w:t xml:space="preserve">Primary Care Physician/GP/Internist </w:t>
            </w:r>
          </w:p>
          <w:p w14:paraId="7306CD07" w14:textId="77777777" w:rsidR="00B37CCF" w:rsidRPr="00B255A0" w:rsidRDefault="00B37CCF" w:rsidP="007710A1">
            <w:pPr>
              <w:pStyle w:val="TableText"/>
              <w:numPr>
                <w:ilvl w:val="0"/>
                <w:numId w:val="8"/>
              </w:numPr>
              <w:tabs>
                <w:tab w:val="clear" w:pos="576"/>
                <w:tab w:val="clear" w:pos="864"/>
                <w:tab w:val="left" w:pos="360"/>
              </w:tabs>
              <w:spacing w:line="360" w:lineRule="auto"/>
              <w:ind w:left="353"/>
              <w:rPr>
                <w:rFonts w:asciiTheme="minorHAnsi" w:hAnsiTheme="minorHAnsi" w:cstheme="minorHAnsi"/>
                <w:color w:val="000000"/>
                <w:sz w:val="22"/>
                <w:szCs w:val="22"/>
              </w:rPr>
            </w:pPr>
            <w:r w:rsidRPr="00B255A0">
              <w:rPr>
                <w:rFonts w:asciiTheme="minorHAnsi" w:hAnsiTheme="minorHAnsi" w:cstheme="minorHAnsi"/>
                <w:color w:val="000000"/>
                <w:sz w:val="22"/>
                <w:szCs w:val="22"/>
              </w:rPr>
              <w:t>Nurse Practitioner/Physician Assistant</w:t>
            </w:r>
          </w:p>
          <w:p w14:paraId="66F47E66" w14:textId="77777777" w:rsidR="00B37CCF" w:rsidRPr="00B255A0" w:rsidRDefault="00B37CCF" w:rsidP="007710A1">
            <w:pPr>
              <w:pStyle w:val="TableText"/>
              <w:numPr>
                <w:ilvl w:val="0"/>
                <w:numId w:val="8"/>
              </w:numPr>
              <w:tabs>
                <w:tab w:val="clear" w:pos="576"/>
                <w:tab w:val="clear" w:pos="864"/>
                <w:tab w:val="left" w:pos="360"/>
              </w:tabs>
              <w:spacing w:line="360" w:lineRule="auto"/>
              <w:ind w:left="353"/>
              <w:rPr>
                <w:rFonts w:asciiTheme="minorHAnsi" w:hAnsiTheme="minorHAnsi" w:cstheme="minorHAnsi"/>
                <w:color w:val="000000"/>
                <w:sz w:val="22"/>
                <w:szCs w:val="22"/>
              </w:rPr>
            </w:pPr>
            <w:r w:rsidRPr="00B255A0">
              <w:rPr>
                <w:rFonts w:asciiTheme="minorHAnsi" w:hAnsiTheme="minorHAnsi" w:cstheme="minorHAnsi"/>
                <w:color w:val="000000"/>
                <w:sz w:val="22"/>
                <w:szCs w:val="22"/>
              </w:rPr>
              <w:t>Psychiatrist</w:t>
            </w:r>
          </w:p>
          <w:p w14:paraId="4CA20ECF" w14:textId="77777777" w:rsidR="00B37CCF" w:rsidRPr="00B255A0" w:rsidRDefault="00B37CCF" w:rsidP="007710A1">
            <w:pPr>
              <w:pStyle w:val="TableText"/>
              <w:numPr>
                <w:ilvl w:val="0"/>
                <w:numId w:val="8"/>
              </w:numPr>
              <w:tabs>
                <w:tab w:val="clear" w:pos="576"/>
                <w:tab w:val="clear" w:pos="864"/>
                <w:tab w:val="left" w:pos="360"/>
              </w:tabs>
              <w:spacing w:line="360" w:lineRule="auto"/>
              <w:ind w:left="353"/>
              <w:rPr>
                <w:rFonts w:asciiTheme="minorHAnsi" w:hAnsiTheme="minorHAnsi" w:cstheme="minorHAnsi"/>
                <w:color w:val="000000"/>
                <w:sz w:val="22"/>
                <w:szCs w:val="22"/>
              </w:rPr>
            </w:pPr>
            <w:r w:rsidRPr="00B255A0">
              <w:rPr>
                <w:rFonts w:asciiTheme="minorHAnsi" w:hAnsiTheme="minorHAnsi" w:cstheme="minorHAnsi"/>
                <w:color w:val="000000"/>
                <w:sz w:val="22"/>
                <w:szCs w:val="22"/>
              </w:rPr>
              <w:t>Psychologist</w:t>
            </w:r>
          </w:p>
          <w:p w14:paraId="001EE96E" w14:textId="77777777" w:rsidR="00B37CCF" w:rsidRPr="00B255A0" w:rsidRDefault="00B37CCF" w:rsidP="007710A1">
            <w:pPr>
              <w:pStyle w:val="TableText"/>
              <w:numPr>
                <w:ilvl w:val="0"/>
                <w:numId w:val="8"/>
              </w:numPr>
              <w:tabs>
                <w:tab w:val="clear" w:pos="576"/>
                <w:tab w:val="clear" w:pos="864"/>
                <w:tab w:val="left" w:pos="360"/>
              </w:tabs>
              <w:spacing w:line="360" w:lineRule="auto"/>
              <w:ind w:left="353"/>
              <w:rPr>
                <w:rFonts w:asciiTheme="minorHAnsi" w:hAnsiTheme="minorHAnsi" w:cstheme="minorHAnsi"/>
                <w:color w:val="000000"/>
                <w:sz w:val="22"/>
                <w:szCs w:val="22"/>
              </w:rPr>
            </w:pPr>
            <w:r w:rsidRPr="00B255A0">
              <w:rPr>
                <w:rFonts w:asciiTheme="minorHAnsi" w:hAnsiTheme="minorHAnsi" w:cstheme="minorHAnsi"/>
                <w:color w:val="000000"/>
                <w:sz w:val="22"/>
                <w:szCs w:val="22"/>
              </w:rPr>
              <w:t>Neurologist</w:t>
            </w:r>
          </w:p>
          <w:p w14:paraId="3CEDC65A" w14:textId="77777777" w:rsidR="00B37CCF" w:rsidRPr="00B255A0" w:rsidRDefault="00B37CCF" w:rsidP="007710A1">
            <w:pPr>
              <w:pStyle w:val="TableText"/>
              <w:numPr>
                <w:ilvl w:val="0"/>
                <w:numId w:val="8"/>
              </w:numPr>
              <w:tabs>
                <w:tab w:val="clear" w:pos="576"/>
                <w:tab w:val="clear" w:pos="864"/>
                <w:tab w:val="left" w:pos="360"/>
              </w:tabs>
              <w:spacing w:line="360" w:lineRule="auto"/>
              <w:ind w:left="353"/>
              <w:rPr>
                <w:rFonts w:asciiTheme="minorHAnsi" w:hAnsiTheme="minorHAnsi" w:cstheme="minorHAnsi"/>
                <w:sz w:val="22"/>
                <w:szCs w:val="22"/>
              </w:rPr>
            </w:pPr>
            <w:r w:rsidRPr="00B255A0">
              <w:rPr>
                <w:rFonts w:asciiTheme="minorHAnsi" w:hAnsiTheme="minorHAnsi" w:cstheme="minorHAnsi"/>
                <w:color w:val="000000"/>
                <w:sz w:val="22"/>
                <w:szCs w:val="22"/>
              </w:rPr>
              <w:t>Other</w:t>
            </w:r>
          </w:p>
        </w:tc>
      </w:tr>
      <w:tr w:rsidR="00B37CCF" w:rsidRPr="00B255A0" w14:paraId="4336E2D6" w14:textId="77777777" w:rsidTr="007710A1">
        <w:tc>
          <w:tcPr>
            <w:tcW w:w="9016" w:type="dxa"/>
            <w:gridSpan w:val="2"/>
            <w:tcBorders>
              <w:top w:val="single" w:sz="4" w:space="0" w:color="auto"/>
            </w:tcBorders>
          </w:tcPr>
          <w:p w14:paraId="764153C0" w14:textId="77777777" w:rsidR="00B37CCF" w:rsidRPr="00B255A0" w:rsidRDefault="00B37CCF" w:rsidP="007710A1">
            <w:pPr>
              <w:spacing w:line="360" w:lineRule="auto"/>
              <w:rPr>
                <w:rFonts w:cstheme="minorHAnsi"/>
                <w:b/>
                <w:bCs/>
                <w:color w:val="000000"/>
              </w:rPr>
            </w:pPr>
            <w:r w:rsidRPr="00B255A0">
              <w:rPr>
                <w:rFonts w:cstheme="minorHAnsi"/>
                <w:b/>
                <w:bCs/>
                <w:color w:val="000000"/>
              </w:rPr>
              <w:t>Prescription Use</w:t>
            </w:r>
            <w:r w:rsidRPr="00B255A0">
              <w:rPr>
                <w:rFonts w:cstheme="minorHAnsi"/>
                <w:b/>
                <w:color w:val="FFFFFF" w:themeColor="background1"/>
              </w:rPr>
              <w:t>d of respondents currently on a prescription for depression)</w:t>
            </w:r>
          </w:p>
        </w:tc>
      </w:tr>
      <w:tr w:rsidR="00B37CCF" w:rsidRPr="00B255A0" w14:paraId="0F3C30FF" w14:textId="77777777" w:rsidTr="007710A1">
        <w:tc>
          <w:tcPr>
            <w:tcW w:w="3085" w:type="dxa"/>
          </w:tcPr>
          <w:p w14:paraId="2BA90FC6" w14:textId="77777777" w:rsidR="00B37CCF" w:rsidRPr="00B255A0" w:rsidRDefault="00B37CCF" w:rsidP="007710A1">
            <w:pPr>
              <w:spacing w:after="160" w:line="360" w:lineRule="auto"/>
              <w:rPr>
                <w:rFonts w:eastAsia="PMingLiU" w:cstheme="minorHAnsi"/>
              </w:rPr>
            </w:pPr>
            <w:r w:rsidRPr="00B255A0">
              <w:rPr>
                <w:rFonts w:eastAsia="PMingLiU" w:cstheme="minorHAnsi"/>
              </w:rPr>
              <w:t>Current Prescription Use for Depression</w:t>
            </w:r>
          </w:p>
        </w:tc>
        <w:tc>
          <w:tcPr>
            <w:tcW w:w="5931" w:type="dxa"/>
          </w:tcPr>
          <w:p w14:paraId="0FCEE537" w14:textId="77777777" w:rsidR="00B37CCF" w:rsidRPr="00B255A0" w:rsidRDefault="00B37CCF" w:rsidP="007710A1">
            <w:pPr>
              <w:pStyle w:val="TableText"/>
              <w:spacing w:line="360" w:lineRule="auto"/>
              <w:rPr>
                <w:rFonts w:asciiTheme="minorHAnsi" w:hAnsiTheme="minorHAnsi" w:cstheme="minorHAnsi"/>
                <w:sz w:val="22"/>
                <w:szCs w:val="22"/>
              </w:rPr>
            </w:pPr>
            <w:r w:rsidRPr="00B255A0">
              <w:rPr>
                <w:rFonts w:asciiTheme="minorHAnsi" w:hAnsiTheme="minorHAnsi" w:cstheme="minorHAnsi"/>
                <w:sz w:val="22"/>
                <w:szCs w:val="22"/>
              </w:rPr>
              <w:t>Yes/No</w:t>
            </w:r>
          </w:p>
        </w:tc>
      </w:tr>
      <w:tr w:rsidR="00B37CCF" w:rsidRPr="00B255A0" w14:paraId="7F891738" w14:textId="77777777" w:rsidTr="007710A1">
        <w:tc>
          <w:tcPr>
            <w:tcW w:w="3085" w:type="dxa"/>
            <w:tcBorders>
              <w:bottom w:val="single" w:sz="4" w:space="0" w:color="auto"/>
            </w:tcBorders>
          </w:tcPr>
          <w:p w14:paraId="13305B17" w14:textId="77777777" w:rsidR="00B37CCF" w:rsidRPr="00B255A0" w:rsidRDefault="00B37CCF" w:rsidP="007710A1">
            <w:pPr>
              <w:spacing w:line="360" w:lineRule="auto"/>
              <w:rPr>
                <w:rFonts w:eastAsia="PMingLiU" w:cstheme="minorHAnsi"/>
              </w:rPr>
            </w:pPr>
            <w:r w:rsidRPr="00B255A0">
              <w:rPr>
                <w:rFonts w:eastAsia="PMingLiU" w:cstheme="minorHAnsi"/>
              </w:rPr>
              <w:t>Current Use of Multiple Prescriptions for Depression</w:t>
            </w:r>
          </w:p>
        </w:tc>
        <w:tc>
          <w:tcPr>
            <w:tcW w:w="5931" w:type="dxa"/>
            <w:tcBorders>
              <w:bottom w:val="single" w:sz="4" w:space="0" w:color="auto"/>
            </w:tcBorders>
          </w:tcPr>
          <w:p w14:paraId="41233A87" w14:textId="77777777" w:rsidR="00B37CCF" w:rsidRPr="00B255A0" w:rsidRDefault="00B37CCF" w:rsidP="007710A1">
            <w:pPr>
              <w:pStyle w:val="TableText"/>
              <w:spacing w:line="360" w:lineRule="auto"/>
              <w:rPr>
                <w:rFonts w:asciiTheme="minorHAnsi" w:hAnsiTheme="minorHAnsi" w:cstheme="minorHAnsi"/>
                <w:sz w:val="22"/>
                <w:szCs w:val="22"/>
              </w:rPr>
            </w:pPr>
            <w:r w:rsidRPr="00B255A0">
              <w:rPr>
                <w:rFonts w:asciiTheme="minorHAnsi" w:hAnsiTheme="minorHAnsi" w:cstheme="minorHAnsi"/>
                <w:sz w:val="22"/>
                <w:szCs w:val="22"/>
              </w:rPr>
              <w:t>Yes/No</w:t>
            </w:r>
          </w:p>
        </w:tc>
      </w:tr>
      <w:tr w:rsidR="00B37CCF" w:rsidRPr="00B255A0" w14:paraId="65EC4B59" w14:textId="77777777" w:rsidTr="007710A1">
        <w:tc>
          <w:tcPr>
            <w:tcW w:w="3085" w:type="dxa"/>
            <w:tcBorders>
              <w:top w:val="single" w:sz="4" w:space="0" w:color="auto"/>
              <w:bottom w:val="single" w:sz="4" w:space="0" w:color="auto"/>
            </w:tcBorders>
          </w:tcPr>
          <w:p w14:paraId="494CB8CD" w14:textId="77777777" w:rsidR="00B37CCF" w:rsidRPr="00B255A0" w:rsidRDefault="00B37CCF" w:rsidP="007710A1">
            <w:pPr>
              <w:pStyle w:val="TableText"/>
              <w:spacing w:line="360" w:lineRule="auto"/>
              <w:rPr>
                <w:rFonts w:asciiTheme="minorHAnsi" w:hAnsiTheme="minorHAnsi" w:cstheme="minorHAnsi"/>
                <w:b/>
                <w:bCs/>
                <w:sz w:val="22"/>
                <w:szCs w:val="22"/>
              </w:rPr>
            </w:pPr>
            <w:r w:rsidRPr="00B255A0">
              <w:rPr>
                <w:rFonts w:asciiTheme="minorHAnsi" w:hAnsiTheme="minorHAnsi" w:cstheme="minorHAnsi"/>
                <w:b/>
                <w:bCs/>
                <w:sz w:val="22"/>
                <w:szCs w:val="22"/>
              </w:rPr>
              <w:t>Prescribing HCP</w:t>
            </w:r>
          </w:p>
        </w:tc>
        <w:tc>
          <w:tcPr>
            <w:tcW w:w="5931" w:type="dxa"/>
            <w:tcBorders>
              <w:top w:val="single" w:sz="4" w:space="0" w:color="auto"/>
              <w:bottom w:val="single" w:sz="4" w:space="0" w:color="auto"/>
            </w:tcBorders>
          </w:tcPr>
          <w:p w14:paraId="1F5A7B3F" w14:textId="77777777" w:rsidR="00B37CCF" w:rsidRPr="00B255A0" w:rsidRDefault="00B37CCF" w:rsidP="007710A1">
            <w:pPr>
              <w:pStyle w:val="TableText"/>
              <w:numPr>
                <w:ilvl w:val="0"/>
                <w:numId w:val="9"/>
              </w:numPr>
              <w:tabs>
                <w:tab w:val="clear" w:pos="288"/>
                <w:tab w:val="clear" w:pos="576"/>
                <w:tab w:val="left" w:pos="353"/>
              </w:tabs>
              <w:spacing w:line="360" w:lineRule="auto"/>
              <w:ind w:left="211" w:hanging="211"/>
              <w:rPr>
                <w:rFonts w:asciiTheme="minorHAnsi" w:hAnsiTheme="minorHAnsi" w:cstheme="minorHAnsi"/>
                <w:sz w:val="22"/>
                <w:szCs w:val="22"/>
              </w:rPr>
            </w:pPr>
            <w:r w:rsidRPr="00B255A0">
              <w:rPr>
                <w:rFonts w:asciiTheme="minorHAnsi" w:hAnsiTheme="minorHAnsi" w:cstheme="minorHAnsi"/>
                <w:sz w:val="22"/>
                <w:szCs w:val="22"/>
              </w:rPr>
              <w:t xml:space="preserve">General Practitioner / Family Practitioner  </w:t>
            </w:r>
          </w:p>
          <w:p w14:paraId="6D36F381" w14:textId="77777777" w:rsidR="00B37CCF" w:rsidRPr="00B255A0" w:rsidRDefault="00B37CCF" w:rsidP="007710A1">
            <w:pPr>
              <w:pStyle w:val="TableText"/>
              <w:numPr>
                <w:ilvl w:val="0"/>
                <w:numId w:val="9"/>
              </w:numPr>
              <w:tabs>
                <w:tab w:val="clear" w:pos="288"/>
                <w:tab w:val="clear" w:pos="576"/>
                <w:tab w:val="left" w:pos="353"/>
              </w:tabs>
              <w:spacing w:line="360" w:lineRule="auto"/>
              <w:ind w:left="211" w:hanging="211"/>
              <w:rPr>
                <w:rFonts w:asciiTheme="minorHAnsi" w:hAnsiTheme="minorHAnsi" w:cstheme="minorHAnsi"/>
                <w:sz w:val="22"/>
                <w:szCs w:val="22"/>
              </w:rPr>
            </w:pPr>
            <w:r w:rsidRPr="00B255A0">
              <w:rPr>
                <w:rFonts w:asciiTheme="minorHAnsi" w:hAnsiTheme="minorHAnsi" w:cstheme="minorHAnsi"/>
                <w:sz w:val="22"/>
                <w:szCs w:val="22"/>
              </w:rPr>
              <w:t xml:space="preserve">General Internist / Internal medicine physician </w:t>
            </w:r>
          </w:p>
          <w:p w14:paraId="702890F9" w14:textId="77777777" w:rsidR="00B37CCF" w:rsidRPr="00B255A0" w:rsidRDefault="00B37CCF" w:rsidP="007710A1">
            <w:pPr>
              <w:pStyle w:val="TableText"/>
              <w:numPr>
                <w:ilvl w:val="0"/>
                <w:numId w:val="9"/>
              </w:numPr>
              <w:tabs>
                <w:tab w:val="clear" w:pos="288"/>
                <w:tab w:val="clear" w:pos="576"/>
                <w:tab w:val="left" w:pos="353"/>
              </w:tabs>
              <w:spacing w:line="360" w:lineRule="auto"/>
              <w:ind w:left="211" w:hanging="211"/>
              <w:rPr>
                <w:rFonts w:asciiTheme="minorHAnsi" w:hAnsiTheme="minorHAnsi" w:cstheme="minorHAnsi"/>
                <w:sz w:val="22"/>
                <w:szCs w:val="22"/>
              </w:rPr>
            </w:pPr>
            <w:r w:rsidRPr="00B255A0">
              <w:rPr>
                <w:rFonts w:asciiTheme="minorHAnsi" w:hAnsiTheme="minorHAnsi" w:cstheme="minorHAnsi"/>
                <w:sz w:val="22"/>
                <w:szCs w:val="22"/>
              </w:rPr>
              <w:t>Psychiatrist</w:t>
            </w:r>
          </w:p>
          <w:p w14:paraId="5F4E9D10" w14:textId="77777777" w:rsidR="00B37CCF" w:rsidRPr="00B255A0" w:rsidRDefault="00B37CCF" w:rsidP="007710A1">
            <w:pPr>
              <w:pStyle w:val="TableText"/>
              <w:numPr>
                <w:ilvl w:val="0"/>
                <w:numId w:val="9"/>
              </w:numPr>
              <w:tabs>
                <w:tab w:val="clear" w:pos="288"/>
                <w:tab w:val="clear" w:pos="576"/>
                <w:tab w:val="left" w:pos="353"/>
              </w:tabs>
              <w:spacing w:line="360" w:lineRule="auto"/>
              <w:ind w:left="211" w:hanging="211"/>
              <w:rPr>
                <w:rFonts w:asciiTheme="minorHAnsi" w:hAnsiTheme="minorHAnsi" w:cstheme="minorHAnsi"/>
                <w:sz w:val="22"/>
                <w:szCs w:val="22"/>
              </w:rPr>
            </w:pPr>
            <w:r w:rsidRPr="00B255A0">
              <w:rPr>
                <w:rFonts w:asciiTheme="minorHAnsi" w:hAnsiTheme="minorHAnsi" w:cstheme="minorHAnsi"/>
                <w:sz w:val="22"/>
                <w:szCs w:val="22"/>
              </w:rPr>
              <w:t>Other</w:t>
            </w:r>
          </w:p>
        </w:tc>
      </w:tr>
      <w:tr w:rsidR="00B37CCF" w:rsidRPr="00B255A0" w14:paraId="477CC70F" w14:textId="77777777" w:rsidTr="007710A1">
        <w:tc>
          <w:tcPr>
            <w:tcW w:w="9016" w:type="dxa"/>
            <w:gridSpan w:val="2"/>
            <w:tcBorders>
              <w:top w:val="single" w:sz="4" w:space="0" w:color="auto"/>
            </w:tcBorders>
          </w:tcPr>
          <w:p w14:paraId="35137BAF" w14:textId="77777777" w:rsidR="00B37CCF" w:rsidRPr="00B255A0" w:rsidRDefault="00B37CCF" w:rsidP="007710A1">
            <w:pPr>
              <w:pStyle w:val="TableText"/>
              <w:spacing w:line="360" w:lineRule="auto"/>
              <w:rPr>
                <w:rFonts w:asciiTheme="minorHAnsi" w:hAnsiTheme="minorHAnsi" w:cstheme="minorHAnsi"/>
                <w:b/>
                <w:bCs/>
                <w:sz w:val="22"/>
                <w:szCs w:val="22"/>
              </w:rPr>
            </w:pPr>
            <w:r w:rsidRPr="00B255A0">
              <w:rPr>
                <w:rFonts w:asciiTheme="minorHAnsi" w:hAnsiTheme="minorHAnsi" w:cstheme="minorHAnsi"/>
                <w:b/>
                <w:bCs/>
                <w:sz w:val="22"/>
                <w:szCs w:val="22"/>
              </w:rPr>
              <w:t>Prior Medication Use and Reasons for Switching</w:t>
            </w:r>
          </w:p>
        </w:tc>
      </w:tr>
      <w:tr w:rsidR="00B37CCF" w:rsidRPr="00B255A0" w14:paraId="3559443E" w14:textId="77777777" w:rsidTr="007710A1">
        <w:tc>
          <w:tcPr>
            <w:tcW w:w="3085" w:type="dxa"/>
          </w:tcPr>
          <w:p w14:paraId="18ED662A" w14:textId="77777777" w:rsidR="00B37CCF" w:rsidRPr="00B255A0" w:rsidRDefault="00B37CCF" w:rsidP="007710A1">
            <w:pPr>
              <w:pStyle w:val="TableText"/>
              <w:spacing w:line="360" w:lineRule="auto"/>
              <w:rPr>
                <w:rFonts w:asciiTheme="minorHAnsi" w:hAnsiTheme="minorHAnsi" w:cstheme="minorHAnsi"/>
                <w:sz w:val="22"/>
                <w:szCs w:val="22"/>
              </w:rPr>
            </w:pPr>
            <w:r w:rsidRPr="00B255A0">
              <w:rPr>
                <w:rFonts w:asciiTheme="minorHAnsi" w:hAnsiTheme="minorHAnsi" w:cstheme="minorHAnsi"/>
                <w:sz w:val="22"/>
                <w:szCs w:val="22"/>
              </w:rPr>
              <w:lastRenderedPageBreak/>
              <w:t>Prior Medication, Treatment, or Therapy</w:t>
            </w:r>
          </w:p>
        </w:tc>
        <w:tc>
          <w:tcPr>
            <w:tcW w:w="5931" w:type="dxa"/>
          </w:tcPr>
          <w:p w14:paraId="66751952" w14:textId="77777777" w:rsidR="00B37CCF" w:rsidRPr="00B255A0" w:rsidRDefault="00B37CCF" w:rsidP="007710A1">
            <w:pPr>
              <w:pStyle w:val="TableText"/>
              <w:spacing w:line="360" w:lineRule="auto"/>
              <w:rPr>
                <w:rFonts w:asciiTheme="minorHAnsi" w:hAnsiTheme="minorHAnsi" w:cstheme="minorHAnsi"/>
                <w:sz w:val="22"/>
                <w:szCs w:val="22"/>
              </w:rPr>
            </w:pPr>
            <w:r w:rsidRPr="00B255A0">
              <w:rPr>
                <w:rFonts w:asciiTheme="minorHAnsi" w:hAnsiTheme="minorHAnsi" w:cstheme="minorHAnsi"/>
                <w:sz w:val="22"/>
                <w:szCs w:val="22"/>
              </w:rPr>
              <w:t>Yes/No</w:t>
            </w:r>
          </w:p>
        </w:tc>
      </w:tr>
      <w:tr w:rsidR="00B37CCF" w:rsidRPr="00B255A0" w14:paraId="7AE4208D" w14:textId="77777777" w:rsidTr="007710A1">
        <w:tc>
          <w:tcPr>
            <w:tcW w:w="3085" w:type="dxa"/>
          </w:tcPr>
          <w:p w14:paraId="3C9BD61D" w14:textId="77777777" w:rsidR="00B37CCF" w:rsidRPr="00B255A0" w:rsidRDefault="00B37CCF" w:rsidP="007710A1">
            <w:pPr>
              <w:pStyle w:val="TableText"/>
              <w:spacing w:line="360" w:lineRule="auto"/>
              <w:rPr>
                <w:rFonts w:asciiTheme="minorHAnsi" w:hAnsiTheme="minorHAnsi" w:cstheme="minorHAnsi"/>
                <w:sz w:val="22"/>
                <w:szCs w:val="22"/>
              </w:rPr>
            </w:pPr>
            <w:r w:rsidRPr="00B255A0">
              <w:rPr>
                <w:rFonts w:asciiTheme="minorHAnsi" w:hAnsiTheme="minorHAnsi" w:cstheme="minorHAnsi"/>
                <w:sz w:val="22"/>
                <w:szCs w:val="22"/>
              </w:rPr>
              <w:t>Current Medication Replaced or Added to Previous Medication</w:t>
            </w:r>
          </w:p>
        </w:tc>
        <w:tc>
          <w:tcPr>
            <w:tcW w:w="5931" w:type="dxa"/>
          </w:tcPr>
          <w:p w14:paraId="4171FD56" w14:textId="77777777" w:rsidR="00B37CCF" w:rsidRPr="00B255A0" w:rsidRDefault="00B37CCF" w:rsidP="007710A1">
            <w:pPr>
              <w:pStyle w:val="TableText"/>
              <w:numPr>
                <w:ilvl w:val="0"/>
                <w:numId w:val="10"/>
              </w:numPr>
              <w:tabs>
                <w:tab w:val="clear" w:pos="576"/>
                <w:tab w:val="clear" w:pos="864"/>
                <w:tab w:val="left" w:pos="353"/>
              </w:tabs>
              <w:spacing w:line="360" w:lineRule="auto"/>
              <w:ind w:left="353" w:hanging="353"/>
              <w:rPr>
                <w:rFonts w:asciiTheme="minorHAnsi" w:hAnsiTheme="minorHAnsi" w:cstheme="minorHAnsi"/>
                <w:sz w:val="22"/>
                <w:szCs w:val="22"/>
              </w:rPr>
            </w:pPr>
            <w:r w:rsidRPr="00B255A0">
              <w:rPr>
                <w:rFonts w:asciiTheme="minorHAnsi" w:hAnsiTheme="minorHAnsi" w:cstheme="minorHAnsi"/>
                <w:sz w:val="22"/>
                <w:szCs w:val="22"/>
              </w:rPr>
              <w:t>Replaced my existing medication, treatment, or therapy</w:t>
            </w:r>
          </w:p>
          <w:p w14:paraId="4D10AE2C" w14:textId="77777777" w:rsidR="00B37CCF" w:rsidRPr="00B255A0" w:rsidRDefault="00B37CCF" w:rsidP="007710A1">
            <w:pPr>
              <w:pStyle w:val="TableText"/>
              <w:numPr>
                <w:ilvl w:val="0"/>
                <w:numId w:val="10"/>
              </w:numPr>
              <w:tabs>
                <w:tab w:val="clear" w:pos="576"/>
                <w:tab w:val="clear" w:pos="864"/>
                <w:tab w:val="left" w:pos="353"/>
              </w:tabs>
              <w:spacing w:line="360" w:lineRule="auto"/>
              <w:ind w:left="353" w:hanging="353"/>
              <w:rPr>
                <w:rFonts w:asciiTheme="minorHAnsi" w:hAnsiTheme="minorHAnsi" w:cstheme="minorHAnsi"/>
                <w:sz w:val="22"/>
                <w:szCs w:val="22"/>
              </w:rPr>
            </w:pPr>
            <w:r w:rsidRPr="00B255A0">
              <w:rPr>
                <w:rFonts w:asciiTheme="minorHAnsi" w:hAnsiTheme="minorHAnsi" w:cstheme="minorHAnsi"/>
                <w:sz w:val="22"/>
                <w:szCs w:val="22"/>
              </w:rPr>
              <w:t>Added on to my existing medication, treatment, or therapy</w:t>
            </w:r>
          </w:p>
          <w:p w14:paraId="13F6B756" w14:textId="77777777" w:rsidR="00B37CCF" w:rsidRPr="00B255A0" w:rsidRDefault="00B37CCF" w:rsidP="007710A1">
            <w:pPr>
              <w:pStyle w:val="TableText"/>
              <w:numPr>
                <w:ilvl w:val="0"/>
                <w:numId w:val="10"/>
              </w:numPr>
              <w:tabs>
                <w:tab w:val="clear" w:pos="576"/>
                <w:tab w:val="clear" w:pos="864"/>
                <w:tab w:val="left" w:pos="353"/>
              </w:tabs>
              <w:spacing w:line="360" w:lineRule="auto"/>
              <w:ind w:left="353" w:hanging="353"/>
              <w:rPr>
                <w:rFonts w:asciiTheme="minorHAnsi" w:hAnsiTheme="minorHAnsi" w:cstheme="minorHAnsi"/>
                <w:sz w:val="22"/>
                <w:szCs w:val="22"/>
              </w:rPr>
            </w:pPr>
            <w:r w:rsidRPr="00B255A0">
              <w:rPr>
                <w:rFonts w:asciiTheme="minorHAnsi" w:hAnsiTheme="minorHAnsi" w:cstheme="minorHAnsi"/>
                <w:sz w:val="22"/>
                <w:szCs w:val="22"/>
              </w:rPr>
              <w:t>Not sure</w:t>
            </w:r>
          </w:p>
        </w:tc>
      </w:tr>
      <w:tr w:rsidR="00B37CCF" w:rsidRPr="00B255A0" w14:paraId="5AE86D27" w14:textId="77777777" w:rsidTr="007710A1">
        <w:tc>
          <w:tcPr>
            <w:tcW w:w="3085" w:type="dxa"/>
            <w:tcBorders>
              <w:bottom w:val="single" w:sz="4" w:space="0" w:color="auto"/>
            </w:tcBorders>
          </w:tcPr>
          <w:p w14:paraId="1CC1B7E9" w14:textId="77777777" w:rsidR="00B37CCF" w:rsidRPr="00B255A0" w:rsidRDefault="00B37CCF" w:rsidP="007710A1">
            <w:pPr>
              <w:pStyle w:val="TableText"/>
              <w:spacing w:line="360" w:lineRule="auto"/>
              <w:rPr>
                <w:rFonts w:asciiTheme="minorHAnsi" w:hAnsiTheme="minorHAnsi" w:cstheme="minorHAnsi"/>
                <w:sz w:val="22"/>
                <w:szCs w:val="22"/>
              </w:rPr>
            </w:pPr>
            <w:r w:rsidRPr="00B255A0">
              <w:rPr>
                <w:rFonts w:asciiTheme="minorHAnsi" w:hAnsiTheme="minorHAnsi" w:cstheme="minorHAnsi"/>
                <w:sz w:val="22"/>
                <w:szCs w:val="22"/>
              </w:rPr>
              <w:t>Reasons for switching</w:t>
            </w:r>
          </w:p>
        </w:tc>
        <w:tc>
          <w:tcPr>
            <w:tcW w:w="5931" w:type="dxa"/>
            <w:tcBorders>
              <w:bottom w:val="single" w:sz="4" w:space="0" w:color="auto"/>
            </w:tcBorders>
          </w:tcPr>
          <w:p w14:paraId="4EB934B1" w14:textId="77777777" w:rsidR="00B37CCF" w:rsidRPr="00B255A0" w:rsidRDefault="00B37CCF" w:rsidP="007710A1">
            <w:pPr>
              <w:pStyle w:val="TableText"/>
              <w:numPr>
                <w:ilvl w:val="0"/>
                <w:numId w:val="11"/>
              </w:numPr>
              <w:tabs>
                <w:tab w:val="clear" w:pos="576"/>
              </w:tabs>
              <w:spacing w:line="360" w:lineRule="auto"/>
              <w:ind w:left="353"/>
              <w:rPr>
                <w:rFonts w:asciiTheme="minorHAnsi" w:hAnsiTheme="minorHAnsi" w:cstheme="minorHAnsi"/>
                <w:sz w:val="22"/>
                <w:szCs w:val="22"/>
              </w:rPr>
            </w:pPr>
            <w:r w:rsidRPr="00B255A0">
              <w:rPr>
                <w:rFonts w:asciiTheme="minorHAnsi" w:hAnsiTheme="minorHAnsi" w:cstheme="minorHAnsi"/>
                <w:sz w:val="22"/>
                <w:szCs w:val="22"/>
              </w:rPr>
              <w:t>Doctor’s recommendation</w:t>
            </w:r>
          </w:p>
          <w:p w14:paraId="32275C58" w14:textId="77777777" w:rsidR="00B37CCF" w:rsidRPr="00B255A0" w:rsidRDefault="00B37CCF" w:rsidP="007710A1">
            <w:pPr>
              <w:pStyle w:val="TableText"/>
              <w:numPr>
                <w:ilvl w:val="0"/>
                <w:numId w:val="11"/>
              </w:numPr>
              <w:tabs>
                <w:tab w:val="clear" w:pos="576"/>
              </w:tabs>
              <w:spacing w:line="360" w:lineRule="auto"/>
              <w:ind w:left="353"/>
              <w:rPr>
                <w:rFonts w:asciiTheme="minorHAnsi" w:hAnsiTheme="minorHAnsi" w:cstheme="minorHAnsi"/>
                <w:sz w:val="22"/>
                <w:szCs w:val="22"/>
              </w:rPr>
            </w:pPr>
            <w:r w:rsidRPr="00B255A0">
              <w:rPr>
                <w:rFonts w:asciiTheme="minorHAnsi" w:hAnsiTheme="minorHAnsi" w:cstheme="minorHAnsi"/>
                <w:sz w:val="22"/>
                <w:szCs w:val="22"/>
              </w:rPr>
              <w:t>To reduce side effects</w:t>
            </w:r>
          </w:p>
          <w:p w14:paraId="2B0E60FB" w14:textId="77777777" w:rsidR="00B37CCF" w:rsidRPr="00B255A0" w:rsidRDefault="00B37CCF" w:rsidP="007710A1">
            <w:pPr>
              <w:pStyle w:val="TableText"/>
              <w:numPr>
                <w:ilvl w:val="0"/>
                <w:numId w:val="11"/>
              </w:numPr>
              <w:tabs>
                <w:tab w:val="clear" w:pos="576"/>
              </w:tabs>
              <w:spacing w:line="360" w:lineRule="auto"/>
              <w:ind w:left="353"/>
              <w:rPr>
                <w:rFonts w:asciiTheme="minorHAnsi" w:hAnsiTheme="minorHAnsi" w:cstheme="minorHAnsi"/>
                <w:sz w:val="22"/>
                <w:szCs w:val="22"/>
              </w:rPr>
            </w:pPr>
            <w:r w:rsidRPr="00B255A0">
              <w:rPr>
                <w:rFonts w:asciiTheme="minorHAnsi" w:hAnsiTheme="minorHAnsi" w:cstheme="minorHAnsi"/>
                <w:sz w:val="22"/>
                <w:szCs w:val="22"/>
              </w:rPr>
              <w:t>Lower cost</w:t>
            </w:r>
          </w:p>
          <w:p w14:paraId="61AB3BD2" w14:textId="77777777" w:rsidR="00B37CCF" w:rsidRPr="00B255A0" w:rsidRDefault="00B37CCF" w:rsidP="007710A1">
            <w:pPr>
              <w:pStyle w:val="TableText"/>
              <w:numPr>
                <w:ilvl w:val="0"/>
                <w:numId w:val="11"/>
              </w:numPr>
              <w:tabs>
                <w:tab w:val="clear" w:pos="576"/>
              </w:tabs>
              <w:spacing w:line="360" w:lineRule="auto"/>
              <w:ind w:left="353"/>
              <w:rPr>
                <w:rFonts w:asciiTheme="minorHAnsi" w:hAnsiTheme="minorHAnsi" w:cstheme="minorHAnsi"/>
                <w:sz w:val="22"/>
                <w:szCs w:val="22"/>
              </w:rPr>
            </w:pPr>
            <w:r w:rsidRPr="00B255A0">
              <w:rPr>
                <w:rFonts w:asciiTheme="minorHAnsi" w:hAnsiTheme="minorHAnsi" w:cstheme="minorHAnsi"/>
                <w:sz w:val="22"/>
                <w:szCs w:val="22"/>
              </w:rPr>
              <w:t>I was not responding to the previous treatment</w:t>
            </w:r>
          </w:p>
          <w:p w14:paraId="0122E1CD" w14:textId="77777777" w:rsidR="00B37CCF" w:rsidRPr="00B255A0" w:rsidRDefault="00B37CCF" w:rsidP="007710A1">
            <w:pPr>
              <w:pStyle w:val="TableText"/>
              <w:numPr>
                <w:ilvl w:val="0"/>
                <w:numId w:val="11"/>
              </w:numPr>
              <w:tabs>
                <w:tab w:val="clear" w:pos="576"/>
              </w:tabs>
              <w:spacing w:line="360" w:lineRule="auto"/>
              <w:ind w:left="353"/>
              <w:rPr>
                <w:rFonts w:asciiTheme="minorHAnsi" w:hAnsiTheme="minorHAnsi" w:cstheme="minorHAnsi"/>
                <w:sz w:val="22"/>
                <w:szCs w:val="22"/>
              </w:rPr>
            </w:pPr>
            <w:r w:rsidRPr="00B255A0">
              <w:rPr>
                <w:rFonts w:asciiTheme="minorHAnsi" w:hAnsiTheme="minorHAnsi" w:cstheme="minorHAnsi"/>
                <w:sz w:val="22"/>
                <w:szCs w:val="22"/>
              </w:rPr>
              <w:t>The dosing of the current treatment is more convenient</w:t>
            </w:r>
          </w:p>
          <w:p w14:paraId="323D2846" w14:textId="77777777" w:rsidR="00B37CCF" w:rsidRPr="00B255A0" w:rsidRDefault="00B37CCF" w:rsidP="007710A1">
            <w:pPr>
              <w:pStyle w:val="TableText"/>
              <w:numPr>
                <w:ilvl w:val="0"/>
                <w:numId w:val="11"/>
              </w:numPr>
              <w:tabs>
                <w:tab w:val="clear" w:pos="576"/>
              </w:tabs>
              <w:spacing w:line="360" w:lineRule="auto"/>
              <w:ind w:left="353"/>
              <w:rPr>
                <w:rFonts w:asciiTheme="minorHAnsi" w:hAnsiTheme="minorHAnsi" w:cstheme="minorHAnsi"/>
                <w:sz w:val="22"/>
                <w:szCs w:val="22"/>
              </w:rPr>
            </w:pPr>
            <w:r w:rsidRPr="00B255A0">
              <w:rPr>
                <w:rFonts w:asciiTheme="minorHAnsi" w:hAnsiTheme="minorHAnsi" w:cstheme="minorHAnsi"/>
                <w:sz w:val="22"/>
                <w:szCs w:val="22"/>
              </w:rPr>
              <w:t>The form or mode of administration is more convenient</w:t>
            </w:r>
          </w:p>
          <w:p w14:paraId="6F3EE51D" w14:textId="77777777" w:rsidR="00B37CCF" w:rsidRPr="00B255A0" w:rsidRDefault="00B37CCF" w:rsidP="007710A1">
            <w:pPr>
              <w:pStyle w:val="TableText"/>
              <w:numPr>
                <w:ilvl w:val="0"/>
                <w:numId w:val="11"/>
              </w:numPr>
              <w:tabs>
                <w:tab w:val="clear" w:pos="576"/>
              </w:tabs>
              <w:spacing w:line="360" w:lineRule="auto"/>
              <w:ind w:left="353"/>
              <w:rPr>
                <w:rFonts w:asciiTheme="minorHAnsi" w:hAnsiTheme="minorHAnsi" w:cstheme="minorHAnsi"/>
                <w:sz w:val="22"/>
                <w:szCs w:val="22"/>
              </w:rPr>
            </w:pPr>
            <w:r w:rsidRPr="00B255A0">
              <w:rPr>
                <w:rFonts w:asciiTheme="minorHAnsi" w:hAnsiTheme="minorHAnsi" w:cstheme="minorHAnsi"/>
                <w:sz w:val="22"/>
                <w:szCs w:val="22"/>
              </w:rPr>
              <w:t>Others</w:t>
            </w:r>
          </w:p>
        </w:tc>
      </w:tr>
    </w:tbl>
    <w:p w14:paraId="21B04AB6" w14:textId="77777777" w:rsidR="00B37CCF" w:rsidRPr="00B255A0" w:rsidRDefault="00B37CCF" w:rsidP="00B37CCF">
      <w:pPr>
        <w:spacing w:line="360" w:lineRule="auto"/>
        <w:rPr>
          <w:rFonts w:cstheme="minorHAnsi"/>
          <w:sz w:val="20"/>
          <w:szCs w:val="20"/>
        </w:rPr>
      </w:pPr>
      <w:r w:rsidRPr="00B255A0">
        <w:rPr>
          <w:rFonts w:cstheme="minorHAnsi"/>
          <w:sz w:val="20"/>
          <w:szCs w:val="20"/>
        </w:rPr>
        <w:t xml:space="preserve">HCP, </w:t>
      </w:r>
      <w:bookmarkStart w:id="3" w:name="_Hlk164863936"/>
      <w:r w:rsidRPr="00B255A0">
        <w:rPr>
          <w:rFonts w:cstheme="minorHAnsi"/>
          <w:sz w:val="20"/>
          <w:szCs w:val="20"/>
        </w:rPr>
        <w:t>healthcare provider.</w:t>
      </w:r>
    </w:p>
    <w:bookmarkEnd w:id="3"/>
    <w:p w14:paraId="032EDDEB" w14:textId="77777777" w:rsidR="00B37CCF" w:rsidRPr="00521870" w:rsidRDefault="00B37CCF" w:rsidP="00B37CCF">
      <w:pPr>
        <w:spacing w:line="360" w:lineRule="auto"/>
        <w:rPr>
          <w:rFonts w:ascii="Arial" w:hAnsi="Arial" w:cs="Arial"/>
          <w:b/>
          <w:bCs/>
          <w:sz w:val="20"/>
          <w:szCs w:val="20"/>
        </w:rPr>
      </w:pPr>
      <w:r w:rsidRPr="00521870">
        <w:rPr>
          <w:rFonts w:ascii="Arial" w:hAnsi="Arial" w:cs="Arial"/>
          <w:b/>
          <w:bCs/>
          <w:sz w:val="20"/>
          <w:szCs w:val="20"/>
        </w:rPr>
        <w:br w:type="page"/>
      </w:r>
    </w:p>
    <w:p w14:paraId="380443E2" w14:textId="5074316D" w:rsidR="00B37CCF" w:rsidRPr="00B255A0" w:rsidRDefault="00B37CCF" w:rsidP="00B37CCF">
      <w:pPr>
        <w:spacing w:line="360" w:lineRule="auto"/>
        <w:rPr>
          <w:rFonts w:cstheme="minorHAnsi"/>
          <w:b/>
          <w:bCs/>
        </w:rPr>
      </w:pPr>
      <w:r w:rsidRPr="00B255A0">
        <w:rPr>
          <w:rFonts w:cstheme="minorHAnsi"/>
          <w:b/>
          <w:bCs/>
        </w:rPr>
        <w:lastRenderedPageBreak/>
        <w:t>Table S3</w:t>
      </w:r>
      <w:r w:rsidR="000A74B8">
        <w:rPr>
          <w:rFonts w:cstheme="minorHAnsi"/>
          <w:b/>
          <w:bCs/>
        </w:rPr>
        <w:t>.</w:t>
      </w:r>
      <w:r w:rsidRPr="00B255A0">
        <w:rPr>
          <w:rFonts w:cstheme="minorHAnsi"/>
        </w:rPr>
        <w:t xml:space="preserve"> </w:t>
      </w:r>
      <w:r w:rsidRPr="00B255A0">
        <w:rPr>
          <w:rFonts w:cstheme="minorHAnsi"/>
          <w:b/>
          <w:bCs/>
        </w:rPr>
        <w:t>Assessment of physician perspectives towards anhedonia in MDD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6477"/>
      </w:tblGrid>
      <w:tr w:rsidR="00B37CCF" w:rsidRPr="00B255A0" w14:paraId="63DC4A87" w14:textId="77777777" w:rsidTr="007710A1">
        <w:tc>
          <w:tcPr>
            <w:tcW w:w="1412" w:type="pct"/>
            <w:tcBorders>
              <w:top w:val="single" w:sz="4" w:space="0" w:color="auto"/>
              <w:bottom w:val="single" w:sz="4" w:space="0" w:color="auto"/>
            </w:tcBorders>
            <w:shd w:val="clear" w:color="auto" w:fill="BFBFBF" w:themeFill="background1" w:themeFillShade="BF"/>
          </w:tcPr>
          <w:p w14:paraId="16AD01D5" w14:textId="77777777" w:rsidR="00B37CCF" w:rsidRPr="00B255A0" w:rsidRDefault="00B37CCF" w:rsidP="007710A1">
            <w:pPr>
              <w:spacing w:line="360" w:lineRule="auto"/>
              <w:rPr>
                <w:rFonts w:cstheme="minorHAnsi"/>
                <w:b/>
                <w:bCs/>
              </w:rPr>
            </w:pPr>
            <w:r w:rsidRPr="00B255A0">
              <w:rPr>
                <w:rFonts w:cstheme="minorHAnsi"/>
                <w:b/>
                <w:bCs/>
              </w:rPr>
              <w:t>Variables</w:t>
            </w:r>
          </w:p>
        </w:tc>
        <w:tc>
          <w:tcPr>
            <w:tcW w:w="3588" w:type="pct"/>
            <w:tcBorders>
              <w:top w:val="single" w:sz="4" w:space="0" w:color="auto"/>
              <w:bottom w:val="single" w:sz="4" w:space="0" w:color="auto"/>
            </w:tcBorders>
            <w:shd w:val="clear" w:color="auto" w:fill="BFBFBF" w:themeFill="background1" w:themeFillShade="BF"/>
          </w:tcPr>
          <w:p w14:paraId="062C12DD" w14:textId="77777777" w:rsidR="00B37CCF" w:rsidRPr="00B255A0" w:rsidRDefault="00B37CCF" w:rsidP="007710A1">
            <w:pPr>
              <w:spacing w:line="360" w:lineRule="auto"/>
              <w:rPr>
                <w:rFonts w:cstheme="minorHAnsi"/>
                <w:b/>
                <w:bCs/>
              </w:rPr>
            </w:pPr>
            <w:r w:rsidRPr="00B255A0">
              <w:rPr>
                <w:rFonts w:cstheme="minorHAnsi"/>
                <w:b/>
                <w:bCs/>
              </w:rPr>
              <w:t>Statements/Response options</w:t>
            </w:r>
          </w:p>
        </w:tc>
      </w:tr>
      <w:tr w:rsidR="00B37CCF" w:rsidRPr="00B255A0" w14:paraId="65491E4C" w14:textId="77777777" w:rsidTr="007710A1">
        <w:trPr>
          <w:trHeight w:val="8124"/>
        </w:trPr>
        <w:tc>
          <w:tcPr>
            <w:tcW w:w="1412" w:type="pct"/>
            <w:tcBorders>
              <w:top w:val="single" w:sz="4" w:space="0" w:color="auto"/>
              <w:bottom w:val="single" w:sz="4" w:space="0" w:color="auto"/>
            </w:tcBorders>
          </w:tcPr>
          <w:p w14:paraId="1523F742" w14:textId="77777777" w:rsidR="00B37CCF" w:rsidRPr="00B255A0" w:rsidRDefault="00B37CCF" w:rsidP="007710A1">
            <w:pPr>
              <w:spacing w:line="360" w:lineRule="auto"/>
              <w:rPr>
                <w:rFonts w:cstheme="minorHAnsi"/>
                <w:b/>
                <w:bCs/>
              </w:rPr>
            </w:pPr>
            <w:r w:rsidRPr="00B255A0">
              <w:rPr>
                <w:rFonts w:cstheme="minorHAnsi"/>
                <w:b/>
                <w:bCs/>
              </w:rPr>
              <w:t xml:space="preserve">Physician perspectives towards anhedonia in MDD </w:t>
            </w:r>
            <w:r w:rsidRPr="00B255A0">
              <w:rPr>
                <w:rFonts w:cstheme="minorHAnsi"/>
              </w:rPr>
              <w:t>(Rated on a 1-9 Likert scale [1=strongly disagree to 9=strongly agree])</w:t>
            </w:r>
          </w:p>
          <w:p w14:paraId="1FD16D21" w14:textId="77777777" w:rsidR="00B37CCF" w:rsidRPr="00B255A0" w:rsidRDefault="00B37CCF" w:rsidP="007710A1">
            <w:pPr>
              <w:spacing w:line="360" w:lineRule="auto"/>
              <w:rPr>
                <w:rFonts w:cstheme="minorHAnsi"/>
              </w:rPr>
            </w:pPr>
          </w:p>
        </w:tc>
        <w:tc>
          <w:tcPr>
            <w:tcW w:w="3588" w:type="pct"/>
            <w:tcBorders>
              <w:top w:val="single" w:sz="4" w:space="0" w:color="auto"/>
              <w:bottom w:val="single" w:sz="4" w:space="0" w:color="auto"/>
            </w:tcBorders>
          </w:tcPr>
          <w:p w14:paraId="40544FC6" w14:textId="77777777" w:rsidR="00B37CCF" w:rsidRPr="00B255A0" w:rsidRDefault="00B37CCF" w:rsidP="007710A1">
            <w:pPr>
              <w:pStyle w:val="ListParagraph"/>
              <w:numPr>
                <w:ilvl w:val="0"/>
                <w:numId w:val="14"/>
              </w:numPr>
              <w:spacing w:line="360" w:lineRule="auto"/>
              <w:ind w:left="467"/>
              <w:rPr>
                <w:rFonts w:asciiTheme="minorHAnsi" w:hAnsiTheme="minorHAnsi" w:cstheme="minorHAnsi"/>
                <w:sz w:val="22"/>
                <w:szCs w:val="22"/>
              </w:rPr>
            </w:pPr>
            <w:r w:rsidRPr="00B255A0">
              <w:rPr>
                <w:rFonts w:asciiTheme="minorHAnsi" w:hAnsiTheme="minorHAnsi" w:cstheme="minorHAnsi"/>
                <w:sz w:val="22"/>
                <w:szCs w:val="22"/>
              </w:rPr>
              <w:t>Anhedonia</w:t>
            </w:r>
            <w:r w:rsidRPr="00B255A0">
              <w:rPr>
                <w:rFonts w:asciiTheme="minorHAnsi" w:eastAsiaTheme="minorEastAsia" w:hAnsiTheme="minorHAnsi" w:cstheme="minorHAnsi"/>
                <w:sz w:val="22"/>
                <w:szCs w:val="22"/>
              </w:rPr>
              <w:t xml:space="preserve"> is defined as the markedly diminished interest or pleasure in all, or almost all, activities most of the day, nearly every day</w:t>
            </w:r>
          </w:p>
          <w:p w14:paraId="7D852F06" w14:textId="77777777" w:rsidR="00B37CCF" w:rsidRPr="00B255A0" w:rsidRDefault="00B37CCF" w:rsidP="007710A1">
            <w:pPr>
              <w:pStyle w:val="ListParagraph"/>
              <w:numPr>
                <w:ilvl w:val="0"/>
                <w:numId w:val="14"/>
              </w:numPr>
              <w:spacing w:line="360" w:lineRule="auto"/>
              <w:ind w:left="467"/>
              <w:rPr>
                <w:rFonts w:asciiTheme="minorHAnsi" w:hAnsiTheme="minorHAnsi" w:cstheme="minorHAnsi"/>
                <w:sz w:val="22"/>
                <w:szCs w:val="22"/>
              </w:rPr>
            </w:pPr>
            <w:r w:rsidRPr="00B255A0">
              <w:rPr>
                <w:rFonts w:asciiTheme="minorHAnsi" w:hAnsiTheme="minorHAnsi" w:cstheme="minorHAnsi"/>
                <w:sz w:val="22"/>
                <w:szCs w:val="22"/>
              </w:rPr>
              <w:t>Currently, there is an inconsistent conceptualization and therefore, a lack of both an accurate and consistent definition of anhedonia in MDD</w:t>
            </w:r>
          </w:p>
          <w:p w14:paraId="796A000C" w14:textId="77777777" w:rsidR="00B37CCF" w:rsidRPr="00B255A0" w:rsidRDefault="00B37CCF" w:rsidP="007710A1">
            <w:pPr>
              <w:pStyle w:val="ListParagraph"/>
              <w:numPr>
                <w:ilvl w:val="0"/>
                <w:numId w:val="14"/>
              </w:numPr>
              <w:spacing w:line="360" w:lineRule="auto"/>
              <w:ind w:left="467"/>
              <w:rPr>
                <w:rFonts w:asciiTheme="minorHAnsi" w:hAnsiTheme="minorHAnsi" w:cstheme="minorHAnsi"/>
                <w:sz w:val="22"/>
                <w:szCs w:val="22"/>
              </w:rPr>
            </w:pPr>
            <w:r w:rsidRPr="00B255A0">
              <w:rPr>
                <w:rFonts w:asciiTheme="minorHAnsi" w:hAnsiTheme="minorHAnsi" w:cstheme="minorHAnsi"/>
                <w:sz w:val="22"/>
                <w:szCs w:val="22"/>
              </w:rPr>
              <w:t>Overall, there is clinical value and importance in defining MDD with anhedonia as a subtype of MDD</w:t>
            </w:r>
          </w:p>
          <w:p w14:paraId="7290CAC3" w14:textId="77777777" w:rsidR="00B37CCF" w:rsidRPr="00B255A0" w:rsidRDefault="00B37CCF" w:rsidP="007710A1">
            <w:pPr>
              <w:pStyle w:val="ListParagraph"/>
              <w:numPr>
                <w:ilvl w:val="0"/>
                <w:numId w:val="14"/>
              </w:numPr>
              <w:spacing w:line="360" w:lineRule="auto"/>
              <w:ind w:left="467"/>
              <w:rPr>
                <w:rFonts w:asciiTheme="minorHAnsi" w:hAnsiTheme="minorHAnsi" w:cstheme="minorHAnsi"/>
                <w:sz w:val="22"/>
                <w:szCs w:val="22"/>
              </w:rPr>
            </w:pPr>
            <w:r w:rsidRPr="00B255A0">
              <w:rPr>
                <w:rFonts w:asciiTheme="minorHAnsi" w:hAnsiTheme="minorHAnsi" w:cstheme="minorHAnsi"/>
                <w:sz w:val="22"/>
                <w:szCs w:val="22"/>
              </w:rPr>
              <w:t>Anhedonia is a core symptom of MDD</w:t>
            </w:r>
          </w:p>
          <w:p w14:paraId="37BF852A" w14:textId="77777777" w:rsidR="00B37CCF" w:rsidRPr="00B255A0" w:rsidRDefault="00B37CCF" w:rsidP="007710A1">
            <w:pPr>
              <w:pStyle w:val="ListParagraph"/>
              <w:numPr>
                <w:ilvl w:val="0"/>
                <w:numId w:val="14"/>
              </w:numPr>
              <w:spacing w:line="360" w:lineRule="auto"/>
              <w:ind w:left="467"/>
              <w:rPr>
                <w:rFonts w:asciiTheme="minorHAnsi" w:hAnsiTheme="minorHAnsi" w:cstheme="minorHAnsi"/>
                <w:sz w:val="22"/>
                <w:szCs w:val="22"/>
              </w:rPr>
            </w:pPr>
            <w:r w:rsidRPr="00B255A0">
              <w:rPr>
                <w:rFonts w:asciiTheme="minorHAnsi" w:hAnsiTheme="minorHAnsi" w:cstheme="minorHAnsi"/>
                <w:sz w:val="22"/>
                <w:szCs w:val="22"/>
              </w:rPr>
              <w:t>It is difficult to diagnose anhedonia in MDD patients in clinical practice</w:t>
            </w:r>
          </w:p>
          <w:p w14:paraId="49646C81" w14:textId="77777777" w:rsidR="00B37CCF" w:rsidRPr="00B255A0" w:rsidRDefault="00B37CCF" w:rsidP="007710A1">
            <w:pPr>
              <w:pStyle w:val="ListParagraph"/>
              <w:numPr>
                <w:ilvl w:val="0"/>
                <w:numId w:val="14"/>
              </w:numPr>
              <w:spacing w:line="360" w:lineRule="auto"/>
              <w:ind w:left="467"/>
              <w:rPr>
                <w:rFonts w:asciiTheme="minorHAnsi" w:hAnsiTheme="minorHAnsi" w:cstheme="minorHAnsi"/>
                <w:sz w:val="22"/>
                <w:szCs w:val="22"/>
              </w:rPr>
            </w:pPr>
            <w:r w:rsidRPr="00B255A0">
              <w:rPr>
                <w:rFonts w:asciiTheme="minorHAnsi" w:hAnsiTheme="minorHAnsi" w:cstheme="minorHAnsi"/>
                <w:sz w:val="22"/>
                <w:szCs w:val="22"/>
              </w:rPr>
              <w:t>It is difficult to treat anhedonia in MDD patients in clinical practice</w:t>
            </w:r>
          </w:p>
          <w:p w14:paraId="2CA37F4F" w14:textId="77777777" w:rsidR="00B37CCF" w:rsidRPr="00B255A0" w:rsidRDefault="00B37CCF" w:rsidP="007710A1">
            <w:pPr>
              <w:pStyle w:val="ListParagraph"/>
              <w:numPr>
                <w:ilvl w:val="0"/>
                <w:numId w:val="14"/>
              </w:numPr>
              <w:spacing w:line="360" w:lineRule="auto"/>
              <w:ind w:left="467"/>
              <w:rPr>
                <w:rFonts w:asciiTheme="minorHAnsi" w:hAnsiTheme="minorHAnsi" w:cstheme="minorHAnsi"/>
                <w:sz w:val="22"/>
                <w:szCs w:val="22"/>
              </w:rPr>
            </w:pPr>
            <w:r w:rsidRPr="00B255A0">
              <w:rPr>
                <w:rFonts w:asciiTheme="minorHAnsi" w:hAnsiTheme="minorHAnsi" w:cstheme="minorHAnsi"/>
                <w:sz w:val="22"/>
                <w:szCs w:val="22"/>
              </w:rPr>
              <w:t>It is important to diagnose anhedonia in my MDD patients</w:t>
            </w:r>
          </w:p>
          <w:p w14:paraId="1757C980" w14:textId="77777777" w:rsidR="00B37CCF" w:rsidRPr="00B255A0" w:rsidRDefault="00B37CCF" w:rsidP="007710A1">
            <w:pPr>
              <w:pStyle w:val="ListParagraph"/>
              <w:numPr>
                <w:ilvl w:val="0"/>
                <w:numId w:val="14"/>
              </w:numPr>
              <w:spacing w:line="360" w:lineRule="auto"/>
              <w:ind w:left="467"/>
              <w:rPr>
                <w:rFonts w:asciiTheme="minorHAnsi" w:hAnsiTheme="minorHAnsi" w:cstheme="minorHAnsi"/>
                <w:sz w:val="22"/>
                <w:szCs w:val="22"/>
              </w:rPr>
            </w:pPr>
            <w:r w:rsidRPr="00B255A0">
              <w:rPr>
                <w:rFonts w:asciiTheme="minorHAnsi" w:hAnsiTheme="minorHAnsi" w:cstheme="minorHAnsi"/>
                <w:sz w:val="22"/>
                <w:szCs w:val="22"/>
              </w:rPr>
              <w:t>It is important to treat anhedonia in my MDD patients</w:t>
            </w:r>
          </w:p>
          <w:p w14:paraId="1DD9F823" w14:textId="77777777" w:rsidR="00B37CCF" w:rsidRPr="00B255A0" w:rsidRDefault="00B37CCF" w:rsidP="007710A1">
            <w:pPr>
              <w:pStyle w:val="ListParagraph"/>
              <w:numPr>
                <w:ilvl w:val="0"/>
                <w:numId w:val="14"/>
              </w:numPr>
              <w:spacing w:line="360" w:lineRule="auto"/>
              <w:ind w:left="467"/>
              <w:rPr>
                <w:rFonts w:asciiTheme="minorHAnsi" w:hAnsiTheme="minorHAnsi" w:cstheme="minorHAnsi"/>
                <w:sz w:val="22"/>
                <w:szCs w:val="22"/>
              </w:rPr>
            </w:pPr>
            <w:r w:rsidRPr="00B255A0">
              <w:rPr>
                <w:rFonts w:asciiTheme="minorHAnsi" w:hAnsiTheme="minorHAnsi" w:cstheme="minorHAnsi"/>
                <w:sz w:val="22"/>
                <w:szCs w:val="22"/>
              </w:rPr>
              <w:t>MDD patients with anhedonia require different treatments vs. MDD patients without anhedonia</w:t>
            </w:r>
          </w:p>
          <w:p w14:paraId="4E1118E0" w14:textId="77777777" w:rsidR="00B37CCF" w:rsidRPr="00B255A0" w:rsidRDefault="00B37CCF" w:rsidP="007710A1">
            <w:pPr>
              <w:pStyle w:val="ListParagraph"/>
              <w:numPr>
                <w:ilvl w:val="0"/>
                <w:numId w:val="14"/>
              </w:numPr>
              <w:spacing w:line="360" w:lineRule="auto"/>
              <w:ind w:left="467"/>
              <w:rPr>
                <w:rFonts w:asciiTheme="minorHAnsi" w:hAnsiTheme="minorHAnsi" w:cstheme="minorHAnsi"/>
                <w:sz w:val="22"/>
                <w:szCs w:val="22"/>
              </w:rPr>
            </w:pPr>
            <w:r w:rsidRPr="00B255A0">
              <w:rPr>
                <w:rFonts w:asciiTheme="minorHAnsi" w:hAnsiTheme="minorHAnsi" w:cstheme="minorHAnsi"/>
                <w:sz w:val="22"/>
                <w:szCs w:val="22"/>
              </w:rPr>
              <w:t>When pharmaceutical treatments improve symptoms in MDD patients with anhedonia, their anhedonia and non-anhedonia symptoms improve alongside each other</w:t>
            </w:r>
          </w:p>
          <w:p w14:paraId="00F43221" w14:textId="77777777" w:rsidR="00B37CCF" w:rsidRPr="00B255A0" w:rsidRDefault="00B37CCF" w:rsidP="007710A1">
            <w:pPr>
              <w:pStyle w:val="ListParagraph"/>
              <w:numPr>
                <w:ilvl w:val="0"/>
                <w:numId w:val="14"/>
              </w:numPr>
              <w:spacing w:line="360" w:lineRule="auto"/>
              <w:ind w:left="467"/>
              <w:rPr>
                <w:rFonts w:asciiTheme="minorHAnsi" w:hAnsiTheme="minorHAnsi" w:cstheme="minorHAnsi"/>
                <w:sz w:val="22"/>
                <w:szCs w:val="22"/>
              </w:rPr>
            </w:pPr>
            <w:r w:rsidRPr="00B255A0">
              <w:rPr>
                <w:rFonts w:asciiTheme="minorHAnsi" w:hAnsiTheme="minorHAnsi" w:cstheme="minorHAnsi"/>
                <w:sz w:val="22"/>
                <w:szCs w:val="22"/>
              </w:rPr>
              <w:t>Anhedonia is very similar to melancholia</w:t>
            </w:r>
          </w:p>
          <w:p w14:paraId="3333CCEB" w14:textId="77777777" w:rsidR="00B37CCF" w:rsidRPr="00B255A0" w:rsidRDefault="00B37CCF" w:rsidP="007710A1">
            <w:pPr>
              <w:pStyle w:val="ListParagraph"/>
              <w:numPr>
                <w:ilvl w:val="0"/>
                <w:numId w:val="14"/>
              </w:numPr>
              <w:spacing w:line="360" w:lineRule="auto"/>
              <w:ind w:left="467"/>
              <w:rPr>
                <w:rFonts w:asciiTheme="minorHAnsi" w:hAnsiTheme="minorHAnsi" w:cstheme="minorHAnsi"/>
                <w:sz w:val="22"/>
                <w:szCs w:val="22"/>
              </w:rPr>
            </w:pPr>
            <w:r w:rsidRPr="00B255A0">
              <w:rPr>
                <w:rFonts w:asciiTheme="minorHAnsi" w:hAnsiTheme="minorHAnsi" w:cstheme="minorHAnsi"/>
                <w:sz w:val="22"/>
                <w:szCs w:val="22"/>
              </w:rPr>
              <w:t>Currently, there is an inconsistent conceptualization and therefore, a lack of both an accurate and consistent definition of anhedonia in MDD</w:t>
            </w:r>
          </w:p>
        </w:tc>
      </w:tr>
      <w:tr w:rsidR="00B37CCF" w:rsidRPr="00B255A0" w14:paraId="5E60D37F" w14:textId="77777777" w:rsidTr="007710A1">
        <w:trPr>
          <w:trHeight w:val="1621"/>
        </w:trPr>
        <w:tc>
          <w:tcPr>
            <w:tcW w:w="1412" w:type="pct"/>
            <w:tcBorders>
              <w:top w:val="single" w:sz="4" w:space="0" w:color="auto"/>
              <w:bottom w:val="single" w:sz="4" w:space="0" w:color="auto"/>
            </w:tcBorders>
          </w:tcPr>
          <w:p w14:paraId="411C4787" w14:textId="77777777" w:rsidR="00B37CCF" w:rsidRPr="00B255A0" w:rsidRDefault="00B37CCF" w:rsidP="007710A1">
            <w:pPr>
              <w:spacing w:line="360" w:lineRule="auto"/>
              <w:rPr>
                <w:rFonts w:cstheme="minorHAnsi"/>
              </w:rPr>
            </w:pPr>
            <w:r w:rsidRPr="00B255A0">
              <w:rPr>
                <w:rFonts w:cstheme="minorHAnsi"/>
                <w:b/>
                <w:bCs/>
              </w:rPr>
              <w:t>Treatment preference</w:t>
            </w:r>
            <w:r w:rsidRPr="00B255A0">
              <w:rPr>
                <w:rFonts w:cstheme="minorHAnsi"/>
              </w:rPr>
              <w:t xml:space="preserve"> when treating MDD-ANH patients</w:t>
            </w:r>
          </w:p>
        </w:tc>
        <w:tc>
          <w:tcPr>
            <w:tcW w:w="3588" w:type="pct"/>
            <w:tcBorders>
              <w:top w:val="single" w:sz="4" w:space="0" w:color="auto"/>
              <w:bottom w:val="single" w:sz="4" w:space="0" w:color="auto"/>
            </w:tcBorders>
          </w:tcPr>
          <w:p w14:paraId="74F0D637" w14:textId="77777777" w:rsidR="00B37CCF" w:rsidRPr="00B255A0" w:rsidRDefault="00B37CCF" w:rsidP="007710A1">
            <w:pPr>
              <w:pStyle w:val="ListParagraph"/>
              <w:numPr>
                <w:ilvl w:val="0"/>
                <w:numId w:val="13"/>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I focus on treating anhedonia separately from non-anhedonia symptoms for my MDD patients with anhedonia</w:t>
            </w:r>
          </w:p>
          <w:p w14:paraId="5656E375" w14:textId="77777777" w:rsidR="00B37CCF" w:rsidRPr="00B255A0" w:rsidRDefault="00B37CCF" w:rsidP="007710A1">
            <w:pPr>
              <w:pStyle w:val="ListParagraph"/>
              <w:numPr>
                <w:ilvl w:val="0"/>
                <w:numId w:val="13"/>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I do not focus on treating anhedonia separately from non-anhedonia symptoms for my MDD patients with anhedonia</w:t>
            </w:r>
          </w:p>
        </w:tc>
      </w:tr>
      <w:tr w:rsidR="00B37CCF" w:rsidRPr="00B255A0" w14:paraId="5487492D" w14:textId="77777777" w:rsidTr="007710A1">
        <w:tc>
          <w:tcPr>
            <w:tcW w:w="1412" w:type="pct"/>
            <w:tcBorders>
              <w:top w:val="single" w:sz="4" w:space="0" w:color="auto"/>
              <w:bottom w:val="single" w:sz="4" w:space="0" w:color="auto"/>
            </w:tcBorders>
          </w:tcPr>
          <w:p w14:paraId="439EA0BA" w14:textId="77777777" w:rsidR="00B37CCF" w:rsidRPr="00B255A0" w:rsidRDefault="00B37CCF" w:rsidP="007710A1">
            <w:pPr>
              <w:spacing w:line="360" w:lineRule="auto"/>
              <w:rPr>
                <w:rFonts w:cstheme="minorHAnsi"/>
              </w:rPr>
            </w:pPr>
            <w:r w:rsidRPr="00B255A0">
              <w:rPr>
                <w:rFonts w:cstheme="minorHAnsi"/>
                <w:b/>
                <w:bCs/>
              </w:rPr>
              <w:t>Treatment preference:</w:t>
            </w:r>
            <w:r w:rsidRPr="00B255A0">
              <w:rPr>
                <w:rFonts w:cstheme="minorHAnsi"/>
              </w:rPr>
              <w:t xml:space="preserve"> Drug class HCP considers </w:t>
            </w:r>
            <w:r w:rsidRPr="00B255A0">
              <w:rPr>
                <w:rFonts w:cstheme="minorHAnsi"/>
              </w:rPr>
              <w:lastRenderedPageBreak/>
              <w:t>prescribing to treat MDD-ANH</w:t>
            </w:r>
          </w:p>
        </w:tc>
        <w:tc>
          <w:tcPr>
            <w:tcW w:w="3588" w:type="pct"/>
            <w:tcBorders>
              <w:top w:val="single" w:sz="4" w:space="0" w:color="auto"/>
              <w:bottom w:val="single" w:sz="4" w:space="0" w:color="auto"/>
            </w:tcBorders>
          </w:tcPr>
          <w:p w14:paraId="3788E77F"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lastRenderedPageBreak/>
              <w:t>SSRI (Yes/No)</w:t>
            </w:r>
          </w:p>
          <w:p w14:paraId="1A25CA81"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SNRI (Yes/No)</w:t>
            </w:r>
          </w:p>
          <w:p w14:paraId="36D688C3"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TCA (Yes/No)</w:t>
            </w:r>
          </w:p>
          <w:p w14:paraId="5F4968C5"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lastRenderedPageBreak/>
              <w:t>TeCA (Yes/No)</w:t>
            </w:r>
          </w:p>
          <w:p w14:paraId="1E4535CB"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Dopamine norepinephrine reuptake inhibitors (Yes/No)</w:t>
            </w:r>
          </w:p>
          <w:p w14:paraId="602D799F"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Serotonin modulators (Yes/No)</w:t>
            </w:r>
          </w:p>
          <w:p w14:paraId="4B9FB089"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Norepinephrine-serotonin modulators (Yes/No)</w:t>
            </w:r>
          </w:p>
          <w:p w14:paraId="48446790"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Anticonvulsants (Yes/No)</w:t>
            </w:r>
          </w:p>
          <w:p w14:paraId="0345D975"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Atypical antipsychotics (Yes/No)</w:t>
            </w:r>
          </w:p>
          <w:p w14:paraId="29B3FE53"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Benzodiazepines (Yes/No)</w:t>
            </w:r>
          </w:p>
          <w:p w14:paraId="79307F0F"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Melatonin receptor agonists (Yes/No)</w:t>
            </w:r>
          </w:p>
        </w:tc>
      </w:tr>
      <w:tr w:rsidR="00B37CCF" w:rsidRPr="00B255A0" w14:paraId="438CC550" w14:textId="77777777" w:rsidTr="007710A1">
        <w:tc>
          <w:tcPr>
            <w:tcW w:w="1412" w:type="pct"/>
            <w:tcBorders>
              <w:top w:val="single" w:sz="4" w:space="0" w:color="auto"/>
              <w:bottom w:val="single" w:sz="4" w:space="0" w:color="auto"/>
            </w:tcBorders>
          </w:tcPr>
          <w:p w14:paraId="650F1E62" w14:textId="77777777" w:rsidR="00B37CCF" w:rsidRPr="00B255A0" w:rsidRDefault="00B37CCF" w:rsidP="007710A1">
            <w:pPr>
              <w:spacing w:line="360" w:lineRule="auto"/>
              <w:rPr>
                <w:rFonts w:cstheme="minorHAnsi"/>
              </w:rPr>
            </w:pPr>
            <w:r w:rsidRPr="00B255A0">
              <w:rPr>
                <w:rFonts w:cstheme="minorHAnsi"/>
                <w:b/>
                <w:bCs/>
              </w:rPr>
              <w:lastRenderedPageBreak/>
              <w:t>Treatment satisfaction:</w:t>
            </w:r>
            <w:r w:rsidRPr="00B255A0">
              <w:rPr>
                <w:rFonts w:cstheme="minorHAnsi"/>
              </w:rPr>
              <w:t xml:space="preserve"> Level of satisfaction with pharmaceutical treatment classes (Rated on a 1-9 Likert scale)</w:t>
            </w:r>
          </w:p>
        </w:tc>
        <w:tc>
          <w:tcPr>
            <w:tcW w:w="3588" w:type="pct"/>
            <w:tcBorders>
              <w:top w:val="single" w:sz="4" w:space="0" w:color="auto"/>
              <w:bottom w:val="single" w:sz="4" w:space="0" w:color="auto"/>
            </w:tcBorders>
          </w:tcPr>
          <w:p w14:paraId="100D8A0B"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SSRI (e.g., escitalopram, citalopram, sertraline)</w:t>
            </w:r>
          </w:p>
          <w:p w14:paraId="727585CF"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SNRI (e.g., duloxetine, venlafaxine, desvenlafaxine)</w:t>
            </w:r>
          </w:p>
          <w:p w14:paraId="219B50C9"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TCA (e.g., imipramine)</w:t>
            </w:r>
          </w:p>
          <w:p w14:paraId="5E76E8CA"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TeCA (e.g., mirtazapine, amoxapine, maprotiline)</w:t>
            </w:r>
          </w:p>
          <w:p w14:paraId="12CD68F3"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Dopamine norepinephrine reuptake inhibitors (e.g., bupropion)</w:t>
            </w:r>
          </w:p>
          <w:p w14:paraId="6D3FE467"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Serotonin modulators (e.g., vortioxetine, nefazodone)</w:t>
            </w:r>
          </w:p>
          <w:p w14:paraId="472A311D"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Norepinephrine-serotonin modulators (e.g., viloxazine)</w:t>
            </w:r>
          </w:p>
          <w:p w14:paraId="38AAFC61"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Anticonvulsants (e.g., carbamazepine, lamotrigine)</w:t>
            </w:r>
          </w:p>
          <w:p w14:paraId="12A0DCB9"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 xml:space="preserve">Atypical antipsychotics (e.g., aripiprazole, </w:t>
            </w:r>
            <w:proofErr w:type="spellStart"/>
            <w:r w:rsidRPr="00B255A0">
              <w:rPr>
                <w:rFonts w:asciiTheme="minorHAnsi" w:hAnsiTheme="minorHAnsi" w:cstheme="minorHAnsi"/>
                <w:sz w:val="22"/>
                <w:szCs w:val="22"/>
              </w:rPr>
              <w:t>amisulpride</w:t>
            </w:r>
            <w:proofErr w:type="spellEnd"/>
            <w:r w:rsidRPr="00B255A0">
              <w:rPr>
                <w:rFonts w:asciiTheme="minorHAnsi" w:hAnsiTheme="minorHAnsi" w:cstheme="minorHAnsi"/>
                <w:sz w:val="22"/>
                <w:szCs w:val="22"/>
              </w:rPr>
              <w:t>)</w:t>
            </w:r>
          </w:p>
          <w:p w14:paraId="4040639F"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Benzodiazepines (e.g., alprazolam, diazepam)</w:t>
            </w:r>
          </w:p>
          <w:p w14:paraId="013AB05E" w14:textId="77777777" w:rsidR="00B37CCF" w:rsidRPr="00B255A0" w:rsidRDefault="00B37CCF" w:rsidP="007710A1">
            <w:pPr>
              <w:pStyle w:val="ListParagraph"/>
              <w:numPr>
                <w:ilvl w:val="0"/>
                <w:numId w:val="12"/>
              </w:numPr>
              <w:spacing w:line="360" w:lineRule="auto"/>
              <w:ind w:left="458"/>
              <w:rPr>
                <w:rFonts w:asciiTheme="minorHAnsi" w:hAnsiTheme="minorHAnsi" w:cstheme="minorHAnsi"/>
                <w:sz w:val="22"/>
                <w:szCs w:val="22"/>
              </w:rPr>
            </w:pPr>
            <w:r w:rsidRPr="00B255A0">
              <w:rPr>
                <w:rFonts w:asciiTheme="minorHAnsi" w:hAnsiTheme="minorHAnsi" w:cstheme="minorHAnsi"/>
                <w:sz w:val="22"/>
                <w:szCs w:val="22"/>
              </w:rPr>
              <w:t>Melatonin receptor agonists (e.g., agomelatine)</w:t>
            </w:r>
          </w:p>
        </w:tc>
      </w:tr>
    </w:tbl>
    <w:p w14:paraId="0A7A6CA0" w14:textId="5CB5F9DC" w:rsidR="00B37CCF" w:rsidRPr="00B255A0" w:rsidRDefault="00B37CCF" w:rsidP="00B37CCF">
      <w:pPr>
        <w:spacing w:after="0" w:line="240" w:lineRule="auto"/>
        <w:rPr>
          <w:rFonts w:cstheme="minorHAnsi"/>
          <w:sz w:val="20"/>
          <w:szCs w:val="20"/>
        </w:rPr>
      </w:pPr>
      <w:r w:rsidRPr="00B255A0">
        <w:rPr>
          <w:rFonts w:cstheme="minorHAnsi"/>
          <w:sz w:val="20"/>
          <w:szCs w:val="20"/>
        </w:rPr>
        <w:t xml:space="preserve">ANH, anhedonia; </w:t>
      </w:r>
      <w:r w:rsidR="000A74B8">
        <w:rPr>
          <w:rFonts w:cstheme="minorHAnsi"/>
          <w:sz w:val="20"/>
          <w:szCs w:val="20"/>
        </w:rPr>
        <w:t xml:space="preserve">HCP, </w:t>
      </w:r>
      <w:r w:rsidR="000A74B8" w:rsidRPr="000A74B8">
        <w:rPr>
          <w:rFonts w:cstheme="minorHAnsi"/>
          <w:sz w:val="20"/>
          <w:szCs w:val="20"/>
        </w:rPr>
        <w:t>healthcare provider</w:t>
      </w:r>
      <w:r w:rsidR="000A74B8">
        <w:rPr>
          <w:rFonts w:cstheme="minorHAnsi"/>
          <w:sz w:val="20"/>
          <w:szCs w:val="20"/>
        </w:rPr>
        <w:t xml:space="preserve">; </w:t>
      </w:r>
      <w:r w:rsidRPr="00B255A0">
        <w:rPr>
          <w:rFonts w:cstheme="minorHAnsi"/>
          <w:sz w:val="20"/>
          <w:szCs w:val="20"/>
        </w:rPr>
        <w:t>MDD, major depressive disorder; SNRI, Serotonin-norepinephrine reuptake inhibitors; SSRI, selective serotonin reuptake inhibitors; TCA, tricyclic antidepressants; TeCA, Tetracyclic antidepressants.</w:t>
      </w:r>
    </w:p>
    <w:p w14:paraId="15A5FDE9" w14:textId="77777777" w:rsidR="00B37CCF" w:rsidRPr="00B255A0" w:rsidRDefault="00B37CCF" w:rsidP="00B37CCF">
      <w:pPr>
        <w:spacing w:line="360" w:lineRule="auto"/>
        <w:rPr>
          <w:rFonts w:cstheme="minorHAnsi"/>
          <w:b/>
          <w:bCs/>
          <w:sz w:val="20"/>
          <w:szCs w:val="20"/>
        </w:rPr>
      </w:pPr>
    </w:p>
    <w:p w14:paraId="1C0A8793" w14:textId="77777777" w:rsidR="00B37CCF" w:rsidRPr="00521870" w:rsidRDefault="00B37CCF" w:rsidP="00B37CCF">
      <w:pPr>
        <w:spacing w:line="360" w:lineRule="auto"/>
        <w:rPr>
          <w:rFonts w:ascii="Arial" w:hAnsi="Arial" w:cs="Arial"/>
          <w:b/>
          <w:bCs/>
          <w:sz w:val="20"/>
          <w:szCs w:val="20"/>
        </w:rPr>
      </w:pPr>
    </w:p>
    <w:p w14:paraId="5AFFC128" w14:textId="77777777" w:rsidR="00B37CCF" w:rsidRPr="00521870" w:rsidRDefault="00B37CCF" w:rsidP="00B37CCF">
      <w:pPr>
        <w:spacing w:line="360" w:lineRule="auto"/>
        <w:rPr>
          <w:rFonts w:ascii="Arial" w:hAnsi="Arial" w:cs="Arial"/>
          <w:b/>
          <w:bCs/>
          <w:sz w:val="20"/>
          <w:szCs w:val="20"/>
        </w:rPr>
      </w:pPr>
    </w:p>
    <w:p w14:paraId="20A2028F" w14:textId="77777777" w:rsidR="00B37CCF" w:rsidRPr="00521870" w:rsidRDefault="00B37CCF" w:rsidP="00B37CCF">
      <w:pPr>
        <w:spacing w:line="360" w:lineRule="auto"/>
        <w:rPr>
          <w:rFonts w:ascii="Arial" w:hAnsi="Arial" w:cs="Arial"/>
          <w:b/>
          <w:bCs/>
          <w:sz w:val="20"/>
          <w:szCs w:val="20"/>
        </w:rPr>
      </w:pPr>
    </w:p>
    <w:p w14:paraId="0248F86D" w14:textId="77777777" w:rsidR="00B37CCF" w:rsidRPr="00521870" w:rsidRDefault="00B37CCF" w:rsidP="00B37CCF">
      <w:pPr>
        <w:spacing w:line="360" w:lineRule="auto"/>
        <w:rPr>
          <w:rFonts w:ascii="Arial" w:hAnsi="Arial" w:cs="Arial"/>
          <w:b/>
          <w:bCs/>
          <w:sz w:val="20"/>
          <w:szCs w:val="20"/>
        </w:rPr>
      </w:pPr>
    </w:p>
    <w:p w14:paraId="446F2438" w14:textId="77777777" w:rsidR="00B37CCF" w:rsidRPr="00521870" w:rsidRDefault="00B37CCF" w:rsidP="00B37CCF">
      <w:pPr>
        <w:spacing w:line="360" w:lineRule="auto"/>
        <w:rPr>
          <w:rFonts w:ascii="Arial" w:hAnsi="Arial" w:cs="Arial"/>
          <w:b/>
          <w:bCs/>
          <w:sz w:val="20"/>
          <w:szCs w:val="20"/>
        </w:rPr>
      </w:pPr>
    </w:p>
    <w:p w14:paraId="76CD6224" w14:textId="77777777" w:rsidR="00B37CCF" w:rsidRPr="00521870" w:rsidRDefault="00B37CCF" w:rsidP="00B37CCF">
      <w:pPr>
        <w:spacing w:line="360" w:lineRule="auto"/>
        <w:rPr>
          <w:rFonts w:ascii="Arial" w:hAnsi="Arial" w:cs="Arial"/>
          <w:b/>
          <w:bCs/>
          <w:sz w:val="20"/>
          <w:szCs w:val="20"/>
        </w:rPr>
      </w:pPr>
    </w:p>
    <w:p w14:paraId="403B0234" w14:textId="77777777" w:rsidR="00B37CCF" w:rsidRPr="00521870" w:rsidRDefault="00B37CCF" w:rsidP="00B37CCF">
      <w:pPr>
        <w:spacing w:line="360" w:lineRule="auto"/>
        <w:rPr>
          <w:rFonts w:ascii="Arial" w:hAnsi="Arial" w:cs="Arial"/>
          <w:b/>
          <w:bCs/>
          <w:sz w:val="20"/>
          <w:szCs w:val="20"/>
        </w:rPr>
      </w:pPr>
    </w:p>
    <w:p w14:paraId="32D059EF" w14:textId="77777777" w:rsidR="00B37CCF" w:rsidRPr="00521870" w:rsidRDefault="00B37CCF" w:rsidP="00B37CCF">
      <w:pPr>
        <w:spacing w:line="360" w:lineRule="auto"/>
        <w:rPr>
          <w:rFonts w:ascii="Arial" w:hAnsi="Arial" w:cs="Arial"/>
          <w:b/>
          <w:bCs/>
          <w:sz w:val="20"/>
          <w:szCs w:val="20"/>
        </w:rPr>
      </w:pPr>
    </w:p>
    <w:p w14:paraId="7E1705E1" w14:textId="77777777" w:rsidR="00B37CCF" w:rsidRPr="00521870" w:rsidRDefault="00B37CCF" w:rsidP="00B37CCF">
      <w:pPr>
        <w:spacing w:line="360" w:lineRule="auto"/>
        <w:rPr>
          <w:rFonts w:ascii="Arial" w:hAnsi="Arial" w:cs="Arial"/>
          <w:b/>
          <w:bCs/>
          <w:sz w:val="20"/>
          <w:szCs w:val="20"/>
        </w:rPr>
        <w:sectPr w:rsidR="00B37CCF" w:rsidRPr="00521870">
          <w:pgSz w:w="11906" w:h="16838"/>
          <w:pgMar w:top="1440" w:right="1440" w:bottom="1440" w:left="1440" w:header="708" w:footer="708" w:gutter="0"/>
          <w:cols w:space="708"/>
          <w:docGrid w:linePitch="360"/>
        </w:sectPr>
      </w:pPr>
    </w:p>
    <w:p w14:paraId="544983B2" w14:textId="52B7B941" w:rsidR="00B37CCF" w:rsidRPr="00B255A0" w:rsidRDefault="00B37CCF" w:rsidP="00B37CCF">
      <w:pPr>
        <w:spacing w:line="360" w:lineRule="auto"/>
        <w:rPr>
          <w:rFonts w:cstheme="minorHAnsi"/>
          <w:b/>
          <w:bCs/>
        </w:rPr>
      </w:pPr>
      <w:r w:rsidRPr="00B255A0">
        <w:rPr>
          <w:rFonts w:cstheme="minorHAnsi"/>
          <w:b/>
          <w:bCs/>
        </w:rPr>
        <w:lastRenderedPageBreak/>
        <w:t>Table S4</w:t>
      </w:r>
      <w:r w:rsidR="000A74B8">
        <w:rPr>
          <w:rFonts w:cstheme="minorHAnsi"/>
          <w:b/>
          <w:bCs/>
        </w:rPr>
        <w:t>.</w:t>
      </w:r>
      <w:r w:rsidRPr="00B255A0">
        <w:rPr>
          <w:rFonts w:cstheme="minorHAnsi"/>
          <w:b/>
          <w:bCs/>
        </w:rPr>
        <w:t xml:space="preserve"> Statements for assessment of patients’ and physicians’ perspectives on treatment goals and satisfaction</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9026"/>
      </w:tblGrid>
      <w:tr w:rsidR="00B37CCF" w:rsidRPr="00B255A0" w14:paraId="073BEAA0" w14:textId="77777777" w:rsidTr="007710A1">
        <w:tc>
          <w:tcPr>
            <w:tcW w:w="5000" w:type="pct"/>
            <w:shd w:val="clear" w:color="auto" w:fill="BFBFBF" w:themeFill="background1" w:themeFillShade="BF"/>
          </w:tcPr>
          <w:p w14:paraId="234E205A" w14:textId="77777777" w:rsidR="00B37CCF" w:rsidRPr="00B255A0" w:rsidRDefault="00B37CCF" w:rsidP="007710A1">
            <w:pPr>
              <w:spacing w:line="360" w:lineRule="auto"/>
              <w:rPr>
                <w:rFonts w:cstheme="minorHAnsi"/>
                <w:b/>
                <w:bCs/>
              </w:rPr>
            </w:pPr>
            <w:r w:rsidRPr="00B255A0">
              <w:rPr>
                <w:rFonts w:cstheme="minorHAnsi"/>
                <w:b/>
                <w:bCs/>
              </w:rPr>
              <w:t>Statements for assessing the importance of treatment goals and treatment satisfaction</w:t>
            </w:r>
          </w:p>
        </w:tc>
      </w:tr>
      <w:tr w:rsidR="00B37CCF" w:rsidRPr="00B255A0" w14:paraId="78D0E9D5" w14:textId="77777777" w:rsidTr="007710A1">
        <w:trPr>
          <w:trHeight w:val="4600"/>
        </w:trPr>
        <w:tc>
          <w:tcPr>
            <w:tcW w:w="5000" w:type="pct"/>
          </w:tcPr>
          <w:p w14:paraId="20A4AC02" w14:textId="77777777" w:rsidR="00B37CCF" w:rsidRPr="00B255A0" w:rsidRDefault="00B37CCF" w:rsidP="007710A1">
            <w:pPr>
              <w:pStyle w:val="ListParagraph"/>
              <w:numPr>
                <w:ilvl w:val="0"/>
                <w:numId w:val="15"/>
              </w:numPr>
              <w:spacing w:line="360" w:lineRule="auto"/>
              <w:ind w:left="450"/>
              <w:rPr>
                <w:rFonts w:asciiTheme="minorHAnsi" w:eastAsiaTheme="minorHAnsi" w:hAnsiTheme="minorHAnsi" w:cstheme="minorHAnsi"/>
                <w:kern w:val="2"/>
                <w:sz w:val="22"/>
                <w:szCs w:val="22"/>
                <w:lang w:eastAsia="en-US"/>
                <w14:ligatures w14:val="standardContextual"/>
              </w:rPr>
            </w:pPr>
            <w:r w:rsidRPr="00B255A0">
              <w:rPr>
                <w:rFonts w:asciiTheme="minorHAnsi" w:eastAsiaTheme="minorHAnsi" w:hAnsiTheme="minorHAnsi" w:cstheme="minorHAnsi"/>
                <w:kern w:val="2"/>
                <w:sz w:val="22"/>
                <w:szCs w:val="22"/>
                <w:lang w:eastAsia="en-US"/>
                <w14:ligatures w14:val="standardContextual"/>
              </w:rPr>
              <w:t>Control depressed mood (e.g., sadness)</w:t>
            </w:r>
          </w:p>
          <w:p w14:paraId="68677ED3" w14:textId="77777777" w:rsidR="00B37CCF" w:rsidRPr="00B255A0" w:rsidRDefault="00B37CCF" w:rsidP="007710A1">
            <w:pPr>
              <w:pStyle w:val="ListParagraph"/>
              <w:numPr>
                <w:ilvl w:val="0"/>
                <w:numId w:val="15"/>
              </w:numPr>
              <w:spacing w:line="360" w:lineRule="auto"/>
              <w:ind w:left="450"/>
              <w:rPr>
                <w:rFonts w:asciiTheme="minorHAnsi" w:eastAsiaTheme="minorHAnsi" w:hAnsiTheme="minorHAnsi" w:cstheme="minorHAnsi"/>
                <w:kern w:val="2"/>
                <w:sz w:val="22"/>
                <w:szCs w:val="22"/>
                <w:lang w:eastAsia="en-US"/>
                <w14:ligatures w14:val="standardContextual"/>
              </w:rPr>
            </w:pPr>
            <w:r w:rsidRPr="00B255A0">
              <w:rPr>
                <w:rFonts w:asciiTheme="minorHAnsi" w:eastAsiaTheme="minorHAnsi" w:hAnsiTheme="minorHAnsi" w:cstheme="minorHAnsi"/>
                <w:kern w:val="2"/>
                <w:sz w:val="22"/>
                <w:szCs w:val="22"/>
                <w:lang w:eastAsia="en-US"/>
                <w14:ligatures w14:val="standardContextual"/>
              </w:rPr>
              <w:t>Reduce psychological anxiety (e.g., feeling irritable and worried)</w:t>
            </w:r>
          </w:p>
          <w:p w14:paraId="65794409" w14:textId="77777777" w:rsidR="00B37CCF" w:rsidRPr="00B255A0" w:rsidRDefault="00B37CCF" w:rsidP="007710A1">
            <w:pPr>
              <w:pStyle w:val="ListParagraph"/>
              <w:numPr>
                <w:ilvl w:val="0"/>
                <w:numId w:val="15"/>
              </w:numPr>
              <w:spacing w:line="360" w:lineRule="auto"/>
              <w:ind w:left="450"/>
              <w:rPr>
                <w:rFonts w:asciiTheme="minorHAnsi" w:eastAsiaTheme="minorHAnsi" w:hAnsiTheme="minorHAnsi" w:cstheme="minorHAnsi"/>
                <w:kern w:val="2"/>
                <w:sz w:val="22"/>
                <w:szCs w:val="22"/>
                <w:lang w:eastAsia="en-US"/>
                <w14:ligatures w14:val="standardContextual"/>
              </w:rPr>
            </w:pPr>
            <w:r w:rsidRPr="00B255A0">
              <w:rPr>
                <w:rFonts w:asciiTheme="minorHAnsi" w:eastAsiaTheme="minorHAnsi" w:hAnsiTheme="minorHAnsi" w:cstheme="minorHAnsi"/>
                <w:kern w:val="2"/>
                <w:sz w:val="22"/>
                <w:szCs w:val="22"/>
                <w:lang w:eastAsia="en-US"/>
                <w14:ligatures w14:val="standardContextual"/>
              </w:rPr>
              <w:t>Regain appetite</w:t>
            </w:r>
          </w:p>
          <w:p w14:paraId="7833EFDF" w14:textId="77777777" w:rsidR="00B37CCF" w:rsidRPr="00B255A0" w:rsidRDefault="00B37CCF" w:rsidP="007710A1">
            <w:pPr>
              <w:pStyle w:val="ListParagraph"/>
              <w:numPr>
                <w:ilvl w:val="0"/>
                <w:numId w:val="15"/>
              </w:numPr>
              <w:spacing w:line="360" w:lineRule="auto"/>
              <w:ind w:left="450"/>
              <w:rPr>
                <w:rFonts w:asciiTheme="minorHAnsi" w:eastAsiaTheme="minorHAnsi" w:hAnsiTheme="minorHAnsi" w:cstheme="minorHAnsi"/>
                <w:kern w:val="2"/>
                <w:sz w:val="22"/>
                <w:szCs w:val="22"/>
                <w:lang w:eastAsia="en-US"/>
                <w14:ligatures w14:val="standardContextual"/>
              </w:rPr>
            </w:pPr>
            <w:r w:rsidRPr="00B255A0">
              <w:rPr>
                <w:rFonts w:asciiTheme="minorHAnsi" w:eastAsiaTheme="minorHAnsi" w:hAnsiTheme="minorHAnsi" w:cstheme="minorHAnsi"/>
                <w:kern w:val="2"/>
                <w:sz w:val="22"/>
                <w:szCs w:val="22"/>
                <w:lang w:eastAsia="en-US"/>
                <w14:ligatures w14:val="standardContextual"/>
              </w:rPr>
              <w:t>Improve sleep quality</w:t>
            </w:r>
          </w:p>
          <w:p w14:paraId="7B863FB6" w14:textId="77777777" w:rsidR="00B37CCF" w:rsidRPr="00B255A0" w:rsidRDefault="00B37CCF" w:rsidP="007710A1">
            <w:pPr>
              <w:pStyle w:val="ListParagraph"/>
              <w:numPr>
                <w:ilvl w:val="0"/>
                <w:numId w:val="15"/>
              </w:numPr>
              <w:spacing w:line="360" w:lineRule="auto"/>
              <w:ind w:left="450"/>
              <w:rPr>
                <w:rFonts w:asciiTheme="minorHAnsi" w:eastAsiaTheme="minorHAnsi" w:hAnsiTheme="minorHAnsi" w:cstheme="minorHAnsi"/>
                <w:kern w:val="2"/>
                <w:sz w:val="22"/>
                <w:szCs w:val="22"/>
                <w:lang w:eastAsia="en-US"/>
                <w14:ligatures w14:val="standardContextual"/>
              </w:rPr>
            </w:pPr>
            <w:r w:rsidRPr="00B255A0">
              <w:rPr>
                <w:rFonts w:asciiTheme="minorHAnsi" w:eastAsiaTheme="minorHAnsi" w:hAnsiTheme="minorHAnsi" w:cstheme="minorHAnsi"/>
                <w:kern w:val="2"/>
                <w:sz w:val="22"/>
                <w:szCs w:val="22"/>
                <w:lang w:eastAsia="en-US"/>
                <w14:ligatures w14:val="standardContextual"/>
              </w:rPr>
              <w:t>Reduce the feeling of fatigue</w:t>
            </w:r>
          </w:p>
          <w:p w14:paraId="68471323" w14:textId="77777777" w:rsidR="00B37CCF" w:rsidRPr="00B255A0" w:rsidRDefault="00B37CCF" w:rsidP="007710A1">
            <w:pPr>
              <w:pStyle w:val="ListParagraph"/>
              <w:numPr>
                <w:ilvl w:val="0"/>
                <w:numId w:val="15"/>
              </w:numPr>
              <w:spacing w:line="360" w:lineRule="auto"/>
              <w:ind w:left="450"/>
              <w:rPr>
                <w:rFonts w:asciiTheme="minorHAnsi" w:eastAsiaTheme="minorHAnsi" w:hAnsiTheme="minorHAnsi" w:cstheme="minorHAnsi"/>
                <w:kern w:val="2"/>
                <w:sz w:val="22"/>
                <w:szCs w:val="22"/>
                <w:lang w:eastAsia="en-US"/>
                <w14:ligatures w14:val="standardContextual"/>
              </w:rPr>
            </w:pPr>
            <w:r w:rsidRPr="00B255A0">
              <w:rPr>
                <w:rFonts w:asciiTheme="minorHAnsi" w:eastAsiaTheme="minorHAnsi" w:hAnsiTheme="minorHAnsi" w:cstheme="minorHAnsi"/>
                <w:kern w:val="2"/>
                <w:sz w:val="22"/>
                <w:szCs w:val="22"/>
                <w:lang w:eastAsia="en-US"/>
                <w14:ligatures w14:val="standardContextual"/>
              </w:rPr>
              <w:t xml:space="preserve">Regain interest in hobbies </w:t>
            </w:r>
          </w:p>
          <w:p w14:paraId="09B626D2" w14:textId="77777777" w:rsidR="00B37CCF" w:rsidRPr="00B255A0" w:rsidRDefault="00B37CCF" w:rsidP="007710A1">
            <w:pPr>
              <w:pStyle w:val="ListParagraph"/>
              <w:numPr>
                <w:ilvl w:val="0"/>
                <w:numId w:val="15"/>
              </w:numPr>
              <w:spacing w:line="360" w:lineRule="auto"/>
              <w:ind w:left="450"/>
              <w:rPr>
                <w:rFonts w:asciiTheme="minorHAnsi" w:eastAsiaTheme="minorHAnsi" w:hAnsiTheme="minorHAnsi" w:cstheme="minorHAnsi"/>
                <w:kern w:val="2"/>
                <w:sz w:val="22"/>
                <w:szCs w:val="22"/>
                <w:lang w:eastAsia="en-US"/>
                <w14:ligatures w14:val="standardContextual"/>
              </w:rPr>
            </w:pPr>
            <w:r w:rsidRPr="00B255A0">
              <w:rPr>
                <w:rFonts w:asciiTheme="minorHAnsi" w:eastAsiaTheme="minorHAnsi" w:hAnsiTheme="minorHAnsi" w:cstheme="minorHAnsi"/>
                <w:kern w:val="2"/>
                <w:sz w:val="22"/>
                <w:szCs w:val="22"/>
                <w:lang w:eastAsia="en-US"/>
                <w14:ligatures w14:val="standardContextual"/>
              </w:rPr>
              <w:t>Avoid having suicidal thoughts</w:t>
            </w:r>
          </w:p>
          <w:p w14:paraId="2BFBF87E" w14:textId="77777777" w:rsidR="00B37CCF" w:rsidRPr="00B255A0" w:rsidRDefault="00B37CCF" w:rsidP="007710A1">
            <w:pPr>
              <w:pStyle w:val="ListParagraph"/>
              <w:numPr>
                <w:ilvl w:val="0"/>
                <w:numId w:val="15"/>
              </w:numPr>
              <w:spacing w:line="360" w:lineRule="auto"/>
              <w:ind w:left="450"/>
              <w:rPr>
                <w:rFonts w:asciiTheme="minorHAnsi" w:eastAsiaTheme="minorHAnsi" w:hAnsiTheme="minorHAnsi" w:cstheme="minorHAnsi"/>
                <w:kern w:val="2"/>
                <w:sz w:val="22"/>
                <w:szCs w:val="22"/>
                <w:lang w:eastAsia="en-US"/>
                <w14:ligatures w14:val="standardContextual"/>
              </w:rPr>
            </w:pPr>
            <w:r w:rsidRPr="00B255A0">
              <w:rPr>
                <w:rFonts w:asciiTheme="minorHAnsi" w:eastAsiaTheme="minorHAnsi" w:hAnsiTheme="minorHAnsi" w:cstheme="minorHAnsi"/>
                <w:kern w:val="2"/>
                <w:sz w:val="22"/>
                <w:szCs w:val="22"/>
                <w:lang w:eastAsia="en-US"/>
                <w14:ligatures w14:val="standardContextual"/>
              </w:rPr>
              <w:t>Improve productivity at work, school, and home (e.g., household chores)</w:t>
            </w:r>
          </w:p>
          <w:p w14:paraId="7C78C812" w14:textId="77777777" w:rsidR="00B37CCF" w:rsidRPr="00B255A0" w:rsidRDefault="00B37CCF" w:rsidP="007710A1">
            <w:pPr>
              <w:pStyle w:val="ListParagraph"/>
              <w:numPr>
                <w:ilvl w:val="0"/>
                <w:numId w:val="15"/>
              </w:numPr>
              <w:spacing w:line="360" w:lineRule="auto"/>
              <w:ind w:left="450"/>
              <w:rPr>
                <w:rFonts w:asciiTheme="minorHAnsi" w:eastAsiaTheme="minorHAnsi" w:hAnsiTheme="minorHAnsi" w:cstheme="minorHAnsi"/>
                <w:kern w:val="2"/>
                <w:sz w:val="22"/>
                <w:szCs w:val="22"/>
                <w:lang w:eastAsia="en-US"/>
                <w14:ligatures w14:val="standardContextual"/>
              </w:rPr>
            </w:pPr>
            <w:r w:rsidRPr="00B255A0">
              <w:rPr>
                <w:rFonts w:asciiTheme="minorHAnsi" w:eastAsiaTheme="minorHAnsi" w:hAnsiTheme="minorHAnsi" w:cstheme="minorHAnsi"/>
                <w:kern w:val="2"/>
                <w:sz w:val="22"/>
                <w:szCs w:val="22"/>
                <w:lang w:eastAsia="en-US"/>
                <w14:ligatures w14:val="standardContextual"/>
              </w:rPr>
              <w:t>Restore normal social function (i.e., participate and enjoy relationships with family, and friends)</w:t>
            </w:r>
          </w:p>
          <w:p w14:paraId="40A053A0" w14:textId="77777777" w:rsidR="00B37CCF" w:rsidRPr="00B255A0" w:rsidRDefault="00B37CCF" w:rsidP="007710A1">
            <w:pPr>
              <w:pStyle w:val="ListParagraph"/>
              <w:numPr>
                <w:ilvl w:val="0"/>
                <w:numId w:val="15"/>
              </w:numPr>
              <w:spacing w:line="360" w:lineRule="auto"/>
              <w:ind w:left="450"/>
              <w:rPr>
                <w:rFonts w:asciiTheme="minorHAnsi" w:eastAsiaTheme="minorHAnsi" w:hAnsiTheme="minorHAnsi" w:cstheme="minorHAnsi"/>
                <w:kern w:val="2"/>
                <w:sz w:val="22"/>
                <w:szCs w:val="22"/>
                <w:lang w:eastAsia="en-US"/>
                <w14:ligatures w14:val="standardContextual"/>
              </w:rPr>
            </w:pPr>
            <w:r w:rsidRPr="00B255A0">
              <w:rPr>
                <w:rFonts w:asciiTheme="minorHAnsi" w:eastAsiaTheme="minorHAnsi" w:hAnsiTheme="minorHAnsi" w:cstheme="minorHAnsi"/>
                <w:kern w:val="2"/>
                <w:sz w:val="22"/>
                <w:szCs w:val="22"/>
                <w:lang w:eastAsia="en-US"/>
                <w14:ligatures w14:val="standardContextual"/>
              </w:rPr>
              <w:t>Have positive emotions (e.g., optimism)</w:t>
            </w:r>
          </w:p>
          <w:p w14:paraId="61B4E8FB" w14:textId="77777777" w:rsidR="00B37CCF" w:rsidRPr="00B255A0" w:rsidRDefault="00B37CCF" w:rsidP="007710A1">
            <w:pPr>
              <w:pStyle w:val="ListParagraph"/>
              <w:numPr>
                <w:ilvl w:val="0"/>
                <w:numId w:val="15"/>
              </w:numPr>
              <w:spacing w:line="360" w:lineRule="auto"/>
              <w:ind w:left="450"/>
              <w:rPr>
                <w:rFonts w:asciiTheme="minorHAnsi" w:eastAsiaTheme="minorHAnsi" w:hAnsiTheme="minorHAnsi" w:cstheme="minorHAnsi"/>
                <w:kern w:val="2"/>
                <w:sz w:val="22"/>
                <w:szCs w:val="22"/>
                <w:lang w:eastAsia="en-US"/>
                <w14:ligatures w14:val="standardContextual"/>
              </w:rPr>
            </w:pPr>
            <w:r w:rsidRPr="00B255A0">
              <w:rPr>
                <w:rFonts w:asciiTheme="minorHAnsi" w:eastAsiaTheme="minorHAnsi" w:hAnsiTheme="minorHAnsi" w:cstheme="minorHAnsi"/>
                <w:kern w:val="2"/>
                <w:sz w:val="22"/>
                <w:szCs w:val="22"/>
                <w:lang w:eastAsia="en-US"/>
                <w14:ligatures w14:val="standardContextual"/>
              </w:rPr>
              <w:t>Regain self-esteem</w:t>
            </w:r>
          </w:p>
          <w:p w14:paraId="745AC670" w14:textId="77777777" w:rsidR="00B37CCF" w:rsidRPr="00B255A0" w:rsidRDefault="00B37CCF" w:rsidP="007710A1">
            <w:pPr>
              <w:pStyle w:val="ListParagraph"/>
              <w:numPr>
                <w:ilvl w:val="0"/>
                <w:numId w:val="15"/>
              </w:numPr>
              <w:spacing w:line="360" w:lineRule="auto"/>
              <w:ind w:left="450"/>
              <w:rPr>
                <w:rFonts w:asciiTheme="minorHAnsi" w:eastAsiaTheme="minorHAnsi" w:hAnsiTheme="minorHAnsi" w:cstheme="minorHAnsi"/>
                <w:kern w:val="2"/>
                <w:sz w:val="22"/>
                <w:szCs w:val="22"/>
                <w:lang w:eastAsia="en-US"/>
                <w14:ligatures w14:val="standardContextual"/>
              </w:rPr>
            </w:pPr>
            <w:r w:rsidRPr="00B255A0">
              <w:rPr>
                <w:rFonts w:asciiTheme="minorHAnsi" w:eastAsiaTheme="minorHAnsi" w:hAnsiTheme="minorHAnsi" w:cstheme="minorHAnsi"/>
                <w:kern w:val="2"/>
                <w:sz w:val="22"/>
                <w:szCs w:val="22"/>
                <w:lang w:eastAsia="en-US"/>
                <w14:ligatures w14:val="standardContextual"/>
              </w:rPr>
              <w:t>Improve sexual satisfaction</w:t>
            </w:r>
          </w:p>
          <w:p w14:paraId="597BAE0C" w14:textId="77777777" w:rsidR="00B37CCF" w:rsidRPr="00B255A0" w:rsidRDefault="00B37CCF" w:rsidP="007710A1">
            <w:pPr>
              <w:pStyle w:val="ListParagraph"/>
              <w:numPr>
                <w:ilvl w:val="0"/>
                <w:numId w:val="15"/>
              </w:numPr>
              <w:spacing w:line="360" w:lineRule="auto"/>
              <w:ind w:left="450"/>
              <w:rPr>
                <w:rFonts w:asciiTheme="minorHAnsi" w:eastAsiaTheme="minorHAnsi" w:hAnsiTheme="minorHAnsi" w:cstheme="minorHAnsi"/>
                <w:kern w:val="2"/>
                <w:sz w:val="22"/>
                <w:szCs w:val="22"/>
                <w:lang w:eastAsia="en-US"/>
                <w14:ligatures w14:val="standardContextual"/>
              </w:rPr>
            </w:pPr>
            <w:r w:rsidRPr="00B255A0">
              <w:rPr>
                <w:rFonts w:asciiTheme="minorHAnsi" w:eastAsiaTheme="minorHAnsi" w:hAnsiTheme="minorHAnsi" w:cstheme="minorHAnsi"/>
                <w:kern w:val="2"/>
                <w:sz w:val="22"/>
                <w:szCs w:val="22"/>
                <w:lang w:eastAsia="en-US"/>
                <w14:ligatures w14:val="standardContextual"/>
              </w:rPr>
              <w:t>Increase attention span</w:t>
            </w:r>
          </w:p>
        </w:tc>
      </w:tr>
    </w:tbl>
    <w:p w14:paraId="01A78AAA" w14:textId="77777777" w:rsidR="00B37CCF" w:rsidRPr="00B255A0" w:rsidRDefault="00B37CCF" w:rsidP="00B37CCF">
      <w:pPr>
        <w:spacing w:line="360" w:lineRule="auto"/>
        <w:rPr>
          <w:rFonts w:cstheme="minorHAnsi"/>
          <w:b/>
          <w:bCs/>
        </w:rPr>
        <w:sectPr w:rsidR="00B37CCF" w:rsidRPr="00B255A0">
          <w:pgSz w:w="11906" w:h="16838"/>
          <w:pgMar w:top="1440" w:right="1440" w:bottom="1440" w:left="1440" w:header="708" w:footer="708" w:gutter="0"/>
          <w:cols w:space="708"/>
          <w:docGrid w:linePitch="360"/>
        </w:sectPr>
      </w:pPr>
    </w:p>
    <w:p w14:paraId="137F6005" w14:textId="6CFC287F" w:rsidR="00B37CCF" w:rsidRPr="00B255A0" w:rsidRDefault="00B37CCF" w:rsidP="00B37CCF">
      <w:pPr>
        <w:spacing w:after="0" w:line="240" w:lineRule="auto"/>
        <w:rPr>
          <w:rFonts w:eastAsia="Times New Roman" w:cstheme="minorHAnsi"/>
          <w:b/>
          <w:bCs/>
          <w:lang w:val="en-IN" w:eastAsia="en-IN"/>
        </w:rPr>
      </w:pPr>
      <w:r w:rsidRPr="00B255A0">
        <w:rPr>
          <w:rFonts w:eastAsia="Times New Roman" w:cstheme="minorHAnsi"/>
          <w:b/>
          <w:bCs/>
          <w:lang w:val="en-IN" w:eastAsia="en-IN"/>
        </w:rPr>
        <w:lastRenderedPageBreak/>
        <w:t>Table S5</w:t>
      </w:r>
      <w:r w:rsidR="000A74B8">
        <w:rPr>
          <w:rFonts w:eastAsia="Times New Roman" w:cstheme="minorHAnsi"/>
          <w:b/>
          <w:bCs/>
          <w:lang w:val="en-IN" w:eastAsia="en-IN"/>
        </w:rPr>
        <w:t>.</w:t>
      </w:r>
      <w:r w:rsidRPr="00B255A0">
        <w:rPr>
          <w:rFonts w:eastAsia="Times New Roman" w:cstheme="minorHAnsi"/>
          <w:b/>
          <w:bCs/>
          <w:lang w:val="en-IN" w:eastAsia="en-IN"/>
        </w:rPr>
        <w:t xml:space="preserve"> Demographics and Patient Caseload of Physicians</w:t>
      </w:r>
    </w:p>
    <w:p w14:paraId="18936581" w14:textId="77777777" w:rsidR="00B37CCF" w:rsidRPr="00B255A0" w:rsidRDefault="00B37CCF" w:rsidP="00B37CCF">
      <w:pPr>
        <w:spacing w:after="0" w:line="240" w:lineRule="auto"/>
        <w:rPr>
          <w:rFonts w:eastAsia="Times New Roman" w:cstheme="minorHAnsi"/>
          <w:b/>
          <w:bCs/>
          <w:lang w:val="en-IN" w:eastAsia="en-IN"/>
        </w:rPr>
      </w:pPr>
    </w:p>
    <w:tbl>
      <w:tblPr>
        <w:tblStyle w:val="PlainTable2"/>
        <w:tblW w:w="9071" w:type="dxa"/>
        <w:tblBorders>
          <w:top w:val="none" w:sz="0" w:space="0" w:color="auto"/>
          <w:bottom w:val="none" w:sz="0" w:space="0" w:color="auto"/>
        </w:tblBorders>
        <w:tblLook w:val="06A0" w:firstRow="1" w:lastRow="0" w:firstColumn="1" w:lastColumn="0" w:noHBand="1" w:noVBand="1"/>
      </w:tblPr>
      <w:tblGrid>
        <w:gridCol w:w="6232"/>
        <w:gridCol w:w="2839"/>
      </w:tblGrid>
      <w:tr w:rsidR="00B37CCF" w:rsidRPr="00B255A0" w14:paraId="559A1384" w14:textId="77777777" w:rsidTr="007710A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bottom w:val="single" w:sz="4" w:space="0" w:color="auto"/>
            </w:tcBorders>
          </w:tcPr>
          <w:p w14:paraId="69A9C1FE" w14:textId="77777777" w:rsidR="00B37CCF" w:rsidRPr="00B255A0" w:rsidRDefault="00B37CCF" w:rsidP="007710A1">
            <w:pPr>
              <w:rPr>
                <w:rFonts w:eastAsia="Times New Roman" w:cstheme="minorHAnsi"/>
                <w:lang w:val="en-IN" w:eastAsia="en-IN"/>
              </w:rPr>
            </w:pPr>
            <w:r w:rsidRPr="00B255A0">
              <w:rPr>
                <w:rFonts w:eastAsia="Times New Roman" w:cstheme="minorHAnsi"/>
                <w:lang w:val="en-IN" w:eastAsia="en-IN"/>
              </w:rPr>
              <w:t>Variable</w:t>
            </w:r>
          </w:p>
        </w:tc>
        <w:tc>
          <w:tcPr>
            <w:tcW w:w="2839" w:type="dxa"/>
            <w:tcBorders>
              <w:top w:val="single" w:sz="4" w:space="0" w:color="auto"/>
              <w:bottom w:val="single" w:sz="4" w:space="0" w:color="auto"/>
            </w:tcBorders>
          </w:tcPr>
          <w:p w14:paraId="30841157" w14:textId="77777777" w:rsidR="00B37CCF" w:rsidRPr="00B255A0" w:rsidRDefault="00B37CCF" w:rsidP="007710A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val="en-IN" w:eastAsia="en-IN"/>
              </w:rPr>
            </w:pPr>
            <w:r w:rsidRPr="00B255A0">
              <w:rPr>
                <w:rFonts w:eastAsia="Times New Roman" w:cstheme="minorHAnsi"/>
                <w:lang w:val="en-IN" w:eastAsia="en-IN"/>
              </w:rPr>
              <w:t>Healthcare Providers (N=340)</w:t>
            </w:r>
          </w:p>
        </w:tc>
      </w:tr>
      <w:tr w:rsidR="00B37CCF" w:rsidRPr="00B255A0" w14:paraId="4C377624"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tcBorders>
          </w:tcPr>
          <w:p w14:paraId="12EB91C9" w14:textId="77777777" w:rsidR="00B37CCF" w:rsidRPr="00B255A0" w:rsidRDefault="00B37CCF" w:rsidP="007710A1">
            <w:pPr>
              <w:rPr>
                <w:rFonts w:eastAsia="Times New Roman" w:cstheme="minorHAnsi"/>
                <w:lang w:val="en-IN" w:eastAsia="en-IN"/>
              </w:rPr>
            </w:pPr>
            <w:r w:rsidRPr="00B255A0">
              <w:rPr>
                <w:rFonts w:eastAsia="Times New Roman" w:cstheme="minorHAnsi"/>
                <w:lang w:val="en-IN" w:eastAsia="en-IN"/>
              </w:rPr>
              <w:t>Country, n (%)</w:t>
            </w:r>
          </w:p>
        </w:tc>
        <w:tc>
          <w:tcPr>
            <w:tcW w:w="2839" w:type="dxa"/>
            <w:tcBorders>
              <w:top w:val="single" w:sz="4" w:space="0" w:color="auto"/>
            </w:tcBorders>
          </w:tcPr>
          <w:p w14:paraId="724495E5"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p>
        </w:tc>
      </w:tr>
      <w:tr w:rsidR="00B37CCF" w:rsidRPr="00B255A0" w14:paraId="3D0E739A"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06BC17FA" w14:textId="77777777" w:rsidR="00B37CCF" w:rsidRPr="00B255A0" w:rsidRDefault="00B37CCF" w:rsidP="007710A1">
            <w:pPr>
              <w:ind w:left="177"/>
              <w:rPr>
                <w:rFonts w:eastAsia="Times New Roman" w:cstheme="minorHAnsi"/>
                <w:b w:val="0"/>
                <w:bCs w:val="0"/>
                <w:lang w:val="en-IN" w:eastAsia="en-IN"/>
              </w:rPr>
            </w:pPr>
            <w:r w:rsidRPr="00B255A0">
              <w:rPr>
                <w:rFonts w:eastAsia="Times New Roman" w:cstheme="minorHAnsi"/>
                <w:b w:val="0"/>
                <w:bCs w:val="0"/>
                <w:lang w:val="en-IN" w:eastAsia="en-IN"/>
              </w:rPr>
              <w:t>Australia</w:t>
            </w:r>
          </w:p>
        </w:tc>
        <w:tc>
          <w:tcPr>
            <w:tcW w:w="2839" w:type="dxa"/>
          </w:tcPr>
          <w:p w14:paraId="78F07D93"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50 (14.7)</w:t>
            </w:r>
          </w:p>
        </w:tc>
      </w:tr>
      <w:tr w:rsidR="00B37CCF" w:rsidRPr="00B255A0" w14:paraId="556278C7"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6E75B6E1" w14:textId="77777777" w:rsidR="00B37CCF" w:rsidRPr="00B255A0" w:rsidRDefault="00B37CCF" w:rsidP="007710A1">
            <w:pPr>
              <w:ind w:left="177"/>
              <w:rPr>
                <w:rFonts w:eastAsia="Times New Roman" w:cstheme="minorHAnsi"/>
                <w:b w:val="0"/>
                <w:bCs w:val="0"/>
                <w:lang w:val="en-IN" w:eastAsia="en-IN"/>
              </w:rPr>
            </w:pPr>
            <w:r w:rsidRPr="00B255A0">
              <w:rPr>
                <w:rFonts w:eastAsia="Times New Roman" w:cstheme="minorHAnsi"/>
                <w:b w:val="0"/>
                <w:bCs w:val="0"/>
                <w:lang w:val="en-IN" w:eastAsia="en-IN"/>
              </w:rPr>
              <w:t>China</w:t>
            </w:r>
          </w:p>
        </w:tc>
        <w:tc>
          <w:tcPr>
            <w:tcW w:w="2839" w:type="dxa"/>
          </w:tcPr>
          <w:p w14:paraId="34F5D112"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60 (17.7)</w:t>
            </w:r>
          </w:p>
        </w:tc>
      </w:tr>
      <w:tr w:rsidR="00B37CCF" w:rsidRPr="00B255A0" w14:paraId="6C7DE0DF"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3DC050F2" w14:textId="77777777" w:rsidR="00B37CCF" w:rsidRPr="00B255A0" w:rsidRDefault="00B37CCF" w:rsidP="007710A1">
            <w:pPr>
              <w:ind w:left="177"/>
              <w:rPr>
                <w:rFonts w:eastAsia="Times New Roman" w:cstheme="minorHAnsi"/>
                <w:b w:val="0"/>
                <w:bCs w:val="0"/>
                <w:lang w:val="en-IN" w:eastAsia="en-IN"/>
              </w:rPr>
            </w:pPr>
            <w:r w:rsidRPr="00B255A0">
              <w:rPr>
                <w:rFonts w:eastAsia="Times New Roman" w:cstheme="minorHAnsi"/>
                <w:b w:val="0"/>
                <w:bCs w:val="0"/>
                <w:lang w:val="en-IN" w:eastAsia="en-IN"/>
              </w:rPr>
              <w:t>Japan</w:t>
            </w:r>
          </w:p>
        </w:tc>
        <w:tc>
          <w:tcPr>
            <w:tcW w:w="2839" w:type="dxa"/>
          </w:tcPr>
          <w:p w14:paraId="15EE27E9"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60 (17.7)</w:t>
            </w:r>
          </w:p>
        </w:tc>
      </w:tr>
      <w:tr w:rsidR="00B37CCF" w:rsidRPr="00B255A0" w14:paraId="07D1915B"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3428B2F0" w14:textId="77777777" w:rsidR="00B37CCF" w:rsidRPr="00B255A0" w:rsidRDefault="00B37CCF" w:rsidP="007710A1">
            <w:pPr>
              <w:ind w:left="177"/>
              <w:rPr>
                <w:rFonts w:eastAsia="Times New Roman" w:cstheme="minorHAnsi"/>
                <w:b w:val="0"/>
                <w:bCs w:val="0"/>
                <w:lang w:val="en-IN" w:eastAsia="en-IN"/>
              </w:rPr>
            </w:pPr>
            <w:r w:rsidRPr="00B255A0">
              <w:rPr>
                <w:rFonts w:eastAsia="Times New Roman" w:cstheme="minorHAnsi"/>
                <w:b w:val="0"/>
                <w:bCs w:val="0"/>
                <w:lang w:val="en-IN" w:eastAsia="en-IN"/>
              </w:rPr>
              <w:t>Malaysia</w:t>
            </w:r>
          </w:p>
        </w:tc>
        <w:tc>
          <w:tcPr>
            <w:tcW w:w="2839" w:type="dxa"/>
          </w:tcPr>
          <w:p w14:paraId="186578A2"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50 (14.7)</w:t>
            </w:r>
          </w:p>
        </w:tc>
      </w:tr>
      <w:tr w:rsidR="00B37CCF" w:rsidRPr="00B255A0" w14:paraId="17F2A49C"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0DC213DF" w14:textId="77777777" w:rsidR="00B37CCF" w:rsidRPr="00B255A0" w:rsidRDefault="00B37CCF" w:rsidP="007710A1">
            <w:pPr>
              <w:ind w:left="177"/>
              <w:rPr>
                <w:rFonts w:eastAsia="Times New Roman" w:cstheme="minorHAnsi"/>
                <w:b w:val="0"/>
                <w:bCs w:val="0"/>
                <w:lang w:val="en-IN" w:eastAsia="en-IN"/>
              </w:rPr>
            </w:pPr>
            <w:r w:rsidRPr="00B255A0">
              <w:rPr>
                <w:rFonts w:eastAsia="Times New Roman" w:cstheme="minorHAnsi"/>
                <w:b w:val="0"/>
                <w:bCs w:val="0"/>
                <w:lang w:val="en-IN" w:eastAsia="en-IN"/>
              </w:rPr>
              <w:t>South Korea</w:t>
            </w:r>
          </w:p>
        </w:tc>
        <w:tc>
          <w:tcPr>
            <w:tcW w:w="2839" w:type="dxa"/>
          </w:tcPr>
          <w:p w14:paraId="6981143F"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60 (17.7)</w:t>
            </w:r>
          </w:p>
        </w:tc>
      </w:tr>
      <w:tr w:rsidR="00B37CCF" w:rsidRPr="00B255A0" w14:paraId="6BC4D070"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52A1A17A" w14:textId="77777777" w:rsidR="00B37CCF" w:rsidRPr="00B255A0" w:rsidRDefault="00B37CCF" w:rsidP="007710A1">
            <w:pPr>
              <w:ind w:left="177"/>
              <w:rPr>
                <w:rFonts w:eastAsia="Times New Roman" w:cstheme="minorHAnsi"/>
                <w:b w:val="0"/>
                <w:bCs w:val="0"/>
                <w:lang w:val="en-IN" w:eastAsia="en-IN"/>
              </w:rPr>
            </w:pPr>
            <w:r w:rsidRPr="00B255A0">
              <w:rPr>
                <w:rFonts w:eastAsia="Times New Roman" w:cstheme="minorHAnsi"/>
                <w:b w:val="0"/>
                <w:bCs w:val="0"/>
                <w:lang w:val="en-IN" w:eastAsia="en-IN"/>
              </w:rPr>
              <w:t>Taiwan</w:t>
            </w:r>
          </w:p>
        </w:tc>
        <w:tc>
          <w:tcPr>
            <w:tcW w:w="2839" w:type="dxa"/>
          </w:tcPr>
          <w:p w14:paraId="1DBCB6FD"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60 (17.7)</w:t>
            </w:r>
          </w:p>
        </w:tc>
      </w:tr>
      <w:tr w:rsidR="00B37CCF" w:rsidRPr="00B255A0" w14:paraId="58CA2575"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787D524B" w14:textId="77777777" w:rsidR="00B37CCF" w:rsidRPr="00B255A0" w:rsidRDefault="00B37CCF" w:rsidP="007710A1">
            <w:pPr>
              <w:rPr>
                <w:rFonts w:eastAsia="Times New Roman" w:cstheme="minorHAnsi"/>
                <w:b w:val="0"/>
                <w:bCs w:val="0"/>
                <w:lang w:val="en-IN" w:eastAsia="en-IN"/>
              </w:rPr>
            </w:pPr>
            <w:r w:rsidRPr="00B255A0">
              <w:rPr>
                <w:rFonts w:eastAsia="Times New Roman" w:cstheme="minorHAnsi"/>
                <w:lang w:val="en-IN" w:eastAsia="en-IN"/>
              </w:rPr>
              <w:t>Primary place of practice Australia, China, Japan, Malaysia, South Korea</w:t>
            </w:r>
            <w:r w:rsidRPr="00B255A0">
              <w:rPr>
                <w:rFonts w:eastAsia="Times New Roman" w:cstheme="minorHAnsi"/>
                <w:b w:val="0"/>
                <w:bCs w:val="0"/>
                <w:lang w:val="en-IN" w:eastAsia="en-IN"/>
              </w:rPr>
              <w:t xml:space="preserve">, </w:t>
            </w:r>
            <w:r w:rsidRPr="00B255A0">
              <w:rPr>
                <w:rFonts w:eastAsia="Times New Roman" w:cstheme="minorHAnsi"/>
                <w:lang w:val="en-IN" w:eastAsia="en-IN"/>
              </w:rPr>
              <w:t>n (%)</w:t>
            </w:r>
          </w:p>
        </w:tc>
        <w:tc>
          <w:tcPr>
            <w:tcW w:w="2839" w:type="dxa"/>
          </w:tcPr>
          <w:p w14:paraId="7ACAFFF4"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p>
        </w:tc>
      </w:tr>
      <w:tr w:rsidR="00B37CCF" w:rsidRPr="00B255A0" w14:paraId="5AB341C7"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5E0BD00B" w14:textId="77777777" w:rsidR="00B37CCF" w:rsidRPr="00B255A0" w:rsidRDefault="00B37CCF" w:rsidP="007710A1">
            <w:pPr>
              <w:ind w:left="177"/>
              <w:rPr>
                <w:rFonts w:eastAsia="Times New Roman" w:cstheme="minorHAnsi"/>
                <w:b w:val="0"/>
                <w:bCs w:val="0"/>
                <w:lang w:val="en-IN" w:eastAsia="en-IN"/>
              </w:rPr>
            </w:pPr>
            <w:r w:rsidRPr="00B255A0">
              <w:rPr>
                <w:rFonts w:eastAsia="Times New Roman" w:cstheme="minorHAnsi"/>
                <w:b w:val="0"/>
                <w:bCs w:val="0"/>
                <w:lang w:val="en-IN" w:eastAsia="en-IN"/>
              </w:rPr>
              <w:t>Public hospital / clinic</w:t>
            </w:r>
          </w:p>
        </w:tc>
        <w:tc>
          <w:tcPr>
            <w:tcW w:w="2839" w:type="dxa"/>
          </w:tcPr>
          <w:p w14:paraId="06392E56"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121 (35.6)</w:t>
            </w:r>
          </w:p>
        </w:tc>
      </w:tr>
      <w:tr w:rsidR="00B37CCF" w:rsidRPr="00B255A0" w14:paraId="29BFBD97"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29EF5366" w14:textId="77777777" w:rsidR="00B37CCF" w:rsidRPr="00B255A0" w:rsidRDefault="00B37CCF" w:rsidP="007710A1">
            <w:pPr>
              <w:ind w:left="177"/>
              <w:rPr>
                <w:rFonts w:eastAsia="Times New Roman" w:cstheme="minorHAnsi"/>
                <w:b w:val="0"/>
                <w:bCs w:val="0"/>
                <w:lang w:val="en-IN" w:eastAsia="en-IN"/>
              </w:rPr>
            </w:pPr>
            <w:r w:rsidRPr="00B255A0">
              <w:rPr>
                <w:rFonts w:eastAsia="Times New Roman" w:cstheme="minorHAnsi"/>
                <w:b w:val="0"/>
                <w:bCs w:val="0"/>
                <w:lang w:val="en-IN" w:eastAsia="en-IN"/>
              </w:rPr>
              <w:t>Private hospital / clinic</w:t>
            </w:r>
          </w:p>
        </w:tc>
        <w:tc>
          <w:tcPr>
            <w:tcW w:w="2839" w:type="dxa"/>
          </w:tcPr>
          <w:p w14:paraId="5D5F3D4E"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159 (46.8)</w:t>
            </w:r>
          </w:p>
        </w:tc>
      </w:tr>
      <w:tr w:rsidR="00B37CCF" w:rsidRPr="00B255A0" w14:paraId="7F6D6FA9"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3BD9250B" w14:textId="77777777" w:rsidR="00B37CCF" w:rsidRPr="00B255A0" w:rsidRDefault="00B37CCF" w:rsidP="007710A1">
            <w:pPr>
              <w:rPr>
                <w:rFonts w:eastAsia="Times New Roman" w:cstheme="minorHAnsi"/>
                <w:b w:val="0"/>
                <w:bCs w:val="0"/>
                <w:lang w:val="en-IN" w:eastAsia="en-IN"/>
              </w:rPr>
            </w:pPr>
            <w:r w:rsidRPr="00B255A0">
              <w:rPr>
                <w:rFonts w:eastAsia="Times New Roman" w:cstheme="minorHAnsi"/>
                <w:lang w:val="en-IN" w:eastAsia="en-IN"/>
              </w:rPr>
              <w:t>Primary place of practice</w:t>
            </w:r>
            <w:r w:rsidRPr="00B255A0">
              <w:rPr>
                <w:rFonts w:eastAsia="Times New Roman" w:cstheme="minorHAnsi"/>
                <w:b w:val="0"/>
                <w:bCs w:val="0"/>
                <w:lang w:val="en-IN" w:eastAsia="en-IN"/>
              </w:rPr>
              <w:t xml:space="preserve"> </w:t>
            </w:r>
            <w:r w:rsidRPr="00B255A0">
              <w:rPr>
                <w:rFonts w:eastAsia="Times New Roman" w:cstheme="minorHAnsi"/>
                <w:lang w:val="en-IN" w:eastAsia="en-IN"/>
              </w:rPr>
              <w:t>Taiwan</w:t>
            </w:r>
            <w:r w:rsidRPr="00B255A0">
              <w:rPr>
                <w:rFonts w:eastAsia="Times New Roman" w:cstheme="minorHAnsi"/>
                <w:b w:val="0"/>
                <w:bCs w:val="0"/>
                <w:lang w:val="en-IN" w:eastAsia="en-IN"/>
              </w:rPr>
              <w:t xml:space="preserve">, </w:t>
            </w:r>
            <w:r w:rsidRPr="00B255A0">
              <w:rPr>
                <w:rFonts w:eastAsia="Times New Roman" w:cstheme="minorHAnsi"/>
                <w:lang w:val="en-IN" w:eastAsia="en-IN"/>
              </w:rPr>
              <w:t>n (%)</w:t>
            </w:r>
          </w:p>
        </w:tc>
        <w:tc>
          <w:tcPr>
            <w:tcW w:w="2839" w:type="dxa"/>
          </w:tcPr>
          <w:p w14:paraId="146EF303"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p>
        </w:tc>
      </w:tr>
      <w:tr w:rsidR="00B37CCF" w:rsidRPr="00B255A0" w14:paraId="47CB2CDA"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2461A1BB" w14:textId="77777777" w:rsidR="00B37CCF" w:rsidRPr="00B255A0" w:rsidRDefault="00B37CCF" w:rsidP="007710A1">
            <w:pPr>
              <w:ind w:left="177"/>
              <w:rPr>
                <w:rFonts w:cstheme="minorHAnsi"/>
                <w:b w:val="0"/>
                <w:bCs w:val="0"/>
                <w:color w:val="000000"/>
              </w:rPr>
            </w:pPr>
            <w:r w:rsidRPr="00B255A0">
              <w:rPr>
                <w:rFonts w:cstheme="minorHAnsi"/>
                <w:b w:val="0"/>
                <w:bCs w:val="0"/>
                <w:color w:val="000000"/>
              </w:rPr>
              <w:t>Medical Center</w:t>
            </w:r>
          </w:p>
        </w:tc>
        <w:tc>
          <w:tcPr>
            <w:tcW w:w="2839" w:type="dxa"/>
          </w:tcPr>
          <w:p w14:paraId="508635CF"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16 (4.7)</w:t>
            </w:r>
          </w:p>
        </w:tc>
      </w:tr>
      <w:tr w:rsidR="00B37CCF" w:rsidRPr="00B255A0" w14:paraId="02643E79"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58847B30" w14:textId="77777777" w:rsidR="00B37CCF" w:rsidRPr="00B255A0" w:rsidRDefault="00B37CCF" w:rsidP="007710A1">
            <w:pPr>
              <w:ind w:left="177"/>
              <w:rPr>
                <w:rFonts w:cstheme="minorHAnsi"/>
                <w:b w:val="0"/>
                <w:bCs w:val="0"/>
                <w:color w:val="000000"/>
              </w:rPr>
            </w:pPr>
            <w:r w:rsidRPr="00B255A0">
              <w:rPr>
                <w:rFonts w:cstheme="minorHAnsi"/>
                <w:b w:val="0"/>
                <w:bCs w:val="0"/>
                <w:color w:val="000000"/>
              </w:rPr>
              <w:t>Regional Hospital</w:t>
            </w:r>
          </w:p>
        </w:tc>
        <w:tc>
          <w:tcPr>
            <w:tcW w:w="2839" w:type="dxa"/>
          </w:tcPr>
          <w:p w14:paraId="6D76D207"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21 (6.2)</w:t>
            </w:r>
          </w:p>
        </w:tc>
      </w:tr>
      <w:tr w:rsidR="00B37CCF" w:rsidRPr="00B255A0" w14:paraId="7B062486"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5ABD5909" w14:textId="77777777" w:rsidR="00B37CCF" w:rsidRPr="00B255A0" w:rsidRDefault="00B37CCF" w:rsidP="007710A1">
            <w:pPr>
              <w:ind w:left="177"/>
              <w:rPr>
                <w:rFonts w:cstheme="minorHAnsi"/>
                <w:b w:val="0"/>
                <w:bCs w:val="0"/>
                <w:color w:val="000000"/>
              </w:rPr>
            </w:pPr>
            <w:r w:rsidRPr="00B255A0">
              <w:rPr>
                <w:rFonts w:cstheme="minorHAnsi"/>
                <w:b w:val="0"/>
                <w:bCs w:val="0"/>
                <w:color w:val="000000"/>
              </w:rPr>
              <w:t>Area Hospital</w:t>
            </w:r>
          </w:p>
        </w:tc>
        <w:tc>
          <w:tcPr>
            <w:tcW w:w="2839" w:type="dxa"/>
          </w:tcPr>
          <w:p w14:paraId="2D0D8723"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23 (6.8)</w:t>
            </w:r>
          </w:p>
        </w:tc>
      </w:tr>
      <w:tr w:rsidR="00B37CCF" w:rsidRPr="00B255A0" w14:paraId="29FFCFE2"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35B42E94" w14:textId="77777777" w:rsidR="00B37CCF" w:rsidRPr="00B255A0" w:rsidRDefault="00B37CCF" w:rsidP="007710A1">
            <w:pPr>
              <w:rPr>
                <w:rFonts w:cstheme="minorHAnsi"/>
                <w:color w:val="000000"/>
              </w:rPr>
            </w:pPr>
            <w:r w:rsidRPr="00B255A0">
              <w:rPr>
                <w:rFonts w:cstheme="minorHAnsi"/>
                <w:color w:val="000000"/>
              </w:rPr>
              <w:t>Years practicing as a psychiatrist, mean (SD)</w:t>
            </w:r>
          </w:p>
        </w:tc>
        <w:tc>
          <w:tcPr>
            <w:tcW w:w="2839" w:type="dxa"/>
          </w:tcPr>
          <w:p w14:paraId="5C6BAE05"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16.77 (8.5)</w:t>
            </w:r>
          </w:p>
        </w:tc>
      </w:tr>
      <w:tr w:rsidR="00B37CCF" w:rsidRPr="00B255A0" w14:paraId="13C47A7E"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55D6D150" w14:textId="77777777" w:rsidR="00B37CCF" w:rsidRPr="00B255A0" w:rsidRDefault="00B37CCF" w:rsidP="007710A1">
            <w:pPr>
              <w:rPr>
                <w:rFonts w:cstheme="minorHAnsi"/>
                <w:color w:val="000000"/>
              </w:rPr>
            </w:pPr>
            <w:r w:rsidRPr="00B255A0">
              <w:rPr>
                <w:rFonts w:cstheme="minorHAnsi"/>
                <w:color w:val="000000"/>
              </w:rPr>
              <w:t>Percentage of time in direct patient care, mean (SD)</w:t>
            </w:r>
          </w:p>
        </w:tc>
        <w:tc>
          <w:tcPr>
            <w:tcW w:w="2839" w:type="dxa"/>
          </w:tcPr>
          <w:p w14:paraId="2D28DD74"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82.83 (13.7)</w:t>
            </w:r>
          </w:p>
        </w:tc>
      </w:tr>
      <w:tr w:rsidR="00B37CCF" w:rsidRPr="00B255A0" w14:paraId="520D1030"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739BF4F5" w14:textId="77777777" w:rsidR="00B37CCF" w:rsidRPr="00B255A0" w:rsidRDefault="00B37CCF" w:rsidP="007710A1">
            <w:pPr>
              <w:rPr>
                <w:rFonts w:cstheme="minorHAnsi"/>
                <w:color w:val="000000"/>
              </w:rPr>
            </w:pPr>
            <w:r w:rsidRPr="00B255A0">
              <w:rPr>
                <w:rFonts w:cstheme="minorHAnsi"/>
                <w:color w:val="000000"/>
              </w:rPr>
              <w:t>Number of MDD patients seen in the past month, mean (SD)</w:t>
            </w:r>
          </w:p>
        </w:tc>
        <w:tc>
          <w:tcPr>
            <w:tcW w:w="2839" w:type="dxa"/>
          </w:tcPr>
          <w:p w14:paraId="41115C41"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129.22 (132.1)</w:t>
            </w:r>
          </w:p>
        </w:tc>
      </w:tr>
      <w:tr w:rsidR="00B37CCF" w:rsidRPr="00B255A0" w14:paraId="146A2F57"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5A32F4D3" w14:textId="77777777" w:rsidR="00B37CCF" w:rsidRPr="00B255A0" w:rsidRDefault="00B37CCF" w:rsidP="007710A1">
            <w:pPr>
              <w:rPr>
                <w:rFonts w:eastAsia="Times New Roman" w:cstheme="minorHAnsi"/>
                <w:lang w:val="en-IN" w:eastAsia="en-IN"/>
              </w:rPr>
            </w:pPr>
            <w:r w:rsidRPr="00B255A0">
              <w:rPr>
                <w:rFonts w:eastAsia="Times New Roman" w:cstheme="minorHAnsi"/>
                <w:lang w:val="en-IN" w:eastAsia="en-IN"/>
              </w:rPr>
              <w:t>MDD severity among MDD patients, n (%)</w:t>
            </w:r>
          </w:p>
        </w:tc>
        <w:tc>
          <w:tcPr>
            <w:tcW w:w="2839" w:type="dxa"/>
          </w:tcPr>
          <w:p w14:paraId="6FE7385D"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p>
        </w:tc>
      </w:tr>
      <w:tr w:rsidR="00B37CCF" w:rsidRPr="00B255A0" w14:paraId="157F0C9E"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48A6D148" w14:textId="77777777" w:rsidR="00B37CCF" w:rsidRPr="00B255A0" w:rsidRDefault="00B37CCF" w:rsidP="007710A1">
            <w:pPr>
              <w:ind w:left="177"/>
              <w:rPr>
                <w:rFonts w:eastAsia="Times New Roman" w:cstheme="minorHAnsi"/>
                <w:b w:val="0"/>
                <w:bCs w:val="0"/>
                <w:lang w:val="en-IN" w:eastAsia="en-IN"/>
              </w:rPr>
            </w:pPr>
            <w:r w:rsidRPr="00B255A0">
              <w:rPr>
                <w:rFonts w:eastAsia="Times New Roman" w:cstheme="minorHAnsi"/>
                <w:b w:val="0"/>
                <w:bCs w:val="0"/>
                <w:lang w:val="en-IN" w:eastAsia="en-IN"/>
              </w:rPr>
              <w:t xml:space="preserve">mild MDD </w:t>
            </w:r>
          </w:p>
        </w:tc>
        <w:tc>
          <w:tcPr>
            <w:tcW w:w="2839" w:type="dxa"/>
          </w:tcPr>
          <w:p w14:paraId="42B7853B"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36.09 (18.5)</w:t>
            </w:r>
          </w:p>
        </w:tc>
      </w:tr>
      <w:tr w:rsidR="00B37CCF" w:rsidRPr="00B255A0" w14:paraId="6A4432F2"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4613B741" w14:textId="77777777" w:rsidR="00B37CCF" w:rsidRPr="00B255A0" w:rsidRDefault="00B37CCF" w:rsidP="007710A1">
            <w:pPr>
              <w:ind w:left="177"/>
              <w:rPr>
                <w:rFonts w:eastAsia="Times New Roman" w:cstheme="minorHAnsi"/>
                <w:b w:val="0"/>
                <w:bCs w:val="0"/>
                <w:lang w:val="en-IN" w:eastAsia="en-IN"/>
              </w:rPr>
            </w:pPr>
            <w:r w:rsidRPr="00B255A0">
              <w:rPr>
                <w:rFonts w:eastAsia="Times New Roman" w:cstheme="minorHAnsi"/>
                <w:b w:val="0"/>
                <w:bCs w:val="0"/>
                <w:lang w:val="en-IN" w:eastAsia="en-IN"/>
              </w:rPr>
              <w:t>moderate MDD</w:t>
            </w:r>
          </w:p>
        </w:tc>
        <w:tc>
          <w:tcPr>
            <w:tcW w:w="2839" w:type="dxa"/>
          </w:tcPr>
          <w:p w14:paraId="7D6A18BE"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38.64 (13.1)</w:t>
            </w:r>
          </w:p>
        </w:tc>
      </w:tr>
      <w:tr w:rsidR="00B37CCF" w:rsidRPr="00B255A0" w14:paraId="232D8A2E"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55636CEB" w14:textId="77777777" w:rsidR="00B37CCF" w:rsidRPr="00B255A0" w:rsidRDefault="00B37CCF" w:rsidP="007710A1">
            <w:pPr>
              <w:ind w:left="177"/>
              <w:rPr>
                <w:rFonts w:eastAsia="Times New Roman" w:cstheme="minorHAnsi"/>
                <w:b w:val="0"/>
                <w:bCs w:val="0"/>
                <w:lang w:val="en-IN" w:eastAsia="en-IN"/>
              </w:rPr>
            </w:pPr>
            <w:r w:rsidRPr="00B255A0">
              <w:rPr>
                <w:rFonts w:eastAsia="Times New Roman" w:cstheme="minorHAnsi"/>
                <w:b w:val="0"/>
                <w:bCs w:val="0"/>
                <w:lang w:val="en-IN" w:eastAsia="en-IN"/>
              </w:rPr>
              <w:t xml:space="preserve"> severe MDD</w:t>
            </w:r>
          </w:p>
        </w:tc>
        <w:tc>
          <w:tcPr>
            <w:tcW w:w="2839" w:type="dxa"/>
          </w:tcPr>
          <w:p w14:paraId="625648A3"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25.26 (15.1)</w:t>
            </w:r>
          </w:p>
        </w:tc>
      </w:tr>
      <w:tr w:rsidR="00B37CCF" w:rsidRPr="00B255A0" w14:paraId="5F46C046"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251ACEF2" w14:textId="77777777" w:rsidR="00B37CCF" w:rsidRPr="00B255A0" w:rsidRDefault="00B37CCF" w:rsidP="007710A1">
            <w:pPr>
              <w:rPr>
                <w:rFonts w:cstheme="minorHAnsi"/>
                <w:color w:val="000000"/>
              </w:rPr>
            </w:pPr>
            <w:r w:rsidRPr="00B255A0">
              <w:rPr>
                <w:rFonts w:cstheme="minorHAnsi"/>
                <w:color w:val="000000"/>
              </w:rPr>
              <w:t>MDD outpatients among all MDD patients, n (%)</w:t>
            </w:r>
          </w:p>
        </w:tc>
        <w:tc>
          <w:tcPr>
            <w:tcW w:w="2839" w:type="dxa"/>
          </w:tcPr>
          <w:p w14:paraId="1081D14A"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75.66 (24.1)</w:t>
            </w:r>
          </w:p>
        </w:tc>
      </w:tr>
      <w:tr w:rsidR="00B37CCF" w:rsidRPr="00B255A0" w14:paraId="6B1BF886"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384B26B4" w14:textId="77777777" w:rsidR="00B37CCF" w:rsidRPr="00B255A0" w:rsidRDefault="00B37CCF" w:rsidP="007710A1">
            <w:pPr>
              <w:rPr>
                <w:rFonts w:cstheme="minorHAnsi"/>
                <w:color w:val="000000"/>
              </w:rPr>
            </w:pPr>
            <w:r w:rsidRPr="00B255A0">
              <w:rPr>
                <w:rFonts w:cstheme="minorHAnsi"/>
                <w:color w:val="000000"/>
              </w:rPr>
              <w:t>MDD patients with anhedonia, n (%)</w:t>
            </w:r>
          </w:p>
        </w:tc>
        <w:tc>
          <w:tcPr>
            <w:tcW w:w="2839" w:type="dxa"/>
          </w:tcPr>
          <w:p w14:paraId="3618A919"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49.47 (25.4)</w:t>
            </w:r>
          </w:p>
        </w:tc>
      </w:tr>
      <w:tr w:rsidR="00B37CCF" w:rsidRPr="00B255A0" w14:paraId="382CC25A"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2B1A21B8" w14:textId="77777777" w:rsidR="00B37CCF" w:rsidRPr="00B255A0" w:rsidRDefault="00B37CCF" w:rsidP="007710A1">
            <w:pPr>
              <w:rPr>
                <w:rFonts w:eastAsia="Times New Roman" w:cstheme="minorHAnsi"/>
                <w:b w:val="0"/>
                <w:bCs w:val="0"/>
                <w:lang w:val="en-IN" w:eastAsia="en-IN"/>
              </w:rPr>
            </w:pPr>
            <w:r w:rsidRPr="00B255A0">
              <w:rPr>
                <w:rFonts w:eastAsia="Times New Roman" w:cstheme="minorHAnsi"/>
                <w:lang w:val="en-IN" w:eastAsia="en-IN"/>
              </w:rPr>
              <w:t>Severity of anhedonia in MDD patients</w:t>
            </w:r>
            <w:r w:rsidRPr="00B255A0">
              <w:rPr>
                <w:rFonts w:eastAsia="Times New Roman" w:cstheme="minorHAnsi"/>
                <w:b w:val="0"/>
                <w:bCs w:val="0"/>
                <w:lang w:val="en-IN" w:eastAsia="en-IN"/>
              </w:rPr>
              <w:t xml:space="preserve">, </w:t>
            </w:r>
            <w:r w:rsidRPr="00D52656">
              <w:rPr>
                <w:rFonts w:eastAsia="Times New Roman" w:cstheme="minorHAnsi"/>
                <w:lang w:val="en-IN" w:eastAsia="en-IN"/>
              </w:rPr>
              <w:t>mean (SD)</w:t>
            </w:r>
            <w:r w:rsidRPr="00B255A0">
              <w:rPr>
                <w:rFonts w:eastAsia="Times New Roman" w:cstheme="minorHAnsi"/>
                <w:b w:val="0"/>
                <w:bCs w:val="0"/>
                <w:lang w:val="en-IN" w:eastAsia="en-IN"/>
              </w:rPr>
              <w:t xml:space="preserve"> </w:t>
            </w:r>
          </w:p>
        </w:tc>
        <w:tc>
          <w:tcPr>
            <w:tcW w:w="2839" w:type="dxa"/>
          </w:tcPr>
          <w:p w14:paraId="248C5F32"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p>
        </w:tc>
      </w:tr>
      <w:tr w:rsidR="00B37CCF" w:rsidRPr="00B255A0" w14:paraId="4AE637E9"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2828D196" w14:textId="77777777" w:rsidR="00B37CCF" w:rsidRPr="00B255A0" w:rsidRDefault="00B37CCF" w:rsidP="007710A1">
            <w:pPr>
              <w:ind w:left="177"/>
              <w:rPr>
                <w:rFonts w:eastAsia="Times New Roman" w:cstheme="minorHAnsi"/>
                <w:b w:val="0"/>
                <w:bCs w:val="0"/>
                <w:lang w:val="en-IN" w:eastAsia="en-IN"/>
              </w:rPr>
            </w:pPr>
            <w:r w:rsidRPr="00B255A0">
              <w:rPr>
                <w:rFonts w:eastAsia="Times New Roman" w:cstheme="minorHAnsi"/>
                <w:b w:val="0"/>
                <w:bCs w:val="0"/>
                <w:lang w:val="en-IN" w:eastAsia="en-IN"/>
              </w:rPr>
              <w:t>% of MDD patients with mild anhedonia</w:t>
            </w:r>
          </w:p>
        </w:tc>
        <w:tc>
          <w:tcPr>
            <w:tcW w:w="2839" w:type="dxa"/>
          </w:tcPr>
          <w:p w14:paraId="40FD27A2"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33.38 (18.9)</w:t>
            </w:r>
          </w:p>
        </w:tc>
      </w:tr>
      <w:tr w:rsidR="00B37CCF" w:rsidRPr="00B255A0" w14:paraId="7FFF4899"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7CFBB91C" w14:textId="77777777" w:rsidR="00B37CCF" w:rsidRPr="00B255A0" w:rsidRDefault="00B37CCF" w:rsidP="007710A1">
            <w:pPr>
              <w:ind w:left="177"/>
              <w:rPr>
                <w:rFonts w:eastAsia="Times New Roman" w:cstheme="minorHAnsi"/>
                <w:b w:val="0"/>
                <w:bCs w:val="0"/>
                <w:lang w:val="en-IN" w:eastAsia="en-IN"/>
              </w:rPr>
            </w:pPr>
            <w:r w:rsidRPr="00B255A0">
              <w:rPr>
                <w:rFonts w:eastAsia="Times New Roman" w:cstheme="minorHAnsi"/>
                <w:b w:val="0"/>
                <w:bCs w:val="0"/>
                <w:lang w:val="en-IN" w:eastAsia="en-IN"/>
              </w:rPr>
              <w:t>% of MDD patients with moderate anhedonia</w:t>
            </w:r>
          </w:p>
        </w:tc>
        <w:tc>
          <w:tcPr>
            <w:tcW w:w="2839" w:type="dxa"/>
          </w:tcPr>
          <w:p w14:paraId="5FF974B6"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35.45 (13.1)</w:t>
            </w:r>
          </w:p>
        </w:tc>
      </w:tr>
      <w:tr w:rsidR="00B37CCF" w:rsidRPr="00B255A0" w14:paraId="0EAB6409"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Pr>
          <w:p w14:paraId="7F9117A7" w14:textId="77777777" w:rsidR="00B37CCF" w:rsidRPr="00B255A0" w:rsidRDefault="00B37CCF" w:rsidP="007710A1">
            <w:pPr>
              <w:ind w:left="177"/>
              <w:rPr>
                <w:rFonts w:eastAsia="Times New Roman" w:cstheme="minorHAnsi"/>
                <w:b w:val="0"/>
                <w:bCs w:val="0"/>
                <w:lang w:val="en-IN" w:eastAsia="en-IN"/>
              </w:rPr>
            </w:pPr>
            <w:r w:rsidRPr="00B255A0">
              <w:rPr>
                <w:rFonts w:eastAsia="Times New Roman" w:cstheme="minorHAnsi"/>
                <w:b w:val="0"/>
                <w:bCs w:val="0"/>
                <w:lang w:val="en-IN" w:eastAsia="en-IN"/>
              </w:rPr>
              <w:t>% of MDD patients with severe anhedonia</w:t>
            </w:r>
          </w:p>
        </w:tc>
        <w:tc>
          <w:tcPr>
            <w:tcW w:w="2839" w:type="dxa"/>
          </w:tcPr>
          <w:p w14:paraId="7C456E74"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31.17 (20.5)</w:t>
            </w:r>
          </w:p>
        </w:tc>
      </w:tr>
      <w:tr w:rsidR="00B37CCF" w:rsidRPr="00B255A0" w14:paraId="5DD9FED7" w14:textId="77777777" w:rsidTr="007710A1">
        <w:trPr>
          <w:trHeight w:val="283"/>
        </w:trPr>
        <w:tc>
          <w:tcPr>
            <w:cnfStyle w:val="001000000000" w:firstRow="0" w:lastRow="0" w:firstColumn="1" w:lastColumn="0" w:oddVBand="0" w:evenVBand="0" w:oddHBand="0" w:evenHBand="0" w:firstRowFirstColumn="0" w:firstRowLastColumn="0" w:lastRowFirstColumn="0" w:lastRowLastColumn="0"/>
            <w:tcW w:w="6232" w:type="dxa"/>
            <w:tcBorders>
              <w:bottom w:val="single" w:sz="4" w:space="0" w:color="auto"/>
            </w:tcBorders>
          </w:tcPr>
          <w:p w14:paraId="6029658A" w14:textId="77777777" w:rsidR="00B37CCF" w:rsidRPr="00B255A0" w:rsidRDefault="00B37CCF" w:rsidP="007710A1">
            <w:pPr>
              <w:ind w:left="177"/>
              <w:rPr>
                <w:rFonts w:eastAsia="Times New Roman" w:cstheme="minorHAnsi"/>
                <w:b w:val="0"/>
                <w:bCs w:val="0"/>
                <w:lang w:val="en-IN" w:eastAsia="en-IN"/>
              </w:rPr>
            </w:pPr>
            <w:r w:rsidRPr="00B255A0">
              <w:rPr>
                <w:rFonts w:eastAsia="Times New Roman" w:cstheme="minorHAnsi"/>
                <w:b w:val="0"/>
                <w:bCs w:val="0"/>
                <w:lang w:val="en-IN" w:eastAsia="en-IN"/>
              </w:rPr>
              <w:t>I don't know the breakdown</w:t>
            </w:r>
          </w:p>
        </w:tc>
        <w:tc>
          <w:tcPr>
            <w:tcW w:w="2839" w:type="dxa"/>
            <w:tcBorders>
              <w:bottom w:val="single" w:sz="4" w:space="0" w:color="auto"/>
            </w:tcBorders>
          </w:tcPr>
          <w:p w14:paraId="2F2948C8" w14:textId="77777777" w:rsidR="00B37CCF" w:rsidRPr="00B255A0" w:rsidRDefault="00B37CCF" w:rsidP="007710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val="en-IN" w:eastAsia="en-IN"/>
              </w:rPr>
            </w:pPr>
            <w:r w:rsidRPr="00B255A0">
              <w:rPr>
                <w:rFonts w:cstheme="minorHAnsi"/>
                <w:color w:val="000000"/>
              </w:rPr>
              <w:t>0.30 (0.5)</w:t>
            </w:r>
          </w:p>
        </w:tc>
      </w:tr>
    </w:tbl>
    <w:p w14:paraId="0F126450" w14:textId="77777777" w:rsidR="00B37CCF" w:rsidRPr="00B255A0" w:rsidRDefault="00B37CCF" w:rsidP="00B37CCF">
      <w:pPr>
        <w:spacing w:after="0"/>
        <w:rPr>
          <w:rFonts w:eastAsia="Times New Roman" w:cstheme="minorHAnsi"/>
          <w:sz w:val="20"/>
          <w:szCs w:val="20"/>
          <w:lang w:val="en-IN" w:eastAsia="en-IN"/>
        </w:rPr>
      </w:pPr>
      <w:r w:rsidRPr="00B255A0">
        <w:rPr>
          <w:rFonts w:eastAsia="Times New Roman" w:cstheme="minorHAnsi"/>
          <w:sz w:val="20"/>
          <w:szCs w:val="20"/>
          <w:lang w:val="en-IN" w:eastAsia="en-IN"/>
        </w:rPr>
        <w:t>MDD, major depressive disorder; SD, standard deviation.</w:t>
      </w:r>
    </w:p>
    <w:p w14:paraId="4F9EFB3F" w14:textId="77777777" w:rsidR="00B37CCF" w:rsidRPr="00B255A0" w:rsidRDefault="00B37CCF" w:rsidP="00B37CCF">
      <w:pPr>
        <w:rPr>
          <w:rFonts w:eastAsia="Times New Roman" w:cstheme="minorHAnsi"/>
          <w:lang w:val="en-IN" w:eastAsia="en-IN"/>
        </w:rPr>
      </w:pPr>
      <w:r w:rsidRPr="00B255A0">
        <w:rPr>
          <w:rFonts w:eastAsia="Times New Roman" w:cstheme="minorHAnsi"/>
          <w:lang w:val="en-IN" w:eastAsia="en-IN"/>
        </w:rPr>
        <w:br w:type="page"/>
      </w:r>
    </w:p>
    <w:p w14:paraId="02573F1B" w14:textId="23D479C3" w:rsidR="00B37CCF" w:rsidRDefault="00B37CCF" w:rsidP="00B37CCF">
      <w:pPr>
        <w:spacing w:after="0"/>
        <w:rPr>
          <w:rFonts w:cstheme="minorHAnsi"/>
          <w:b/>
          <w:bCs/>
        </w:rPr>
      </w:pPr>
      <w:r w:rsidRPr="00B37CCF">
        <w:rPr>
          <w:rFonts w:cstheme="minorHAnsi"/>
          <w:b/>
          <w:bCs/>
        </w:rPr>
        <w:lastRenderedPageBreak/>
        <w:t>Figure S1</w:t>
      </w:r>
      <w:r w:rsidR="000A74B8">
        <w:rPr>
          <w:rFonts w:cstheme="minorHAnsi"/>
          <w:b/>
          <w:bCs/>
        </w:rPr>
        <w:t>.</w:t>
      </w:r>
      <w:r w:rsidRPr="00B37CCF">
        <w:rPr>
          <w:rFonts w:cstheme="minorHAnsi"/>
          <w:b/>
          <w:bCs/>
        </w:rPr>
        <w:t xml:space="preserve"> Study Population</w:t>
      </w:r>
    </w:p>
    <w:p w14:paraId="7C550620" w14:textId="55C829AD" w:rsidR="00C92734" w:rsidRDefault="00C92734" w:rsidP="00C92734">
      <w:pPr>
        <w:spacing w:after="0"/>
        <w:jc w:val="center"/>
        <w:rPr>
          <w:rFonts w:cstheme="minorHAnsi"/>
          <w:b/>
          <w:bCs/>
        </w:rPr>
      </w:pPr>
      <w:r>
        <w:rPr>
          <w:noProof/>
        </w:rPr>
        <w:drawing>
          <wp:inline distT="0" distB="0" distL="0" distR="0" wp14:anchorId="31A25DE0" wp14:editId="1F2257DE">
            <wp:extent cx="4222750" cy="2417731"/>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33804" cy="2424060"/>
                    </a:xfrm>
                    <a:prstGeom prst="rect">
                      <a:avLst/>
                    </a:prstGeom>
                    <a:noFill/>
                    <a:ln>
                      <a:noFill/>
                    </a:ln>
                  </pic:spPr>
                </pic:pic>
              </a:graphicData>
            </a:graphic>
          </wp:inline>
        </w:drawing>
      </w:r>
    </w:p>
    <w:p w14:paraId="27534ACF" w14:textId="1BC33F65" w:rsidR="00B37CCF" w:rsidRPr="00B255A0" w:rsidRDefault="00B37CCF" w:rsidP="00B37CCF">
      <w:pPr>
        <w:spacing w:after="0"/>
        <w:rPr>
          <w:rFonts w:cstheme="minorHAnsi"/>
          <w:sz w:val="20"/>
          <w:szCs w:val="20"/>
        </w:rPr>
      </w:pPr>
      <w:r w:rsidRPr="00B255A0">
        <w:rPr>
          <w:rFonts w:cstheme="minorHAnsi"/>
          <w:sz w:val="20"/>
          <w:szCs w:val="20"/>
        </w:rPr>
        <w:t>ANH, anhedonia; PHQ-9, 9-item Patient Health Questionnaire; MDD, major depressive disorder; SHAPS, 14-item Snaith-Hamilton Pleasure Scale.</w:t>
      </w:r>
    </w:p>
    <w:p w14:paraId="4169AE28" w14:textId="791F9967" w:rsidR="00B37CCF" w:rsidRPr="00521870" w:rsidRDefault="00237D8D" w:rsidP="00B37CCF">
      <w:pPr>
        <w:spacing w:after="0"/>
        <w:rPr>
          <w:rFonts w:ascii="Arial" w:hAnsi="Arial" w:cs="Arial"/>
          <w:sz w:val="20"/>
          <w:szCs w:val="20"/>
        </w:rPr>
      </w:pPr>
      <w:r>
        <w:rPr>
          <w:rFonts w:cstheme="minorHAnsi"/>
          <w:sz w:val="20"/>
          <w:szCs w:val="20"/>
          <w:vertAlign w:val="superscript"/>
        </w:rPr>
        <w:t>a</w:t>
      </w:r>
      <w:r w:rsidR="00B37CCF" w:rsidRPr="00B255A0">
        <w:rPr>
          <w:rFonts w:cstheme="minorHAnsi"/>
          <w:sz w:val="20"/>
          <w:szCs w:val="20"/>
        </w:rPr>
        <w:t>Respondents were classified under MDD if they reported moderate Depression or greater (PHQ-9 ≥ 10) and a self-reported physician diagnosis of depression.</w:t>
      </w:r>
      <w:r w:rsidR="00B37CCF" w:rsidRPr="00521870">
        <w:rPr>
          <w:rFonts w:ascii="Arial" w:hAnsi="Arial" w:cs="Arial"/>
          <w:sz w:val="20"/>
          <w:szCs w:val="20"/>
        </w:rPr>
        <w:t xml:space="preserve"> </w:t>
      </w:r>
    </w:p>
    <w:p w14:paraId="4A9268F4" w14:textId="77777777" w:rsidR="007D6CAB" w:rsidRDefault="007D6CAB"/>
    <w:sectPr w:rsidR="007D6CAB" w:rsidSect="00B37CCF">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AAC"/>
    <w:multiLevelType w:val="hybridMultilevel"/>
    <w:tmpl w:val="CCC09F02"/>
    <w:lvl w:ilvl="0" w:tplc="4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5C4987"/>
    <w:multiLevelType w:val="hybridMultilevel"/>
    <w:tmpl w:val="9A0658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6E60811"/>
    <w:multiLevelType w:val="hybridMultilevel"/>
    <w:tmpl w:val="618CAF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7A11176"/>
    <w:multiLevelType w:val="hybridMultilevel"/>
    <w:tmpl w:val="06FC52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2D55FD3"/>
    <w:multiLevelType w:val="hybridMultilevel"/>
    <w:tmpl w:val="E3B8C3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9455D78"/>
    <w:multiLevelType w:val="hybridMultilevel"/>
    <w:tmpl w:val="FED6F8E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5855D8"/>
    <w:multiLevelType w:val="hybridMultilevel"/>
    <w:tmpl w:val="0A2460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DC013BA"/>
    <w:multiLevelType w:val="hybridMultilevel"/>
    <w:tmpl w:val="D2DE0F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E723A99"/>
    <w:multiLevelType w:val="hybridMultilevel"/>
    <w:tmpl w:val="2160E3D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0E7BCB"/>
    <w:multiLevelType w:val="hybridMultilevel"/>
    <w:tmpl w:val="E7124E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0243996"/>
    <w:multiLevelType w:val="hybridMultilevel"/>
    <w:tmpl w:val="E12AA1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51A20BC"/>
    <w:multiLevelType w:val="hybridMultilevel"/>
    <w:tmpl w:val="24DA1B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D7F6133"/>
    <w:multiLevelType w:val="hybridMultilevel"/>
    <w:tmpl w:val="D18454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DEE5671"/>
    <w:multiLevelType w:val="hybridMultilevel"/>
    <w:tmpl w:val="C690FC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F036A97"/>
    <w:multiLevelType w:val="hybridMultilevel"/>
    <w:tmpl w:val="DBCA89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55313890">
    <w:abstractNumId w:val="12"/>
  </w:num>
  <w:num w:numId="2" w16cid:durableId="1016736849">
    <w:abstractNumId w:val="13"/>
  </w:num>
  <w:num w:numId="3" w16cid:durableId="1764449198">
    <w:abstractNumId w:val="0"/>
  </w:num>
  <w:num w:numId="4" w16cid:durableId="2009672155">
    <w:abstractNumId w:val="8"/>
  </w:num>
  <w:num w:numId="5" w16cid:durableId="1852526910">
    <w:abstractNumId w:val="14"/>
  </w:num>
  <w:num w:numId="6" w16cid:durableId="1969967123">
    <w:abstractNumId w:val="2"/>
  </w:num>
  <w:num w:numId="7" w16cid:durableId="898511969">
    <w:abstractNumId w:val="3"/>
  </w:num>
  <w:num w:numId="8" w16cid:durableId="892691547">
    <w:abstractNumId w:val="6"/>
  </w:num>
  <w:num w:numId="9" w16cid:durableId="1015305383">
    <w:abstractNumId w:val="10"/>
  </w:num>
  <w:num w:numId="10" w16cid:durableId="1285231049">
    <w:abstractNumId w:val="7"/>
  </w:num>
  <w:num w:numId="11" w16cid:durableId="302858419">
    <w:abstractNumId w:val="11"/>
  </w:num>
  <w:num w:numId="12" w16cid:durableId="1188176583">
    <w:abstractNumId w:val="1"/>
  </w:num>
  <w:num w:numId="13" w16cid:durableId="1457018131">
    <w:abstractNumId w:val="4"/>
  </w:num>
  <w:num w:numId="14" w16cid:durableId="2090492971">
    <w:abstractNumId w:val="9"/>
  </w:num>
  <w:num w:numId="15" w16cid:durableId="219634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95"/>
    <w:rsid w:val="000A5ED5"/>
    <w:rsid w:val="000A74B8"/>
    <w:rsid w:val="00222D6B"/>
    <w:rsid w:val="00237D8D"/>
    <w:rsid w:val="00376518"/>
    <w:rsid w:val="007D6CAB"/>
    <w:rsid w:val="008A7FBE"/>
    <w:rsid w:val="00B37CCF"/>
    <w:rsid w:val="00C92734"/>
    <w:rsid w:val="00D00E95"/>
    <w:rsid w:val="00D526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8A02"/>
  <w15:chartTrackingRefBased/>
  <w15:docId w15:val="{E46C3227-94F5-43AC-A2CE-A41FAC74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C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7C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37CCF"/>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B37CCF"/>
    <w:pPr>
      <w:spacing w:after="0" w:line="240" w:lineRule="auto"/>
      <w:ind w:left="720"/>
      <w:contextualSpacing/>
    </w:pPr>
    <w:rPr>
      <w:rFonts w:ascii="Times New Roman" w:eastAsia="Times New Roman" w:hAnsi="Times New Roman" w:cs="Times New Roman"/>
      <w:kern w:val="0"/>
      <w:sz w:val="24"/>
      <w:szCs w:val="24"/>
      <w:lang w:val="en-IN" w:eastAsia="en-IN"/>
      <w14:ligatures w14:val="none"/>
    </w:rPr>
  </w:style>
  <w:style w:type="paragraph" w:customStyle="1" w:styleId="BodyText12">
    <w:name w:val="Body Text 12"/>
    <w:qFormat/>
    <w:rsid w:val="00B37CCF"/>
    <w:pPr>
      <w:spacing w:after="240" w:line="264" w:lineRule="auto"/>
      <w:jc w:val="both"/>
    </w:pPr>
    <w:rPr>
      <w:rFonts w:ascii="Times New Roman" w:eastAsia="PMingLiU" w:hAnsi="Times New Roman" w:cs="Times New Roman"/>
      <w:kern w:val="0"/>
      <w:sz w:val="24"/>
      <w:szCs w:val="20"/>
      <w:lang w:val="en-US"/>
      <w14:ligatures w14:val="none"/>
    </w:rPr>
  </w:style>
  <w:style w:type="paragraph" w:customStyle="1" w:styleId="TableText">
    <w:name w:val="Table Text"/>
    <w:qFormat/>
    <w:rsid w:val="00B37CCF"/>
    <w:pPr>
      <w:tabs>
        <w:tab w:val="left" w:pos="288"/>
        <w:tab w:val="left" w:pos="576"/>
        <w:tab w:val="left" w:pos="864"/>
      </w:tabs>
      <w:spacing w:after="0" w:line="240" w:lineRule="auto"/>
    </w:pPr>
    <w:rPr>
      <w:rFonts w:ascii="Times New Roman" w:eastAsia="PMingLiU"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B37CCF"/>
    <w:rPr>
      <w:sz w:val="16"/>
      <w:szCs w:val="16"/>
    </w:rPr>
  </w:style>
  <w:style w:type="paragraph" w:styleId="CommentText">
    <w:name w:val="annotation text"/>
    <w:basedOn w:val="Normal"/>
    <w:link w:val="CommentTextChar"/>
    <w:uiPriority w:val="99"/>
    <w:unhideWhenUsed/>
    <w:rsid w:val="00B37CCF"/>
    <w:pPr>
      <w:spacing w:line="240" w:lineRule="auto"/>
    </w:pPr>
    <w:rPr>
      <w:sz w:val="20"/>
      <w:szCs w:val="20"/>
    </w:rPr>
  </w:style>
  <w:style w:type="character" w:customStyle="1" w:styleId="CommentTextChar">
    <w:name w:val="Comment Text Char"/>
    <w:basedOn w:val="DefaultParagraphFont"/>
    <w:link w:val="CommentText"/>
    <w:uiPriority w:val="99"/>
    <w:rsid w:val="00B37CCF"/>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760EA27ECDF4B9D2018FDF4360629" ma:contentTypeVersion="18" ma:contentTypeDescription="Create a new document." ma:contentTypeScope="" ma:versionID="ff473ba463c636b12ca32e3f9a9c861b">
  <xsd:schema xmlns:xsd="http://www.w3.org/2001/XMLSchema" xmlns:xs="http://www.w3.org/2001/XMLSchema" xmlns:p="http://schemas.microsoft.com/office/2006/metadata/properties" xmlns:ns2="2e2a085c-bef5-4f35-9da7-d2eda55f1cf2" xmlns:ns3="d979e9bb-99ed-4df2-ad3d-c723e2b621f6" targetNamespace="http://schemas.microsoft.com/office/2006/metadata/properties" ma:root="true" ma:fieldsID="8499eb7adf0751df43d2bfbff9c4fb36" ns2:_="" ns3:_="">
    <xsd:import namespace="2e2a085c-bef5-4f35-9da7-d2eda55f1cf2"/>
    <xsd:import namespace="d979e9bb-99ed-4df2-ad3d-c723e2b62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a085c-bef5-4f35-9da7-d2eda55f1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c39e0cc-19d5-443e-a9c9-6b10dfa7104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9e9bb-99ed-4df2-ad3d-c723e2b621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adb7fb-1f67-4772-b0b6-a97123da0816}" ma:internalName="TaxCatchAll" ma:showField="CatchAllData" ma:web="d979e9bb-99ed-4df2-ad3d-c723e2b62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2a085c-bef5-4f35-9da7-d2eda55f1cf2">
      <Terms xmlns="http://schemas.microsoft.com/office/infopath/2007/PartnerControls"/>
    </lcf76f155ced4ddcb4097134ff3c332f>
    <TaxCatchAll xmlns="d979e9bb-99ed-4df2-ad3d-c723e2b621f6" xsi:nil="true"/>
  </documentManagement>
</p:properties>
</file>

<file path=customXml/itemProps1.xml><?xml version="1.0" encoding="utf-8"?>
<ds:datastoreItem xmlns:ds="http://schemas.openxmlformats.org/officeDocument/2006/customXml" ds:itemID="{92E5B9D7-2E48-46DB-A7C3-525AC193F2FA}"/>
</file>

<file path=customXml/itemProps2.xml><?xml version="1.0" encoding="utf-8"?>
<ds:datastoreItem xmlns:ds="http://schemas.openxmlformats.org/officeDocument/2006/customXml" ds:itemID="{D49F95E9-2862-49A9-B0D3-E44E7B25665A}"/>
</file>

<file path=customXml/itemProps3.xml><?xml version="1.0" encoding="utf-8"?>
<ds:datastoreItem xmlns:ds="http://schemas.openxmlformats.org/officeDocument/2006/customXml" ds:itemID="{B5295998-1FBB-4D9A-8A62-086384FBA825}"/>
</file>

<file path=docProps/app.xml><?xml version="1.0" encoding="utf-8"?>
<Properties xmlns="http://schemas.openxmlformats.org/officeDocument/2006/extended-properties" xmlns:vt="http://schemas.openxmlformats.org/officeDocument/2006/docPropsVTypes">
  <Template>Normal.dotm</Template>
  <TotalTime>40</TotalTime>
  <Pages>8</Pages>
  <Words>2491</Words>
  <Characters>14203</Characters>
  <Application>Microsoft Office Word</Application>
  <DocSecurity>0</DocSecurity>
  <Lines>118</Lines>
  <Paragraphs>33</Paragraphs>
  <ScaleCrop>false</ScaleCrop>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Punja</dc:creator>
  <cp:keywords/>
  <dc:description/>
  <cp:lastModifiedBy>Vaishnavi Punja</cp:lastModifiedBy>
  <cp:revision>7</cp:revision>
  <dcterms:created xsi:type="dcterms:W3CDTF">2024-04-24T06:33:00Z</dcterms:created>
  <dcterms:modified xsi:type="dcterms:W3CDTF">2024-05-23T11:18:00Z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0x01010008B760EA27ECDF4B9D2018FDF4360629</vt:lpwstr>
  </property>
</Properties>
</file>