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. The top ten co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cit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ed journals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090"/>
        <w:gridCol w:w="1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Rank</w:t>
            </w:r>
          </w:p>
        </w:tc>
        <w:tc>
          <w:tcPr>
            <w:tcW w:w="609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ournal</w:t>
            </w:r>
          </w:p>
        </w:tc>
        <w:tc>
          <w:tcPr>
            <w:tcW w:w="18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Citations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9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Journal of Allergy and Clinical Immunology</w:t>
            </w:r>
          </w:p>
        </w:tc>
        <w:tc>
          <w:tcPr>
            <w:tcW w:w="184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Allergy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Clinical and Experimental Allergy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Pediatric Allergy and Immunology 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Journal of Pediatrics 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Pediatric Gastroenterology and Nutrition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Pediatrics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Annals of Allergy, Asthma &amp; Immunology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Archives of Disease in Childhood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9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92F"/>
                <w:kern w:val="0"/>
                <w:sz w:val="20"/>
                <w:szCs w:val="20"/>
                <w:u w:val="none"/>
                <w:lang w:val="en-US" w:eastAsia="zh-CN" w:bidi="ar"/>
              </w:rPr>
              <w:t>Acta Paediatrica</w:t>
            </w:r>
          </w:p>
        </w:tc>
        <w:tc>
          <w:tcPr>
            <w:tcW w:w="184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</w:tr>
    </w:tbl>
    <w:p/>
    <w:p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. The top ten co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cit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ed authors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440"/>
        <w:gridCol w:w="13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Rank</w:t>
            </w:r>
          </w:p>
        </w:tc>
        <w:tc>
          <w:tcPr>
            <w:tcW w:w="34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ournal</w:t>
            </w:r>
          </w:p>
        </w:tc>
        <w:tc>
          <w:tcPr>
            <w:tcW w:w="13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Citations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Hugh A. Sampson</w:t>
            </w:r>
          </w:p>
        </w:tc>
        <w:tc>
          <w:tcPr>
            <w:tcW w:w="132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Scott H. Sicherer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Arne Host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Yvan Vandenplas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Alessandro Fiocchi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Anna Nowak-Wegrzyn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David J. Hill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Berni Canani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Stephen A. Bock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Julie M. Skripak</w:t>
            </w: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jJkNDZmNzk0MzhkN2EzNjMzYTQ5ZDRhNTdjZWQifQ=="/>
    <w:docVar w:name="KSO_WPS_MARK_KEY" w:val="f11c4faa-c936-4c38-bcdc-57e2136c531f"/>
  </w:docVars>
  <w:rsids>
    <w:rsidRoot w:val="62C22952"/>
    <w:rsid w:val="62C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2024-12-14T02:52:00Z</dcterms:created>
  <dc:creator>yifan Chen</dc:creator>
  <cp:lastModifiedBy>yifan Chen</cp:lastModifiedBy>
  <dcterms:modified xsi:type="dcterms:W3CDTF">2024-12-14T02:55:07Z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DD36566884474A46AFF13D994402E190_11</vt:lpwstr>
  </property>
</Properties>
</file>