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F45C">
      <w:pPr>
        <w:pStyle w:val="2"/>
        <w:jc w:val="both"/>
        <w:rPr>
          <w:rFonts w:hint="default" w:ascii="Arial" w:hAnsi="Arial" w:eastAsia="宋体" w:cs="Arial"/>
          <w:lang w:val="en-US" w:eastAsia="zh-CN"/>
        </w:rPr>
      </w:pPr>
      <w:bookmarkStart w:id="0" w:name="OLE_LINK4"/>
      <w:r>
        <w:rPr>
          <w:rFonts w:hint="eastAsia" w:eastAsia="宋体" w:cs="Arial"/>
          <w:lang w:val="en-US" w:eastAsia="zh-CN"/>
        </w:rPr>
        <w:t>Supporting Information</w:t>
      </w:r>
    </w:p>
    <w:bookmarkEnd w:id="0"/>
    <w:p w14:paraId="51D76C99">
      <w:pPr>
        <w:widowControl w:val="0"/>
        <w:rPr>
          <w:rFonts w:cs="Arial"/>
        </w:rPr>
      </w:pPr>
      <w:r>
        <w:rPr>
          <w:rFonts w:cs="Arial"/>
          <w:b/>
          <w:bCs/>
          <w:color w:val="auto"/>
        </w:rPr>
        <w:t xml:space="preserve">Table </w:t>
      </w:r>
      <w:r>
        <w:rPr>
          <w:rFonts w:hint="eastAsia" w:eastAsia="宋体" w:cs="Arial"/>
          <w:b/>
          <w:bCs/>
          <w:color w:val="auto"/>
          <w:lang w:val="en-US" w:eastAsia="zh-CN"/>
        </w:rPr>
        <w:t>S</w:t>
      </w:r>
      <w:r>
        <w:rPr>
          <w:rFonts w:cs="Arial"/>
          <w:b/>
          <w:bCs/>
          <w:color w:val="auto"/>
        </w:rPr>
        <w:t>1</w:t>
      </w:r>
      <w:r>
        <w:rPr>
          <w:rFonts w:hint="eastAsia" w:eastAsia="宋体" w:cs="Arial"/>
          <w:b/>
          <w:bCs/>
          <w:color w:val="auto"/>
          <w:lang w:val="en-US" w:eastAsia="zh-CN"/>
        </w:rPr>
        <w:t>.</w:t>
      </w:r>
      <w:r>
        <w:rPr>
          <w:rFonts w:cs="Arial"/>
          <w:color w:val="auto"/>
        </w:rPr>
        <w:t xml:space="preserve"> </w:t>
      </w:r>
      <w:r>
        <w:rPr>
          <w:rFonts w:hint="eastAsia" w:cs="Arial"/>
          <w:color w:val="auto"/>
        </w:rPr>
        <w:t>Application of natural phenolic compounds in tumor therapy</w:t>
      </w:r>
    </w:p>
    <w:tbl>
      <w:tblPr>
        <w:tblStyle w:val="10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1"/>
        <w:gridCol w:w="2446"/>
        <w:gridCol w:w="2908"/>
        <w:gridCol w:w="1366"/>
        <w:gridCol w:w="923"/>
      </w:tblGrid>
      <w:tr w14:paraId="092C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1" w:type="dxa"/>
          </w:tcPr>
          <w:p w14:paraId="506E13C1">
            <w:pPr>
              <w:widowControl w:val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Drug name</w:t>
            </w:r>
          </w:p>
        </w:tc>
        <w:tc>
          <w:tcPr>
            <w:tcW w:w="2446" w:type="dxa"/>
          </w:tcPr>
          <w:p w14:paraId="29F8BBB7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Therapeutic Mechanism</w:t>
            </w:r>
          </w:p>
        </w:tc>
        <w:tc>
          <w:tcPr>
            <w:tcW w:w="2908" w:type="dxa"/>
          </w:tcPr>
          <w:p w14:paraId="464624D6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Characteristic</w:t>
            </w:r>
          </w:p>
        </w:tc>
        <w:tc>
          <w:tcPr>
            <w:tcW w:w="1366" w:type="dxa"/>
          </w:tcPr>
          <w:p w14:paraId="0BFFF8EB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Applications</w:t>
            </w:r>
          </w:p>
        </w:tc>
        <w:tc>
          <w:tcPr>
            <w:tcW w:w="923" w:type="dxa"/>
          </w:tcPr>
          <w:p w14:paraId="553D8F73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10C2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1" w:type="dxa"/>
            <w:vAlign w:val="top"/>
          </w:tcPr>
          <w:p w14:paraId="0435699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Curcumin</w:t>
            </w:r>
          </w:p>
        </w:tc>
        <w:tc>
          <w:tcPr>
            <w:tcW w:w="2446" w:type="dxa"/>
            <w:vAlign w:val="top"/>
          </w:tcPr>
          <w:p w14:paraId="7B80CE31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Induces apoptosis;</w:t>
            </w:r>
          </w:p>
          <w:p w14:paraId="3014A3F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Block tumor cell growth signaling pathways;</w:t>
            </w:r>
          </w:p>
          <w:p w14:paraId="6A2F9B28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Inhibit tumor angiogenesis</w:t>
            </w:r>
          </w:p>
        </w:tc>
        <w:tc>
          <w:tcPr>
            <w:tcW w:w="2908" w:type="dxa"/>
            <w:vAlign w:val="top"/>
          </w:tcPr>
          <w:p w14:paraId="7D74C65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High biosafety</w:t>
            </w:r>
          </w:p>
          <w:p w14:paraId="55CF9AC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Low toxicity</w:t>
            </w:r>
          </w:p>
          <w:p w14:paraId="475B408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Rapid metabolism</w:t>
            </w:r>
          </w:p>
          <w:p w14:paraId="2F86B66B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Low bioavailability</w:t>
            </w:r>
          </w:p>
        </w:tc>
        <w:tc>
          <w:tcPr>
            <w:tcW w:w="1366" w:type="dxa"/>
            <w:vAlign w:val="top"/>
          </w:tcPr>
          <w:p w14:paraId="25CB4CA5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Liver Cancer</w:t>
            </w:r>
          </w:p>
          <w:p w14:paraId="583A6C9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Stomach Cancer</w:t>
            </w:r>
          </w:p>
          <w:p w14:paraId="2C8B4E14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Esophageal Cancer</w:t>
            </w:r>
          </w:p>
          <w:p w14:paraId="0E0C77D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Colorectal Cancer</w:t>
            </w:r>
          </w:p>
        </w:tc>
        <w:tc>
          <w:tcPr>
            <w:tcW w:w="923" w:type="dxa"/>
            <w:vAlign w:val="top"/>
          </w:tcPr>
          <w:p w14:paraId="49DDBB4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38, 39, 40</w:t>
            </w:r>
          </w:p>
        </w:tc>
      </w:tr>
      <w:tr w14:paraId="35F3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1" w:type="dxa"/>
            <w:vAlign w:val="top"/>
          </w:tcPr>
          <w:p w14:paraId="64DC0178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EGCG</w:t>
            </w:r>
          </w:p>
        </w:tc>
        <w:tc>
          <w:tcPr>
            <w:tcW w:w="2446" w:type="dxa"/>
            <w:vAlign w:val="top"/>
          </w:tcPr>
          <w:p w14:paraId="0047738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Direct receptor for anticancer effects;.</w:t>
            </w:r>
          </w:p>
          <w:p w14:paraId="5A5C202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Induction of apoptosis in tumor cells ;</w:t>
            </w:r>
          </w:p>
          <w:p w14:paraId="600D9EE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Induction of tumor cell cycle block;</w:t>
            </w:r>
          </w:p>
          <w:p w14:paraId="3A2A55F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Inhibition of tumor cell invasion and metastasis</w:t>
            </w:r>
          </w:p>
        </w:tc>
        <w:tc>
          <w:tcPr>
            <w:tcW w:w="2908" w:type="dxa"/>
            <w:vAlign w:val="top"/>
          </w:tcPr>
          <w:p w14:paraId="6AA767F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Anti-tumor effects have been demonstrated in cell culture, animal experiments and clinical trials;</w:t>
            </w:r>
          </w:p>
          <w:p w14:paraId="48037E9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The potential molecular mechanisms of apoptosis induction in cancer cells remain to be explored.</w:t>
            </w:r>
          </w:p>
        </w:tc>
        <w:tc>
          <w:tcPr>
            <w:tcW w:w="1366" w:type="dxa"/>
            <w:vAlign w:val="top"/>
          </w:tcPr>
          <w:p w14:paraId="7CCEFF1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Breast Cancer</w:t>
            </w:r>
          </w:p>
          <w:p w14:paraId="2A12C88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Lung Cancer</w:t>
            </w:r>
          </w:p>
          <w:p w14:paraId="2189AEC4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Prostate Cancer</w:t>
            </w:r>
          </w:p>
          <w:p w14:paraId="35429DF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Colon Cancer</w:t>
            </w:r>
          </w:p>
        </w:tc>
        <w:tc>
          <w:tcPr>
            <w:tcW w:w="923" w:type="dxa"/>
            <w:vAlign w:val="top"/>
          </w:tcPr>
          <w:p w14:paraId="6FBFC38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41, 42</w:t>
            </w:r>
          </w:p>
        </w:tc>
      </w:tr>
      <w:tr w14:paraId="7006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1" w:type="dxa"/>
            <w:vAlign w:val="top"/>
          </w:tcPr>
          <w:p w14:paraId="150EA83E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Resveratrol</w:t>
            </w:r>
          </w:p>
        </w:tc>
        <w:tc>
          <w:tcPr>
            <w:tcW w:w="2446" w:type="dxa"/>
            <w:vAlign w:val="top"/>
          </w:tcPr>
          <w:p w14:paraId="36E9384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Antioxidant effects;</w:t>
            </w:r>
          </w:p>
          <w:p w14:paraId="5ED21F6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Activation of immune cells in the tumor microenvironment;</w:t>
            </w:r>
          </w:p>
          <w:p w14:paraId="59B81661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Blocking the cell cycle</w:t>
            </w:r>
          </w:p>
        </w:tc>
        <w:tc>
          <w:tcPr>
            <w:tcW w:w="2908" w:type="dxa"/>
            <w:vAlign w:val="top"/>
          </w:tcPr>
          <w:p w14:paraId="0A1B3E2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Enhances the sensitivity of cancer cells to radiation therapy;</w:t>
            </w:r>
          </w:p>
          <w:p w14:paraId="285A646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Protect normal tissue cells;</w:t>
            </w:r>
          </w:p>
          <w:p w14:paraId="29E4DDF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Strong time-concentration dependence of anti-tumor effects;</w:t>
            </w:r>
          </w:p>
          <w:p w14:paraId="1710CCE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Lack of perfect anti-tumor system network</w:t>
            </w:r>
          </w:p>
        </w:tc>
        <w:tc>
          <w:tcPr>
            <w:tcW w:w="1366" w:type="dxa"/>
            <w:vAlign w:val="top"/>
          </w:tcPr>
          <w:p w14:paraId="57CE4182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Breast cancer</w:t>
            </w:r>
          </w:p>
          <w:p w14:paraId="1106D8C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Colorectal cancer</w:t>
            </w:r>
          </w:p>
          <w:p w14:paraId="19C9820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Liver Cancer</w:t>
            </w:r>
          </w:p>
        </w:tc>
        <w:tc>
          <w:tcPr>
            <w:tcW w:w="923" w:type="dxa"/>
            <w:vAlign w:val="top"/>
          </w:tcPr>
          <w:p w14:paraId="1B11A5AE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43</w:t>
            </w:r>
          </w:p>
        </w:tc>
      </w:tr>
      <w:tr w14:paraId="56EC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1" w:type="dxa"/>
            <w:vAlign w:val="top"/>
          </w:tcPr>
          <w:p w14:paraId="0D4E59C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Quercetin</w:t>
            </w:r>
          </w:p>
        </w:tc>
        <w:tc>
          <w:tcPr>
            <w:tcW w:w="2446" w:type="dxa"/>
            <w:vAlign w:val="top"/>
          </w:tcPr>
          <w:p w14:paraId="672E8E7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Induction of apoptosis;</w:t>
            </w:r>
          </w:p>
          <w:p w14:paraId="6BB5652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Anti-microangiogenesis;</w:t>
            </w:r>
          </w:p>
          <w:p w14:paraId="36F83EC1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Antioxidant effects;</w:t>
            </w:r>
          </w:p>
          <w:p w14:paraId="06C6ABB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Reversal of drug resistance</w:t>
            </w:r>
          </w:p>
        </w:tc>
        <w:tc>
          <w:tcPr>
            <w:tcW w:w="2908" w:type="dxa"/>
            <w:vAlign w:val="top"/>
          </w:tcPr>
          <w:p w14:paraId="699F670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Lower toxicity</w:t>
            </w:r>
          </w:p>
          <w:p w14:paraId="44EEFBB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Low side effects</w:t>
            </w:r>
          </w:p>
          <w:p w14:paraId="0AE6A664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Effective ROS scavenger</w:t>
            </w:r>
          </w:p>
          <w:p w14:paraId="7A3D7DE2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Selective sensitivity to melanoma tumor cells</w:t>
            </w:r>
          </w:p>
        </w:tc>
        <w:tc>
          <w:tcPr>
            <w:tcW w:w="1366" w:type="dxa"/>
            <w:vAlign w:val="top"/>
          </w:tcPr>
          <w:p w14:paraId="36A84C8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Prostate Cancer</w:t>
            </w:r>
          </w:p>
          <w:p w14:paraId="21F3F16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Breast Cancer</w:t>
            </w:r>
          </w:p>
          <w:p w14:paraId="009B602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Pancreatic Cancer  Melanoma</w:t>
            </w:r>
          </w:p>
          <w:p w14:paraId="7EB234A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Oral Cancer</w:t>
            </w:r>
          </w:p>
          <w:p w14:paraId="18B92901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Skin Cancer</w:t>
            </w:r>
          </w:p>
        </w:tc>
        <w:tc>
          <w:tcPr>
            <w:tcW w:w="923" w:type="dxa"/>
            <w:vAlign w:val="top"/>
          </w:tcPr>
          <w:p w14:paraId="4088BC5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44, 45</w:t>
            </w:r>
          </w:p>
        </w:tc>
      </w:tr>
      <w:tr w14:paraId="46F9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1" w:type="dxa"/>
            <w:vAlign w:val="top"/>
          </w:tcPr>
          <w:p w14:paraId="6A2BA56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Soy isoflavone</w:t>
            </w:r>
          </w:p>
        </w:tc>
        <w:tc>
          <w:tcPr>
            <w:tcW w:w="2446" w:type="dxa"/>
            <w:vAlign w:val="top"/>
          </w:tcPr>
          <w:p w14:paraId="09E90AD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Sex hormone-like effects;</w:t>
            </w:r>
          </w:p>
          <w:p w14:paraId="560C25C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Inhibition of tyrosine protein kinas activity;</w:t>
            </w:r>
          </w:p>
          <w:p w14:paraId="7DE985EB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Inhibition of DNA topoisomerase II activity;</w:t>
            </w:r>
          </w:p>
          <w:p w14:paraId="0D948AB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Antioxidant effects</w:t>
            </w:r>
          </w:p>
        </w:tc>
        <w:tc>
          <w:tcPr>
            <w:tcW w:w="2908" w:type="dxa"/>
            <w:vAlign w:val="top"/>
          </w:tcPr>
          <w:p w14:paraId="7D00353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Taget cancer stem cells</w:t>
            </w:r>
          </w:p>
        </w:tc>
        <w:tc>
          <w:tcPr>
            <w:tcW w:w="1366" w:type="dxa"/>
            <w:vAlign w:val="top"/>
          </w:tcPr>
          <w:p w14:paraId="449B1CF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Breast Cancer</w:t>
            </w:r>
          </w:p>
          <w:p w14:paraId="4AB73C2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Prostate Cancer</w:t>
            </w:r>
          </w:p>
          <w:p w14:paraId="7F6FD966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Liver Cancer</w:t>
            </w:r>
          </w:p>
          <w:p w14:paraId="71023F7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Stomach Cancer</w:t>
            </w:r>
          </w:p>
        </w:tc>
        <w:tc>
          <w:tcPr>
            <w:tcW w:w="923" w:type="dxa"/>
            <w:vAlign w:val="top"/>
          </w:tcPr>
          <w:p w14:paraId="1E98CDAF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46</w:t>
            </w:r>
          </w:p>
        </w:tc>
      </w:tr>
      <w:tr w14:paraId="0543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1" w:type="dxa"/>
            <w:vAlign w:val="top"/>
          </w:tcPr>
          <w:p w14:paraId="13234D0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Silymarin</w:t>
            </w:r>
          </w:p>
        </w:tc>
        <w:tc>
          <w:tcPr>
            <w:tcW w:w="2446" w:type="dxa"/>
            <w:vAlign w:val="top"/>
          </w:tcPr>
          <w:p w14:paraId="5F27E2D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Scavenging of reactive oxygen species;</w:t>
            </w:r>
          </w:p>
          <w:p w14:paraId="671262A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Inhibition of nitric oxide production and its interaction with O</w:t>
            </w:r>
            <w:r>
              <w:rPr>
                <w:rFonts w:hint="default" w:ascii="Arial" w:hAnsi="Arial" w:eastAsia="Times New Roman" w:cs="Arial"/>
                <w:sz w:val="16"/>
                <w:szCs w:val="16"/>
                <w:vertAlign w:val="subscript"/>
                <w:lang w:val="en-US" w:eastAsia="zh-CN"/>
              </w:rPr>
              <w:t>2</w:t>
            </w:r>
            <w:r>
              <w:rPr>
                <w:rFonts w:hint="default" w:ascii="Arial" w:hAnsi="Arial" w:eastAsia="Times New Roman" w:cs="Arial"/>
                <w:sz w:val="16"/>
                <w:szCs w:val="16"/>
                <w:vertAlign w:val="superscript"/>
                <w:lang w:val="en-US" w:eastAsia="zh-CN"/>
              </w:rPr>
              <w:t>-</w:t>
            </w:r>
          </w:p>
        </w:tc>
        <w:tc>
          <w:tcPr>
            <w:tcW w:w="2908" w:type="dxa"/>
            <w:vAlign w:val="top"/>
          </w:tcPr>
          <w:p w14:paraId="4AAB2C9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Protects liver cells by blocking entry of toxins;</w:t>
            </w:r>
          </w:p>
          <w:p w14:paraId="3945FF0F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Removes toxins from liver cells</w:t>
            </w:r>
          </w:p>
        </w:tc>
        <w:tc>
          <w:tcPr>
            <w:tcW w:w="1366" w:type="dxa"/>
            <w:vAlign w:val="top"/>
          </w:tcPr>
          <w:p w14:paraId="1199F8F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Liver Disease</w:t>
            </w:r>
          </w:p>
          <w:p w14:paraId="5D54550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Breast cancer</w:t>
            </w:r>
          </w:p>
        </w:tc>
        <w:tc>
          <w:tcPr>
            <w:tcW w:w="923" w:type="dxa"/>
            <w:vAlign w:val="top"/>
          </w:tcPr>
          <w:p w14:paraId="3FE0175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Times New Roman" w:cs="Arial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zh-CN"/>
              </w:rPr>
              <w:t>47</w:t>
            </w:r>
          </w:p>
        </w:tc>
      </w:tr>
    </w:tbl>
    <w:p w14:paraId="5F2752CA">
      <w:pPr>
        <w:widowControl w:val="0"/>
        <w:rPr>
          <w:rFonts w:cs="Arial"/>
          <w:szCs w:val="20"/>
        </w:rPr>
      </w:pPr>
    </w:p>
    <w:p w14:paraId="576A8EBE">
      <w:pPr>
        <w:pStyle w:val="29"/>
        <w:spacing w:after="24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Supplementary figures</w:t>
      </w:r>
    </w:p>
    <w:p w14:paraId="100DA269">
      <w:pPr>
        <w:pStyle w:val="29"/>
        <w:spacing w:after="240"/>
        <w:jc w:val="center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drawing>
          <wp:inline distT="0" distB="0" distL="114300" distR="114300">
            <wp:extent cx="3507740" cy="2884805"/>
            <wp:effectExtent l="0" t="0" r="12700" b="10795"/>
            <wp:docPr id="5" name="图片 5" descr="光热可视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光热可视化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CCB8E">
      <w:pPr>
        <w:pStyle w:val="29"/>
        <w:spacing w:after="24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Figure S1. </w:t>
      </w:r>
      <w:r>
        <w:rPr>
          <w:rFonts w:hint="eastAsia"/>
          <w:b w:val="0"/>
          <w:bCs w:val="0"/>
        </w:rPr>
        <w:t>Thermal imaging o</w:t>
      </w:r>
      <w:r>
        <w:rPr>
          <w:rFonts w:hint="eastAsia"/>
          <w:b w:val="0"/>
          <w:bCs w:val="0"/>
          <w:color w:val="auto"/>
        </w:rPr>
        <w:t xml:space="preserve">f PBS, </w:t>
      </w:r>
      <w:r>
        <w:rPr>
          <w:rFonts w:hint="eastAsia" w:eastAsia="宋体"/>
          <w:b w:val="0"/>
          <w:bCs w:val="0"/>
          <w:color w:val="auto"/>
          <w:lang w:eastAsia="zh-CN"/>
        </w:rPr>
        <w:t>GNR@PEG</w:t>
      </w:r>
      <w:r>
        <w:rPr>
          <w:rFonts w:hint="eastAsia"/>
          <w:b w:val="0"/>
          <w:bCs w:val="0"/>
          <w:color w:val="auto"/>
        </w:rPr>
        <w:t xml:space="preserve"> and </w:t>
      </w:r>
      <w:r>
        <w:rPr>
          <w:rFonts w:hint="eastAsia" w:eastAsia="宋体"/>
          <w:b w:val="0"/>
          <w:bCs w:val="0"/>
          <w:color w:val="auto"/>
          <w:lang w:eastAsia="zh-CN"/>
        </w:rPr>
        <w:t>GNR@PEG</w:t>
      </w:r>
      <w:r>
        <w:rPr>
          <w:rFonts w:hint="eastAsia"/>
          <w:b w:val="0"/>
          <w:bCs w:val="0"/>
          <w:color w:val="auto"/>
        </w:rPr>
        <w:t>-Qu nano</w:t>
      </w:r>
      <w:r>
        <w:rPr>
          <w:rFonts w:hint="eastAsia"/>
          <w:b w:val="0"/>
          <w:bCs w:val="0"/>
        </w:rPr>
        <w:t>particles under irradiation.</w:t>
      </w:r>
    </w:p>
    <w:p w14:paraId="2351DE72">
      <w:pPr>
        <w:pStyle w:val="29"/>
        <w:spacing w:after="240"/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805680" cy="2482215"/>
            <wp:effectExtent l="0" t="0" r="10160" b="1905"/>
            <wp:docPr id="3" name="图片 3" descr="uptake Hoechst-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ptake Hoechst-单"/>
                    <pic:cNvPicPr>
                      <a:picLocks noChangeAspect="1"/>
                    </pic:cNvPicPr>
                  </pic:nvPicPr>
                  <pic:blipFill>
                    <a:blip r:embed="rId10">
                      <a:lum bright="18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F255">
      <w:pPr>
        <w:pStyle w:val="29"/>
        <w:spacing w:after="240"/>
        <w:jc w:val="left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lang w:val="en-US" w:eastAsia="zh-CN"/>
        </w:rPr>
        <w:t>Figure S2</w:t>
      </w:r>
      <w:r>
        <w:rPr>
          <w:rFonts w:hint="default"/>
          <w:b w:val="0"/>
          <w:bCs w:val="0"/>
          <w:lang w:val="en-US" w:eastAsia="zh-CN"/>
        </w:rPr>
        <w:t>. Location and distribution of nu</w:t>
      </w:r>
      <w:bookmarkStart w:id="1" w:name="_GoBack"/>
      <w:r>
        <w:rPr>
          <w:rFonts w:hint="default"/>
          <w:b w:val="0"/>
          <w:bCs w:val="0"/>
          <w:color w:val="auto"/>
          <w:lang w:val="en-US" w:eastAsia="zh-CN"/>
        </w:rPr>
        <w:t xml:space="preserve">clei (blue) and </w:t>
      </w:r>
      <w:r>
        <w:rPr>
          <w:rFonts w:hint="eastAsia"/>
          <w:b w:val="0"/>
          <w:bCs w:val="0"/>
          <w:color w:val="auto"/>
          <w:lang w:val="en-US" w:eastAsia="zh-CN"/>
        </w:rPr>
        <w:t>GNR@PEG</w:t>
      </w:r>
      <w:r>
        <w:rPr>
          <w:rFonts w:hint="default"/>
          <w:b w:val="0"/>
          <w:bCs w:val="0"/>
          <w:color w:val="auto"/>
          <w:lang w:val="en-US" w:eastAsia="zh-CN"/>
        </w:rPr>
        <w:t>-Qu (red) in cellular</w:t>
      </w:r>
      <w:bookmarkEnd w:id="1"/>
      <w:r>
        <w:rPr>
          <w:rFonts w:hint="default"/>
          <w:b w:val="0"/>
          <w:bCs w:val="0"/>
          <w:lang w:val="en-US" w:eastAsia="zh-CN"/>
        </w:rPr>
        <w:t xml:space="preserve"> uptake experiments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.</w:t>
      </w:r>
    </w:p>
    <w:p w14:paraId="485A00AE">
      <w:pPr>
        <w:pStyle w:val="29"/>
        <w:spacing w:after="240"/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479415" cy="3928745"/>
            <wp:effectExtent l="0" t="0" r="6985" b="3175"/>
            <wp:docPr id="6" name="图片 6" descr="活死染色-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活死染色-单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5D8C">
      <w:pPr>
        <w:pStyle w:val="29"/>
        <w:spacing w:after="240"/>
        <w:jc w:val="left"/>
        <w:rPr>
          <w:rFonts w:hint="default" w:ascii="Arial" w:hAnsi="Arial" w:eastAsia="宋体" w:cs="Arial"/>
          <w:lang w:val="en-US" w:eastAsia="zh-CN"/>
        </w:rPr>
      </w:pPr>
      <w:r>
        <w:rPr>
          <w:rFonts w:hint="default" w:ascii="Arial" w:hAnsi="Arial" w:eastAsia="宋体" w:cs="Arial"/>
          <w:b/>
          <w:bCs/>
          <w:lang w:val="en-US" w:eastAsia="zh-CN"/>
        </w:rPr>
        <w:t>Figure S3.</w:t>
      </w:r>
      <w:r>
        <w:rPr>
          <w:rFonts w:hint="default" w:ascii="Arial" w:hAnsi="Arial" w:eastAsia="宋体" w:cs="Arial"/>
          <w:lang w:val="en-US" w:eastAsia="zh-CN"/>
        </w:rPr>
        <w:t xml:space="preserve"> Live/dead staining of B16F10 cell lines after different treatments. Scale bar = 400 µm.</w:t>
      </w:r>
    </w:p>
    <w:p w14:paraId="2AE01C14">
      <w:pPr>
        <w:pStyle w:val="29"/>
        <w:spacing w:after="24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78145" cy="2536190"/>
            <wp:effectExtent l="0" t="0" r="8255" b="8890"/>
            <wp:docPr id="2" name="图片 2" descr="器官荧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器官荧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F902">
      <w:pPr>
        <w:pStyle w:val="29"/>
        <w:spacing w:after="240"/>
        <w:jc w:val="left"/>
        <w:rPr>
          <w:rFonts w:hint="default" w:ascii="Arial" w:hAnsi="Arial" w:eastAsia="宋体" w:cs="Arial"/>
          <w:lang w:val="en-US" w:eastAsia="zh-CN"/>
        </w:rPr>
      </w:pPr>
      <w:r>
        <w:rPr>
          <w:rFonts w:hint="default" w:ascii="Arial" w:hAnsi="Arial" w:eastAsia="宋体" w:cs="Arial"/>
          <w:b/>
          <w:bCs/>
          <w:lang w:val="en-US" w:eastAsia="zh-CN"/>
        </w:rPr>
        <w:t>Figure S4.</w:t>
      </w:r>
      <w:r>
        <w:rPr>
          <w:rFonts w:hint="default" w:ascii="Arial" w:hAnsi="Arial" w:eastAsia="宋体" w:cs="Arial"/>
          <w:lang w:val="en-US" w:eastAsia="zh-CN"/>
        </w:rPr>
        <w:t xml:space="preserve"> Fluorescence images of major organs and tumors removed in tumor-bearing mice 24 hours after administration.</w:t>
      </w:r>
    </w:p>
    <w:p w14:paraId="426B5860">
      <w:pPr>
        <w:pStyle w:val="29"/>
        <w:spacing w:after="240"/>
        <w:jc w:val="center"/>
      </w:pPr>
      <w:r>
        <w:drawing>
          <wp:inline distT="0" distB="0" distL="114300" distR="114300">
            <wp:extent cx="5477510" cy="2444750"/>
            <wp:effectExtent l="0" t="0" r="8890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4815">
      <w:pPr>
        <w:pStyle w:val="29"/>
        <w:spacing w:after="240"/>
        <w:jc w:val="left"/>
      </w:pPr>
      <w:r>
        <w:rPr>
          <w:rFonts w:hint="eastAsia"/>
          <w:b/>
          <w:bCs/>
          <w:lang w:val="en-US" w:eastAsia="zh-CN"/>
        </w:rPr>
        <w:t>Figure S5.</w:t>
      </w:r>
      <w:r>
        <w:rPr>
          <w:rFonts w:hint="eastAsia"/>
          <w:lang w:val="en-US" w:eastAsia="zh-CN"/>
        </w:rPr>
        <w:t xml:space="preserve"> Typical photographs of mice to evaluate the tumor growth inhibition after various treatments.</w:t>
      </w:r>
    </w:p>
    <w:sectPr>
      <w:footerReference r:id="rId7" w:type="first"/>
      <w:footerReference r:id="rId5" w:type="default"/>
      <w:footerReference r:id="rId6" w:type="even"/>
      <w:pgSz w:w="12240" w:h="15840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67A7">
    <w:pPr>
      <w:pStyle w:val="7"/>
      <w:framePr w:wrap="around" w:vAnchor="text" w:hAnchor="margin" w:xAlign="center" w:y="1"/>
      <w:rPr>
        <w:rStyle w:val="13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E7705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8ef54de2a7a4d03c423a990a" o:spid="_x0000_s1026" o:spt="202" alt="{&quot;HashCode&quot;:-1348403003,&quot;Height&quot;:792.0,&quot;Width&quot;:612.0,&quot;Placement&quot;:&quot;Footer&quot;,&quot;Index&quot;:&quot;Primary&quot;,&quot;Section&quot;:1,&quot;Top&quot;:0.0,&quot;Left&quot;:0.0}" type="#_x0000_t202" style="position:absolute;left:0pt;margin-left:0pt;margin-top:756.2pt;height:20.8pt;width:612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NqkuPyR&#10;AgAAEw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5CBE7705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5</w:t>
    </w:r>
    <w:r>
      <w:rPr>
        <w:rStyle w:val="13"/>
      </w:rPr>
      <w:fldChar w:fldCharType="end"/>
    </w:r>
  </w:p>
  <w:p w14:paraId="57E037C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9816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CAF2E2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E9367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858B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71df4afb82ef22201046dfa6" o:spid="_x0000_s1026" o:spt="202" alt="{&quot;HashCode&quot;:-1348403003,&quot;Height&quot;:792.0,&quot;Width&quot;:612.0,&quot;Placement&quot;:&quot;Footer&quot;,&quot;Index&quot;:&quot;FirstPage&quot;,&quot;Section&quot;:1,&quot;Top&quot;:0.0,&quot;Left&quot;:0.0}" type="#_x0000_t202" style="position:absolute;left:0pt;margin-left:0pt;margin-top:756.2pt;height:20.8pt;width:612pt;mso-position-horizontal-relative:page;mso-position-vertical-relative:page;z-index:251660288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OoumAeR&#10;AgAAFg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640858B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2NDJmYzExMzA4NTE1YjMyY2UwMWVhODliNjU4YjcifQ==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774B1"/>
    <w:rsid w:val="0008401B"/>
    <w:rsid w:val="00087F9B"/>
    <w:rsid w:val="000A4388"/>
    <w:rsid w:val="000B2BC9"/>
    <w:rsid w:val="000C59ED"/>
    <w:rsid w:val="000D3E37"/>
    <w:rsid w:val="000D5360"/>
    <w:rsid w:val="000E6B48"/>
    <w:rsid w:val="000E7758"/>
    <w:rsid w:val="000F3098"/>
    <w:rsid w:val="00117777"/>
    <w:rsid w:val="00127CD5"/>
    <w:rsid w:val="001337FB"/>
    <w:rsid w:val="0017004E"/>
    <w:rsid w:val="00170F20"/>
    <w:rsid w:val="00173279"/>
    <w:rsid w:val="00191F49"/>
    <w:rsid w:val="001E7479"/>
    <w:rsid w:val="00203209"/>
    <w:rsid w:val="00212E22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02402"/>
    <w:rsid w:val="003155A1"/>
    <w:rsid w:val="00320521"/>
    <w:rsid w:val="00324666"/>
    <w:rsid w:val="00342717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16C1A"/>
    <w:rsid w:val="0042633D"/>
    <w:rsid w:val="00431388"/>
    <w:rsid w:val="00441D51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2BF6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A3534"/>
    <w:rsid w:val="009A4057"/>
    <w:rsid w:val="009B1D49"/>
    <w:rsid w:val="009D3AD0"/>
    <w:rsid w:val="00A06800"/>
    <w:rsid w:val="00A10913"/>
    <w:rsid w:val="00A20FFB"/>
    <w:rsid w:val="00A3756A"/>
    <w:rsid w:val="00A445D7"/>
    <w:rsid w:val="00A526C7"/>
    <w:rsid w:val="00A6170F"/>
    <w:rsid w:val="00A63CD7"/>
    <w:rsid w:val="00A70251"/>
    <w:rsid w:val="00AB389E"/>
    <w:rsid w:val="00AB47E4"/>
    <w:rsid w:val="00AC1F93"/>
    <w:rsid w:val="00AC40EE"/>
    <w:rsid w:val="00AC5480"/>
    <w:rsid w:val="00AD76B0"/>
    <w:rsid w:val="00AE5062"/>
    <w:rsid w:val="00B26A6E"/>
    <w:rsid w:val="00B30BC3"/>
    <w:rsid w:val="00B7570E"/>
    <w:rsid w:val="00B82724"/>
    <w:rsid w:val="00B86FEB"/>
    <w:rsid w:val="00B915E4"/>
    <w:rsid w:val="00B96017"/>
    <w:rsid w:val="00BB027B"/>
    <w:rsid w:val="00BD6666"/>
    <w:rsid w:val="00C27B5D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82CEA"/>
    <w:rsid w:val="00D94F22"/>
    <w:rsid w:val="00DB0A0D"/>
    <w:rsid w:val="00DB423B"/>
    <w:rsid w:val="00DE5F42"/>
    <w:rsid w:val="00DF4C7F"/>
    <w:rsid w:val="00DF6A1F"/>
    <w:rsid w:val="00E021BA"/>
    <w:rsid w:val="00E031E1"/>
    <w:rsid w:val="00E1216B"/>
    <w:rsid w:val="00E1328D"/>
    <w:rsid w:val="00E225F8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03AD1188"/>
    <w:rsid w:val="060D0549"/>
    <w:rsid w:val="17D90ECB"/>
    <w:rsid w:val="1A0F7A81"/>
    <w:rsid w:val="1BA6589D"/>
    <w:rsid w:val="267707EC"/>
    <w:rsid w:val="3AE0700E"/>
    <w:rsid w:val="4936779E"/>
    <w:rsid w:val="593F0F77"/>
    <w:rsid w:val="672A403A"/>
    <w:rsid w:val="70111F2E"/>
    <w:rsid w:val="744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rPr>
      <w:szCs w:val="20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9"/>
    <w:qFormat/>
    <w:uiPriority w:val="0"/>
    <w:pPr>
      <w:tabs>
        <w:tab w:val="center" w:pos="4680"/>
        <w:tab w:val="right" w:pos="9360"/>
      </w:tabs>
    </w:pPr>
  </w:style>
  <w:style w:type="paragraph" w:styleId="9">
    <w:name w:val="annotation subject"/>
    <w:basedOn w:val="5"/>
    <w:next w:val="5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qFormat/>
    <w:uiPriority w:val="0"/>
    <w:rPr>
      <w:b/>
      <w:bCs/>
    </w:rPr>
  </w:style>
  <w:style w:type="character" w:styleId="16">
    <w:name w:val="lin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character" w:customStyle="1" w:styleId="19">
    <w:name w:val="Header Char"/>
    <w:link w:val="8"/>
    <w:qFormat/>
    <w:uiPriority w:val="0"/>
    <w:rPr>
      <w:rFonts w:ascii="Arial" w:hAnsi="Arial"/>
      <w:szCs w:val="24"/>
      <w:lang w:val="en-US" w:eastAsia="en-US"/>
    </w:rPr>
  </w:style>
  <w:style w:type="paragraph" w:customStyle="1" w:styleId="20">
    <w:name w:val="Revision"/>
    <w:hidden/>
    <w:semiHidden/>
    <w:qFormat/>
    <w:uiPriority w:val="99"/>
    <w:rPr>
      <w:rFonts w:ascii="Arial" w:hAnsi="Arial" w:eastAsia="Times New Roman" w:cs="Times New Roman"/>
      <w:szCs w:val="24"/>
      <w:lang w:val="en-US" w:eastAsia="en-US" w:bidi="ar-SA"/>
    </w:rPr>
  </w:style>
  <w:style w:type="character" w:customStyle="1" w:styleId="2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cf01"/>
    <w:basedOn w:val="12"/>
    <w:qFormat/>
    <w:uiPriority w:val="0"/>
    <w:rPr>
      <w:rFonts w:hint="default" w:ascii="Segoe UI" w:hAnsi="Segoe UI" w:cs="Segoe UI"/>
      <w:sz w:val="18"/>
      <w:szCs w:val="18"/>
    </w:rPr>
  </w:style>
  <w:style w:type="paragraph" w:customStyle="1" w:styleId="23">
    <w:name w:val="BC_Author_Address"/>
    <w:basedOn w:val="1"/>
    <w:next w:val="24"/>
    <w:qFormat/>
    <w:uiPriority w:val="0"/>
    <w:pPr>
      <w:spacing w:after="240" w:line="480" w:lineRule="auto"/>
      <w:jc w:val="center"/>
    </w:pPr>
  </w:style>
  <w:style w:type="paragraph" w:customStyle="1" w:styleId="24">
    <w:name w:val="BI_Email_Address"/>
    <w:basedOn w:val="1"/>
    <w:next w:val="25"/>
    <w:qFormat/>
    <w:uiPriority w:val="0"/>
    <w:pPr>
      <w:spacing w:line="480" w:lineRule="auto"/>
    </w:pPr>
  </w:style>
  <w:style w:type="paragraph" w:customStyle="1" w:styleId="25">
    <w:name w:val="AI_Received_Date"/>
    <w:basedOn w:val="1"/>
    <w:next w:val="26"/>
    <w:qFormat/>
    <w:uiPriority w:val="0"/>
    <w:pPr>
      <w:spacing w:after="240" w:line="480" w:lineRule="auto"/>
    </w:pPr>
    <w:rPr>
      <w:b/>
    </w:rPr>
  </w:style>
  <w:style w:type="paragraph" w:customStyle="1" w:styleId="26">
    <w:name w:val="BD_Abstract"/>
    <w:basedOn w:val="1"/>
    <w:next w:val="27"/>
    <w:qFormat/>
    <w:uiPriority w:val="0"/>
    <w:pPr>
      <w:spacing w:before="360" w:after="360" w:line="480" w:lineRule="auto"/>
    </w:pPr>
  </w:style>
  <w:style w:type="paragraph" w:customStyle="1" w:styleId="27">
    <w:name w:val="TA_Main_Text"/>
    <w:basedOn w:val="1"/>
    <w:qFormat/>
    <w:uiPriority w:val="0"/>
    <w:pPr>
      <w:spacing w:after="0" w:line="480" w:lineRule="auto"/>
      <w:ind w:firstLine="202"/>
    </w:pPr>
  </w:style>
  <w:style w:type="paragraph" w:customStyle="1" w:styleId="28">
    <w:name w:val="VD_Table_Title"/>
    <w:basedOn w:val="1"/>
    <w:next w:val="1"/>
    <w:qFormat/>
    <w:uiPriority w:val="0"/>
    <w:pPr>
      <w:spacing w:line="480" w:lineRule="auto"/>
    </w:pPr>
  </w:style>
  <w:style w:type="paragraph" w:customStyle="1" w:styleId="29">
    <w:name w:val="SN_Synopsis_TOC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Dove Medical Press</Company>
  <Pages>4</Pages>
  <Words>341</Words>
  <Characters>2154</Characters>
  <Lines>46</Lines>
  <Paragraphs>12</Paragraphs>
  <TotalTime>76</TotalTime>
  <ScaleCrop>false</ScaleCrop>
  <LinksUpToDate>false</LinksUpToDate>
  <CharactersWithSpaces>2412</CharactersWithSpaces>
  <Application>WPS Office_12.1.0.18276_F1E327BC-269C-435d-A152-05C5408002CA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2024-06-06T03:23:00Z</dcterms:created>
  <dc:creator>Angela Jones</dc:creator>
  <cp:lastModifiedBy>Dou Zhang</cp:lastModifiedBy>
  <cp:lastPrinted>2009-01-07T21:57:00Z</cp:lastPrinted>
  <dcterms:modified xsi:type="dcterms:W3CDTF">2024-10-08T09:21:01Z</dcterms:modified>
  <dc:title>Manuscript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ProductBuildVer">
    <vt:lpwstr>2052-12.1.0.18276</vt:lpwstr>
  </property>
  <property fmtid="{D5CDD505-2E9C-101B-9397-08002B2CF9AE}" pid="10" name="ICV">
    <vt:lpwstr>F22484E3C1DF4C25A0B47CD2DA16D030_13</vt:lpwstr>
  </property>
</Properties>
</file>