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FACF" w14:textId="77777777" w:rsidR="00CE7574" w:rsidRPr="008F72BC" w:rsidRDefault="00CE7574" w:rsidP="00CE7574">
      <w:pPr>
        <w:adjustRightInd w:val="0"/>
        <w:snapToGrid w:val="0"/>
        <w:spacing w:line="480" w:lineRule="auto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>Table S1. Knowledge dimension of the participants.</w:t>
      </w:r>
    </w:p>
    <w:tbl>
      <w:tblPr>
        <w:tblStyle w:val="TableGrid"/>
        <w:tblpPr w:leftFromText="180" w:rightFromText="180" w:vertAnchor="text" w:horzAnchor="page" w:tblpX="1301" w:tblpY="16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1"/>
        <w:gridCol w:w="1737"/>
        <w:gridCol w:w="1230"/>
        <w:gridCol w:w="1230"/>
      </w:tblGrid>
      <w:tr w:rsidR="00CE7574" w:rsidRPr="008F72BC" w14:paraId="734AC733" w14:textId="77777777" w:rsidTr="00132513">
        <w:trPr>
          <w:trHeight w:val="145"/>
        </w:trPr>
        <w:tc>
          <w:tcPr>
            <w:tcW w:w="3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2843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7ABA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 xml:space="preserve">a. very knowledgeable 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0951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b. heard of it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5278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c. not clear</w:t>
            </w:r>
          </w:p>
        </w:tc>
      </w:tr>
      <w:tr w:rsidR="00CE7574" w:rsidRPr="008F72BC" w14:paraId="2F0B1244" w14:textId="77777777" w:rsidTr="00132513">
        <w:trPr>
          <w:trHeight w:val="145"/>
        </w:trPr>
        <w:tc>
          <w:tcPr>
            <w:tcW w:w="35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8E93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K1. Diabetes is classified into four types: type 1 diabetes, type 2 diabetes, special type diabetes, and gestational diabetes.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795D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240(48.7)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CD93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221(44.8)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5C09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32(6.5)</w:t>
            </w:r>
          </w:p>
        </w:tc>
      </w:tr>
      <w:tr w:rsidR="00CE7574" w:rsidRPr="008F72BC" w14:paraId="2928EDA0" w14:textId="77777777" w:rsidTr="00BD59CF">
        <w:trPr>
          <w:trHeight w:val="284"/>
        </w:trPr>
        <w:tc>
          <w:tcPr>
            <w:tcW w:w="3542" w:type="pct"/>
            <w:shd w:val="clear" w:color="auto" w:fill="auto"/>
            <w:vAlign w:val="center"/>
          </w:tcPr>
          <w:p w14:paraId="56C87C4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K2. Fasting blood glucose, random blood glucose, or a 2-hour blood glucose test after oral glucose intake are the main diagnostic criteria for diabetes.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454141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252(51.1)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892C87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205(41.6)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220389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36(7.3)</w:t>
            </w:r>
          </w:p>
        </w:tc>
      </w:tr>
      <w:tr w:rsidR="00CE7574" w:rsidRPr="008F72BC" w14:paraId="75CFC8C3" w14:textId="77777777" w:rsidTr="00BD59CF">
        <w:trPr>
          <w:trHeight w:val="284"/>
        </w:trPr>
        <w:tc>
          <w:tcPr>
            <w:tcW w:w="3542" w:type="pct"/>
            <w:shd w:val="clear" w:color="auto" w:fill="auto"/>
            <w:vAlign w:val="center"/>
          </w:tcPr>
          <w:p w14:paraId="2230E00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K3. For most type 2 diabetes patients, the ideal fasting blood glucose control range is 4.4-7.0 mmol/L.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80E5EC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268(54.4)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A56DF0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184(37.3)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1B69DC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41(8.3)</w:t>
            </w:r>
          </w:p>
        </w:tc>
      </w:tr>
      <w:tr w:rsidR="00CE7574" w:rsidRPr="008F72BC" w14:paraId="4F7016F8" w14:textId="77777777" w:rsidTr="00BD59CF">
        <w:trPr>
          <w:trHeight w:val="145"/>
        </w:trPr>
        <w:tc>
          <w:tcPr>
            <w:tcW w:w="3542" w:type="pct"/>
            <w:shd w:val="clear" w:color="auto" w:fill="auto"/>
            <w:vAlign w:val="center"/>
          </w:tcPr>
          <w:p w14:paraId="3F55C92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K4. Continuous Glucose Monitoring (CGM) system refers to the technology that continuously monitors the subcutaneous interstitial fluid glucose concentration through a glucose sensor.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9123DE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216(43.8)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BDE6A6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225(45.6)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EA4482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52(10.5)</w:t>
            </w:r>
          </w:p>
        </w:tc>
      </w:tr>
      <w:tr w:rsidR="00CE7574" w:rsidRPr="008F72BC" w14:paraId="5083D343" w14:textId="77777777" w:rsidTr="00BD59CF">
        <w:trPr>
          <w:trHeight w:val="145"/>
        </w:trPr>
        <w:tc>
          <w:tcPr>
            <w:tcW w:w="3542" w:type="pct"/>
            <w:shd w:val="clear" w:color="auto" w:fill="auto"/>
            <w:vAlign w:val="center"/>
          </w:tcPr>
          <w:p w14:paraId="1A2E0109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 xml:space="preserve">K5. CGM includes fasting blood glucose, pre-meal blood glucose, postprandial 2-hour blood glucose, random blood glucose, bedtime, or overnight blood glucose. The CGM system provides continuous, comprehensive, and reliable information on blood glucose throughout </w:t>
            </w: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lastRenderedPageBreak/>
              <w:t>the day, allowing an understanding of the trend and characteristics of blood glucose fluctuations.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1EA810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lastRenderedPageBreak/>
              <w:t>220(44.6)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C658DD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218(44.2)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EFF3AE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55(11.2)</w:t>
            </w:r>
          </w:p>
        </w:tc>
      </w:tr>
      <w:tr w:rsidR="00CE7574" w:rsidRPr="008F72BC" w14:paraId="30942CC2" w14:textId="77777777" w:rsidTr="00BD59CF">
        <w:trPr>
          <w:trHeight w:val="284"/>
        </w:trPr>
        <w:tc>
          <w:tcPr>
            <w:tcW w:w="3542" w:type="pct"/>
            <w:shd w:val="clear" w:color="auto" w:fill="auto"/>
            <w:vAlign w:val="center"/>
          </w:tcPr>
          <w:p w14:paraId="6C4C8A4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K6. CGM systems can be categorized into retrospective CGM, real-time CGM, and intermittently scanned CGM based on their technology and usage characteristics.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F61B6E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204(41.4)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2B3D37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218(44.2)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7C3E0C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71(14.4)</w:t>
            </w:r>
          </w:p>
        </w:tc>
      </w:tr>
      <w:tr w:rsidR="00CE7574" w:rsidRPr="008F72BC" w14:paraId="1CDABB76" w14:textId="77777777" w:rsidTr="00BD59CF">
        <w:trPr>
          <w:trHeight w:val="284"/>
        </w:trPr>
        <w:tc>
          <w:tcPr>
            <w:tcW w:w="3542" w:type="pct"/>
            <w:shd w:val="clear" w:color="auto" w:fill="auto"/>
            <w:vAlign w:val="center"/>
          </w:tcPr>
          <w:p w14:paraId="3F85D3E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K7. Retrospective CGM cannot display the wearer's glucose levels in real-time; the relevant data need to be downloaded after monitoring, making it also known as blind CGM.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C20604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192(38.9)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11A3F3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212(43.0)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6F7D60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89(18.1)</w:t>
            </w:r>
          </w:p>
        </w:tc>
      </w:tr>
      <w:tr w:rsidR="00CE7574" w:rsidRPr="008F72BC" w14:paraId="62C37248" w14:textId="77777777" w:rsidTr="00BD59CF">
        <w:trPr>
          <w:trHeight w:val="145"/>
        </w:trPr>
        <w:tc>
          <w:tcPr>
            <w:tcW w:w="3542" w:type="pct"/>
            <w:shd w:val="clear" w:color="auto" w:fill="auto"/>
            <w:vAlign w:val="center"/>
          </w:tcPr>
          <w:p w14:paraId="0E566D85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K8. Real-time CGM provides immediate blood glucose information, high or low blood glucose alerts, and displays glucose trend changes, thus serving as an early warning system. Real-time CGM is particularly suitable for patients with significant blood glucose fluctuations and a high risk of hypoglycemia, especially those with repeated nocturnal hypoglycemia or asymptomatic hypoglycemia.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4B43E0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187(37.9)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1BBE9D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229(46.5)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1075E9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77(15.6)</w:t>
            </w:r>
          </w:p>
        </w:tc>
      </w:tr>
      <w:tr w:rsidR="00CE7574" w:rsidRPr="008F72BC" w14:paraId="2073094B" w14:textId="77777777" w:rsidTr="00BD59CF">
        <w:trPr>
          <w:trHeight w:val="145"/>
        </w:trPr>
        <w:tc>
          <w:tcPr>
            <w:tcW w:w="3542" w:type="pct"/>
            <w:shd w:val="clear" w:color="auto" w:fill="auto"/>
            <w:vAlign w:val="center"/>
          </w:tcPr>
          <w:p w14:paraId="7F04284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K9. Flash Glucose Monitoring (FGM) is a type of on-demand CGM, where the wearer actively scans the sensor to obtain current glucose data. It does not require fingerstick calibration, eliminating the pain of frequent blood sampling.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D8AB3E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178(36.1)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D24FCC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231(46.9)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F02909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84(17.0)</w:t>
            </w:r>
          </w:p>
        </w:tc>
      </w:tr>
      <w:tr w:rsidR="00CE7574" w:rsidRPr="008F72BC" w14:paraId="54384547" w14:textId="77777777" w:rsidTr="00BD59CF">
        <w:trPr>
          <w:trHeight w:val="284"/>
        </w:trPr>
        <w:tc>
          <w:tcPr>
            <w:tcW w:w="3542" w:type="pct"/>
            <w:shd w:val="clear" w:color="auto" w:fill="auto"/>
            <w:vAlign w:val="center"/>
          </w:tcPr>
          <w:p w14:paraId="78383A8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 xml:space="preserve">K10. CGM can detect hidden hyperglycemia and hypoglycemia that may not be easily detected </w:t>
            </w: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lastRenderedPageBreak/>
              <w:t>by traditional monitoring methods.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029C39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lastRenderedPageBreak/>
              <w:t>202(41.0)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D41C94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215(43.6)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FD39CE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76(15.4)</w:t>
            </w:r>
          </w:p>
        </w:tc>
      </w:tr>
      <w:tr w:rsidR="00CE7574" w:rsidRPr="008F72BC" w14:paraId="2A086618" w14:textId="77777777" w:rsidTr="00BD59CF">
        <w:trPr>
          <w:trHeight w:val="284"/>
        </w:trPr>
        <w:tc>
          <w:tcPr>
            <w:tcW w:w="3542" w:type="pct"/>
            <w:shd w:val="clear" w:color="auto" w:fill="auto"/>
            <w:vAlign w:val="center"/>
          </w:tcPr>
          <w:p w14:paraId="0DC6A77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K11. Time in Range (TIR) refers to the time or percentage within the target glucose range (usually 3.9-10.0 mmol/L) over a 24-hour period.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91223B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204(41.4)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7F10DE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225(45.6)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5AE47E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64(13.0)</w:t>
            </w:r>
          </w:p>
        </w:tc>
      </w:tr>
      <w:tr w:rsidR="00CE7574" w:rsidRPr="008F72BC" w14:paraId="56698B23" w14:textId="77777777" w:rsidTr="00BD59CF">
        <w:trPr>
          <w:trHeight w:val="145"/>
        </w:trPr>
        <w:tc>
          <w:tcPr>
            <w:tcW w:w="3542" w:type="pct"/>
            <w:shd w:val="clear" w:color="auto" w:fill="auto"/>
            <w:vAlign w:val="center"/>
          </w:tcPr>
          <w:p w14:paraId="1F417B0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K12. TIR is significantly associated with microvascular complications and cardiovascular diseases in diabetes patients, making it a novel indicator for evaluating blood glucose control levels.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E19093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197(40.0)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182743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217(44.0)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4B2476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79(16.0)</w:t>
            </w:r>
          </w:p>
        </w:tc>
      </w:tr>
      <w:tr w:rsidR="00CE7574" w:rsidRPr="008F72BC" w14:paraId="404AE752" w14:textId="77777777" w:rsidTr="00BD59CF">
        <w:trPr>
          <w:trHeight w:val="145"/>
        </w:trPr>
        <w:tc>
          <w:tcPr>
            <w:tcW w:w="3542" w:type="pct"/>
            <w:shd w:val="clear" w:color="auto" w:fill="auto"/>
            <w:vAlign w:val="center"/>
          </w:tcPr>
          <w:p w14:paraId="2A0BA65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K13. Currently, CGM systems provide the most accurate and reliable assessment of TIR.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BF83AC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193(39.1)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CF3DDD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209(42.4)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291D95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91(18.5)</w:t>
            </w:r>
          </w:p>
        </w:tc>
      </w:tr>
      <w:tr w:rsidR="00CE7574" w:rsidRPr="008F72BC" w14:paraId="7B81FEAA" w14:textId="77777777" w:rsidTr="00BD59CF">
        <w:trPr>
          <w:trHeight w:val="145"/>
        </w:trPr>
        <w:tc>
          <w:tcPr>
            <w:tcW w:w="3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9080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K14. Standardized CGM reports include 14 parameters as core indicators, contributing significantly to the clinical assessment of blood glucose control.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6138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185(37.5)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7FE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210(42.6)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FBAE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98(19.9)</w:t>
            </w:r>
          </w:p>
        </w:tc>
      </w:tr>
    </w:tbl>
    <w:p w14:paraId="4513BC4A" w14:textId="77777777" w:rsidR="00CE7574" w:rsidRPr="008F72BC" w:rsidRDefault="00CE7574" w:rsidP="00CE7574">
      <w:pPr>
        <w:adjustRightInd w:val="0"/>
        <w:snapToGrid w:val="0"/>
        <w:spacing w:line="480" w:lineRule="auto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br w:type="page"/>
      </w:r>
    </w:p>
    <w:p w14:paraId="212B3887" w14:textId="77777777" w:rsidR="00CE7574" w:rsidRPr="008F72BC" w:rsidRDefault="00584AF9">
      <w:pPr>
        <w:jc w:val="left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Fonts w:cs="Times New Roman"/>
          <w:color w:val="000000"/>
          <w:spacing w:val="1"/>
        </w:rPr>
        <w:lastRenderedPageBreak/>
        <w:t>Bold: Indicates the option with the highest response volume</w:t>
      </w: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 xml:space="preserve"> </w:t>
      </w:r>
      <w:r w:rsidR="00CE7574"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br w:type="page"/>
      </w:r>
    </w:p>
    <w:p w14:paraId="12245E20" w14:textId="77777777" w:rsidR="00CE7574" w:rsidRPr="008F72BC" w:rsidRDefault="00CE7574" w:rsidP="00CE7574">
      <w:pPr>
        <w:adjustRightInd w:val="0"/>
        <w:snapToGrid w:val="0"/>
        <w:spacing w:line="480" w:lineRule="auto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lastRenderedPageBreak/>
        <w:t>Table S2. Attitude dimension of the participants.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6"/>
        <w:gridCol w:w="1435"/>
        <w:gridCol w:w="1435"/>
        <w:gridCol w:w="1435"/>
        <w:gridCol w:w="1435"/>
        <w:gridCol w:w="1432"/>
      </w:tblGrid>
      <w:tr w:rsidR="00CE7574" w:rsidRPr="008F72BC" w14:paraId="51039BE0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A54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F67D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 xml:space="preserve">a. strongly </w:t>
            </w:r>
            <w:proofErr w:type="gramStart"/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agree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341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 xml:space="preserve">b. </w:t>
            </w:r>
            <w:proofErr w:type="gramStart"/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agree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A658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c. neutral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3DD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 xml:space="preserve">d. </w:t>
            </w:r>
            <w:proofErr w:type="gramStart"/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disagree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12BA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 xml:space="preserve">e. strongly </w:t>
            </w:r>
            <w:proofErr w:type="gramStart"/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disagree</w:t>
            </w:r>
            <w:proofErr w:type="gramEnd"/>
          </w:p>
        </w:tc>
      </w:tr>
      <w:tr w:rsidR="00CE7574" w:rsidRPr="008F72BC" w14:paraId="2CB664D7" w14:textId="77777777" w:rsidTr="00584AF9">
        <w:trPr>
          <w:trHeight w:val="145"/>
          <w:jc w:val="center"/>
        </w:trPr>
        <w:tc>
          <w:tcPr>
            <w:tcW w:w="2431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7FB8D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bookmarkStart w:id="0" w:name="_Hlk153212977"/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A1. Monitoring blood glucose at home is a crucial component of self-management for individuals with diabetes.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E3E3F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241(48.9)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ADEB0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203(41.2)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1E330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29(5.9)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9851F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14(2.8)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8D099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6(1.2)</w:t>
            </w:r>
          </w:p>
        </w:tc>
      </w:tr>
      <w:tr w:rsidR="00CE7574" w:rsidRPr="008F72BC" w14:paraId="37966F0C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47444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A2. Effective blood glucose monitoring can reduce the risk of diabetes complications.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1420A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253(51.3)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35890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189(38.3)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D77E2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37(7.5)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0F947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10(2.0)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C0054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4(0.8)</w:t>
            </w:r>
          </w:p>
        </w:tc>
      </w:tr>
      <w:tr w:rsidR="00CE7574" w:rsidRPr="008F72BC" w14:paraId="6EEBBBE5" w14:textId="77777777" w:rsidTr="00584AF9">
        <w:trPr>
          <w:trHeight w:val="145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2EF06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A3. Efficient blood glucose monitoring can prevent risks associated with low or high blood sugar, such as acute cardiovascular diseases or accidental injuries.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CA9A55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230(46.7)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8F77B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206(41.8)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F049D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39(7.9)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4ED82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15(3.0)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C7895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3(0.6)</w:t>
            </w:r>
          </w:p>
        </w:tc>
      </w:tr>
      <w:tr w:rsidR="00CE7574" w:rsidRPr="008F72BC" w14:paraId="166BF181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94275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A4. Blood glucose monitoring can assist doctors in accurately understanding my medical condition.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B71FA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236(47.9)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45659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198(40.2)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562BB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33(6.7)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D8D71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16(3.2)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C14B2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10(2.0)</w:t>
            </w:r>
          </w:p>
        </w:tc>
      </w:tr>
      <w:tr w:rsidR="00CE7574" w:rsidRPr="008F72BC" w14:paraId="4B722CCA" w14:textId="77777777" w:rsidTr="00584AF9">
        <w:trPr>
          <w:trHeight w:val="145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1CA466" w14:textId="77777777" w:rsidR="00CE7574" w:rsidRPr="008F72BC" w:rsidRDefault="00CE7574" w:rsidP="00BD59CF">
            <w:pPr>
              <w:widowControl/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lastRenderedPageBreak/>
              <w:t>A5. Blood glucose monitoring serves as a significant basis for adjusting diet, exercise, and medication treatments for individuals with diabetes.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DBC24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244(49.5)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B92D35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195(39.6)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08170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34(6.9)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6954E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13(2.6)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EAA2B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7(1.4)</w:t>
            </w:r>
          </w:p>
        </w:tc>
      </w:tr>
      <w:tr w:rsidR="00CE7574" w:rsidRPr="008F72BC" w14:paraId="4E96619C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2D0C15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A6. Compared to traditional monitoring methods, Continuous Glucose Monitoring (CGM) systems are more helpful for patients in understanding their blood glucose patterns.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35858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223(45.2)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4F73B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207(42.0)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1702C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45(9.1)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D186B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15(3.0)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2939A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3(0.6)</w:t>
            </w:r>
          </w:p>
        </w:tc>
      </w:tr>
      <w:tr w:rsidR="00CE7574" w:rsidRPr="008F72BC" w14:paraId="4511B92D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2B8D9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A7. The extensive data generated by CGM systems greatly facilitate a comprehensive assessment of the quality of blood glucose control in individuals with diabetes.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E4A81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215(43.6)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121F8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206(41.8)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5134E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51(10.3)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680D4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15(3.0)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D1A0C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6(1.2)</w:t>
            </w:r>
          </w:p>
        </w:tc>
      </w:tr>
      <w:tr w:rsidR="00CE7574" w:rsidRPr="008F72BC" w14:paraId="56E684A6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F9C6B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A8. Effective data from CGM systems, when compared to traditional monitoring methods, can be utilized to better guide treatment plans.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4A473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209(42.4)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9B84F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209(42.4)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48CC19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58(11.8)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CAC92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14(2.8)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93B07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3(0.6)</w:t>
            </w:r>
          </w:p>
        </w:tc>
      </w:tr>
      <w:tr w:rsidR="00CE7574" w:rsidRPr="008F72BC" w14:paraId="257A7446" w14:textId="77777777" w:rsidTr="00584AF9">
        <w:trPr>
          <w:trHeight w:val="284"/>
          <w:jc w:val="center"/>
        </w:trPr>
        <w:tc>
          <w:tcPr>
            <w:tcW w:w="2431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BBAF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A9. I am willing to use a Continuous Glucose Monitoring (CGM) system. (Open-ended question without assigned scores.)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01CF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215(43.6)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5543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205(41.6)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D1CF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47(9.5)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E3A0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19(3.9)</w:t>
            </w:r>
          </w:p>
        </w:tc>
        <w:tc>
          <w:tcPr>
            <w:tcW w:w="513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40A4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7(1.4)</w:t>
            </w:r>
          </w:p>
        </w:tc>
      </w:tr>
    </w:tbl>
    <w:bookmarkEnd w:id="0"/>
    <w:p w14:paraId="65CB634A" w14:textId="77777777" w:rsidR="00584AF9" w:rsidRPr="008F72BC" w:rsidRDefault="00584AF9" w:rsidP="00584AF9">
      <w:pPr>
        <w:jc w:val="left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Fonts w:cs="Times New Roman"/>
          <w:color w:val="000000"/>
          <w:spacing w:val="1"/>
        </w:rPr>
        <w:t>Bold: Indicates the option with the highest response volume</w:t>
      </w: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 xml:space="preserve"> </w:t>
      </w: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br w:type="page"/>
      </w:r>
    </w:p>
    <w:p w14:paraId="46AD011F" w14:textId="327CC01B" w:rsidR="00CE7574" w:rsidRPr="008F72BC" w:rsidRDefault="00CE7574" w:rsidP="00CE7574">
      <w:pPr>
        <w:adjustRightInd w:val="0"/>
        <w:snapToGrid w:val="0"/>
        <w:spacing w:line="480" w:lineRule="auto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</w:p>
    <w:p w14:paraId="7610EA09" w14:textId="77777777" w:rsidR="00CE7574" w:rsidRPr="008F72BC" w:rsidRDefault="00CE7574" w:rsidP="00CE7574">
      <w:pPr>
        <w:adjustRightInd w:val="0"/>
        <w:snapToGrid w:val="0"/>
        <w:spacing w:line="480" w:lineRule="auto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 xml:space="preserve">Table S3. Practice </w:t>
      </w:r>
      <w:proofErr w:type="gramStart"/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>dimension</w:t>
      </w:r>
      <w:proofErr w:type="gramEnd"/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 xml:space="preserve"> of the participants.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0"/>
        <w:gridCol w:w="1156"/>
        <w:gridCol w:w="1156"/>
        <w:gridCol w:w="1449"/>
        <w:gridCol w:w="1457"/>
        <w:gridCol w:w="1080"/>
      </w:tblGrid>
      <w:tr w:rsidR="00CE7574" w:rsidRPr="008F72BC" w14:paraId="7226137B" w14:textId="77777777" w:rsidTr="00584AF9">
        <w:trPr>
          <w:trHeight w:val="284"/>
          <w:jc w:val="center"/>
        </w:trPr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F4B1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F7EF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a. always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61DD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b. often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079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c.sometimes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E5F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 xml:space="preserve">d. occasionally 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43FF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e. never</w:t>
            </w:r>
          </w:p>
        </w:tc>
      </w:tr>
      <w:tr w:rsidR="00CE7574" w:rsidRPr="008F72BC" w14:paraId="0818AB04" w14:textId="77777777" w:rsidTr="00584AF9">
        <w:trPr>
          <w:trHeight w:val="145"/>
          <w:jc w:val="center"/>
        </w:trPr>
        <w:tc>
          <w:tcPr>
            <w:tcW w:w="27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65D7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P1. I can monitor my blood glucose according to the frequency recommended by the doctor.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0A1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184(37.3)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B5A1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193(39.1)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E58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79(16.0)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3BA4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35(7.1)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E91B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2(0.4)</w:t>
            </w:r>
          </w:p>
        </w:tc>
      </w:tr>
      <w:tr w:rsidR="00CE7574" w:rsidRPr="008F72BC" w14:paraId="6C886E44" w14:textId="77777777" w:rsidTr="00584AF9">
        <w:trPr>
          <w:trHeight w:val="284"/>
          <w:jc w:val="center"/>
        </w:trPr>
        <w:tc>
          <w:tcPr>
            <w:tcW w:w="2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57F4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P2. During blood glucose monitoring, I will diligently record events such as diet, exercise, and treatment.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F9C5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171(34.7)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B88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177(35.9)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D1B9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84(17.0)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3B5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53(10.8)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CD5F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8(1.6)</w:t>
            </w:r>
          </w:p>
        </w:tc>
      </w:tr>
      <w:tr w:rsidR="00CE7574" w:rsidRPr="008F72BC" w14:paraId="39140CF8" w14:textId="77777777" w:rsidTr="00584AF9">
        <w:trPr>
          <w:trHeight w:val="145"/>
          <w:jc w:val="center"/>
        </w:trPr>
        <w:tc>
          <w:tcPr>
            <w:tcW w:w="2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B203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P3. I will analyze blood glucose monitoring results to identify the causes of blood glucose fluctuations.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08F9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171(34.7)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25081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159(32.3)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72FD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89(18.1)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42AA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66(13.4)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5C5DA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8(1.6)</w:t>
            </w:r>
          </w:p>
        </w:tc>
      </w:tr>
      <w:tr w:rsidR="00CE7574" w:rsidRPr="008F72BC" w14:paraId="39C657BA" w14:textId="77777777" w:rsidTr="00584AF9">
        <w:trPr>
          <w:trHeight w:val="284"/>
          <w:jc w:val="center"/>
        </w:trPr>
        <w:tc>
          <w:tcPr>
            <w:tcW w:w="2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2589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P4. I will adjust my diet or exercise based on the results of blood glucose monitoring.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D722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166(33.7)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1C93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178(36.1)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21F79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76(15.4)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3786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66(13.4)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5165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7(1.4)</w:t>
            </w:r>
          </w:p>
        </w:tc>
      </w:tr>
      <w:tr w:rsidR="00CE7574" w:rsidRPr="008F72BC" w14:paraId="025C1141" w14:textId="77777777" w:rsidTr="00584AF9">
        <w:trPr>
          <w:trHeight w:val="145"/>
          <w:jc w:val="center"/>
        </w:trPr>
        <w:tc>
          <w:tcPr>
            <w:tcW w:w="2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051D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b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color w:val="000000"/>
                <w:sz w:val="24"/>
                <w:szCs w:val="24"/>
              </w:rPr>
              <w:t>P5. I will assist the doctor in adjusting the antidiabetic treatment plan based on the results of blood glucose monitoring.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1563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b/>
                <w:bCs/>
                <w:color w:val="000000"/>
                <w:sz w:val="24"/>
                <w:szCs w:val="24"/>
              </w:rPr>
              <w:t>192(38.9)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54808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175(35.5)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942C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68(13.8)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2DCE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52(10.5)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0536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/>
                <w:color w:val="000000"/>
                <w:sz w:val="24"/>
                <w:szCs w:val="24"/>
              </w:rPr>
            </w:pPr>
            <w:r w:rsidRPr="008F72BC">
              <w:rPr>
                <w:rFonts w:eastAsia="Microsoft YaHei"/>
                <w:color w:val="000000"/>
                <w:sz w:val="24"/>
                <w:szCs w:val="24"/>
              </w:rPr>
              <w:t>6(1.2)</w:t>
            </w:r>
          </w:p>
        </w:tc>
      </w:tr>
    </w:tbl>
    <w:p w14:paraId="210E89B6" w14:textId="77777777" w:rsidR="00584AF9" w:rsidRPr="008F72BC" w:rsidRDefault="00584AF9" w:rsidP="00584AF9">
      <w:pPr>
        <w:jc w:val="left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Fonts w:cs="Times New Roman"/>
          <w:color w:val="000000"/>
          <w:spacing w:val="1"/>
        </w:rPr>
        <w:t>Bold: Indicates the option with the highest response volume</w:t>
      </w: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t xml:space="preserve"> </w:t>
      </w: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br w:type="page"/>
      </w:r>
    </w:p>
    <w:p w14:paraId="4A4A8B32" w14:textId="77777777" w:rsidR="00CE7574" w:rsidRPr="008F72BC" w:rsidRDefault="00CE7574" w:rsidP="00CE7574">
      <w:pPr>
        <w:adjustRightInd w:val="0"/>
        <w:snapToGrid w:val="0"/>
        <w:spacing w:line="480" w:lineRule="auto"/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</w:pPr>
      <w:r w:rsidRPr="008F72BC">
        <w:rPr>
          <w:rStyle w:val="Heading1Char"/>
          <w:rFonts w:eastAsia="Microsoft YaHei" w:cs="Times New Roman"/>
          <w:color w:val="000000"/>
          <w:kern w:val="32"/>
          <w:sz w:val="24"/>
          <w:szCs w:val="24"/>
        </w:rPr>
        <w:lastRenderedPageBreak/>
        <w:t>Table S4 The Fit Indices of the Structural Equation Model (SEM) Before and After Model Adjustment.</w:t>
      </w: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437"/>
        <w:gridCol w:w="3054"/>
        <w:gridCol w:w="3054"/>
        <w:gridCol w:w="2602"/>
      </w:tblGrid>
      <w:tr w:rsidR="00CE7574" w:rsidRPr="008F72BC" w14:paraId="659F4BFC" w14:textId="77777777" w:rsidTr="00BD59CF">
        <w:trPr>
          <w:trHeight w:val="270"/>
        </w:trPr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AC88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Indicator 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C4C0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Ideal standard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C44C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Acceptable standard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BF7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Before adjustment model (model 1)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CDF4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Adjusted model (model 2)</w:t>
            </w:r>
          </w:p>
        </w:tc>
      </w:tr>
      <w:tr w:rsidR="00CE7574" w:rsidRPr="008F72BC" w14:paraId="26F85B44" w14:textId="77777777" w:rsidTr="00BD59CF">
        <w:trPr>
          <w:trHeight w:val="270"/>
        </w:trPr>
        <w:tc>
          <w:tcPr>
            <w:tcW w:w="10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2F989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CMIN/DF value</w:t>
            </w:r>
          </w:p>
        </w:tc>
        <w:tc>
          <w:tcPr>
            <w:tcW w:w="8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BC15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＜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4951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＜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7C069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3.356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14:paraId="73CD530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2.164</w:t>
            </w:r>
          </w:p>
        </w:tc>
      </w:tr>
      <w:tr w:rsidR="00CE7574" w:rsidRPr="008F72BC" w14:paraId="6A53E9FB" w14:textId="77777777" w:rsidTr="00BD59CF">
        <w:trPr>
          <w:trHeight w:val="270"/>
        </w:trPr>
        <w:tc>
          <w:tcPr>
            <w:tcW w:w="1007" w:type="pct"/>
            <w:shd w:val="clear" w:color="auto" w:fill="auto"/>
            <w:vAlign w:val="center"/>
          </w:tcPr>
          <w:p w14:paraId="20D1FA1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RMSEA value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273717C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＜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1D57FEF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＜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0.07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699BE27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0.069</w:t>
            </w:r>
          </w:p>
        </w:tc>
        <w:tc>
          <w:tcPr>
            <w:tcW w:w="932" w:type="pct"/>
            <w:vAlign w:val="center"/>
          </w:tcPr>
          <w:p w14:paraId="1320BF3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CE7574" w:rsidRPr="008F72BC" w14:paraId="7D48BC2F" w14:textId="77777777" w:rsidTr="00BD59CF">
        <w:trPr>
          <w:trHeight w:val="270"/>
        </w:trPr>
        <w:tc>
          <w:tcPr>
            <w:tcW w:w="1007" w:type="pct"/>
            <w:tcBorders>
              <w:bottom w:val="nil"/>
            </w:tcBorders>
            <w:shd w:val="clear" w:color="auto" w:fill="auto"/>
            <w:vAlign w:val="center"/>
          </w:tcPr>
          <w:p w14:paraId="304435F3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GFI value</w:t>
            </w:r>
          </w:p>
        </w:tc>
        <w:tc>
          <w:tcPr>
            <w:tcW w:w="873" w:type="pct"/>
            <w:tcBorders>
              <w:bottom w:val="nil"/>
            </w:tcBorders>
            <w:shd w:val="clear" w:color="auto" w:fill="auto"/>
            <w:vAlign w:val="center"/>
          </w:tcPr>
          <w:p w14:paraId="43D6771B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＞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0.9</w:t>
            </w:r>
          </w:p>
        </w:tc>
        <w:tc>
          <w:tcPr>
            <w:tcW w:w="1094" w:type="pct"/>
            <w:tcBorders>
              <w:bottom w:val="nil"/>
            </w:tcBorders>
            <w:shd w:val="clear" w:color="auto" w:fill="auto"/>
            <w:vAlign w:val="center"/>
          </w:tcPr>
          <w:p w14:paraId="15A419C2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＞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0.8</w:t>
            </w:r>
          </w:p>
        </w:tc>
        <w:tc>
          <w:tcPr>
            <w:tcW w:w="1094" w:type="pct"/>
            <w:tcBorders>
              <w:bottom w:val="nil"/>
            </w:tcBorders>
            <w:shd w:val="clear" w:color="auto" w:fill="auto"/>
            <w:vAlign w:val="center"/>
          </w:tcPr>
          <w:p w14:paraId="537CDDE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0.852</w:t>
            </w:r>
          </w:p>
        </w:tc>
        <w:tc>
          <w:tcPr>
            <w:tcW w:w="932" w:type="pct"/>
            <w:tcBorders>
              <w:bottom w:val="nil"/>
            </w:tcBorders>
            <w:vAlign w:val="center"/>
          </w:tcPr>
          <w:p w14:paraId="7858AF44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0.911</w:t>
            </w:r>
          </w:p>
        </w:tc>
      </w:tr>
      <w:tr w:rsidR="00CE7574" w:rsidRPr="008F72BC" w14:paraId="2FEA315D" w14:textId="77777777" w:rsidTr="00BD59CF">
        <w:trPr>
          <w:trHeight w:val="270"/>
        </w:trPr>
        <w:tc>
          <w:tcPr>
            <w:tcW w:w="100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685A45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b/>
                <w:bCs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AGFI value</w:t>
            </w:r>
          </w:p>
        </w:tc>
        <w:tc>
          <w:tcPr>
            <w:tcW w:w="8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5C0B5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textAlignment w:val="center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＞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0.9</w:t>
            </w:r>
          </w:p>
        </w:tc>
        <w:tc>
          <w:tcPr>
            <w:tcW w:w="10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2CEA1E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＞</w:t>
            </w:r>
            <w:r w:rsidRPr="008F72BC">
              <w:rPr>
                <w:rFonts w:eastAsia="Microsoft YaHei" w:cs="Times New Roman"/>
                <w:color w:val="000000"/>
                <w:kern w:val="0"/>
                <w:sz w:val="24"/>
                <w:szCs w:val="24"/>
                <w:lang w:bidi="ar"/>
              </w:rPr>
              <w:t>0.8</w:t>
            </w:r>
          </w:p>
        </w:tc>
        <w:tc>
          <w:tcPr>
            <w:tcW w:w="10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1E59FD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0.825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</w:tcBorders>
            <w:vAlign w:val="center"/>
          </w:tcPr>
          <w:p w14:paraId="3B6F17A0" w14:textId="77777777" w:rsidR="00CE7574" w:rsidRPr="008F72BC" w:rsidRDefault="00CE7574" w:rsidP="00BD59CF">
            <w:pPr>
              <w:adjustRightInd w:val="0"/>
              <w:snapToGrid w:val="0"/>
              <w:spacing w:line="48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8F72BC">
              <w:rPr>
                <w:rFonts w:eastAsia="Microsoft YaHei" w:cs="Times New Roman"/>
                <w:color w:val="000000"/>
                <w:sz w:val="24"/>
                <w:szCs w:val="24"/>
              </w:rPr>
              <w:t>0.889</w:t>
            </w:r>
          </w:p>
        </w:tc>
      </w:tr>
    </w:tbl>
    <w:p w14:paraId="46748744" w14:textId="77777777" w:rsidR="00840B62" w:rsidRPr="008F72BC" w:rsidRDefault="00840B62">
      <w:pPr>
        <w:rPr>
          <w:color w:val="000000"/>
        </w:rPr>
      </w:pPr>
    </w:p>
    <w:sectPr w:rsidR="00840B62" w:rsidRPr="008F72BC" w:rsidSect="00CE7574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40B65" w14:textId="77777777" w:rsidR="00D7219D" w:rsidRDefault="00D7219D" w:rsidP="00132513">
      <w:r>
        <w:separator/>
      </w:r>
    </w:p>
  </w:endnote>
  <w:endnote w:type="continuationSeparator" w:id="0">
    <w:p w14:paraId="06608C80" w14:textId="77777777" w:rsidR="00D7219D" w:rsidRDefault="00D7219D" w:rsidP="001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C72B" w14:textId="61A0C995" w:rsidR="008F72BC" w:rsidRDefault="008F72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23450" wp14:editId="7537F7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65686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F9E19" w14:textId="7550EECF" w:rsidR="008F72BC" w:rsidRPr="008F72BC" w:rsidRDefault="008F72BC" w:rsidP="008F72B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72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234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DAF9E19" w14:textId="7550EECF" w:rsidR="008F72BC" w:rsidRPr="008F72BC" w:rsidRDefault="008F72BC" w:rsidP="008F72B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72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5DD51" w14:textId="536FA734" w:rsidR="008F72BC" w:rsidRDefault="008F72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E6681" wp14:editId="3AD02B40">
              <wp:simplePos x="914400" y="680313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968352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4DFA2" w14:textId="01E43753" w:rsidR="008F72BC" w:rsidRPr="008F72BC" w:rsidRDefault="008F72BC" w:rsidP="008F72B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72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E66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D64DFA2" w14:textId="01E43753" w:rsidR="008F72BC" w:rsidRPr="008F72BC" w:rsidRDefault="008F72BC" w:rsidP="008F72B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72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D41E" w14:textId="087D6537" w:rsidR="008F72BC" w:rsidRDefault="008F72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A0B483" wp14:editId="34282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149334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250C0" w14:textId="6060C325" w:rsidR="008F72BC" w:rsidRPr="008F72BC" w:rsidRDefault="008F72BC" w:rsidP="008F72B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72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0B4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8250C0" w14:textId="6060C325" w:rsidR="008F72BC" w:rsidRPr="008F72BC" w:rsidRDefault="008F72BC" w:rsidP="008F72B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72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502E5" w14:textId="77777777" w:rsidR="00D7219D" w:rsidRDefault="00D7219D" w:rsidP="00132513">
      <w:r>
        <w:separator/>
      </w:r>
    </w:p>
  </w:footnote>
  <w:footnote w:type="continuationSeparator" w:id="0">
    <w:p w14:paraId="2760CFF6" w14:textId="77777777" w:rsidR="00D7219D" w:rsidRDefault="00D7219D" w:rsidP="0013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74"/>
    <w:rsid w:val="00026E46"/>
    <w:rsid w:val="00132513"/>
    <w:rsid w:val="00584AF9"/>
    <w:rsid w:val="00637F5F"/>
    <w:rsid w:val="006B4BFD"/>
    <w:rsid w:val="006C14D9"/>
    <w:rsid w:val="00840B62"/>
    <w:rsid w:val="008B63EC"/>
    <w:rsid w:val="008F72BC"/>
    <w:rsid w:val="00A55D79"/>
    <w:rsid w:val="00B23D3D"/>
    <w:rsid w:val="00CE7574"/>
    <w:rsid w:val="00D7219D"/>
    <w:rsid w:val="00F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0F09"/>
  <w15:chartTrackingRefBased/>
  <w15:docId w15:val="{BD7CEDDB-EBC2-4666-ABEB-4E8C40A9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74"/>
    <w:pPr>
      <w:jc w:val="both"/>
    </w:pPr>
    <w:rPr>
      <w:rFonts w:ascii="Times New Roman" w:eastAsia="SimSun" w:hAnsi="Times New Roman"/>
    </w:rPr>
  </w:style>
  <w:style w:type="paragraph" w:styleId="Heading1">
    <w:name w:val="heading 1"/>
    <w:basedOn w:val="Normal"/>
    <w:next w:val="Normal"/>
    <w:link w:val="Heading1Char"/>
    <w:qFormat/>
    <w:rsid w:val="00CE7574"/>
    <w:pPr>
      <w:keepNext/>
      <w:keepLines/>
      <w:spacing w:before="340" w:after="330" w:line="578" w:lineRule="auto"/>
      <w:ind w:firstLine="414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E7574"/>
    <w:rPr>
      <w:b/>
      <w:bCs/>
      <w:kern w:val="44"/>
      <w:sz w:val="44"/>
      <w:szCs w:val="44"/>
    </w:rPr>
  </w:style>
  <w:style w:type="table" w:styleId="TableGrid">
    <w:name w:val="Table Grid"/>
    <w:basedOn w:val="TableNormal"/>
    <w:uiPriority w:val="39"/>
    <w:qFormat/>
    <w:rsid w:val="00CE7574"/>
    <w:pPr>
      <w:widowControl w:val="0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2513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2513"/>
    <w:rPr>
      <w:rFonts w:ascii="Times New Roman" w:eastAsia="SimSun" w:hAnsi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A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F9"/>
    <w:rPr>
      <w:rFonts w:ascii="Times New Roman" w:eastAsia="SimSu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8F72BC"/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923</Words>
  <Characters>5263</Characters>
  <Application>Microsoft Office Word</Application>
  <DocSecurity>0</DocSecurity>
  <Lines>43</Lines>
  <Paragraphs>12</Paragraphs>
  <ScaleCrop>false</ScaleCrop>
  <Company>Microsoft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WDN</dc:creator>
  <cp:keywords/>
  <dc:description/>
  <cp:lastModifiedBy>Nicholson, Tamara</cp:lastModifiedBy>
  <cp:revision>2</cp:revision>
  <dcterms:created xsi:type="dcterms:W3CDTF">2024-12-04T20:02:00Z</dcterms:created>
  <dcterms:modified xsi:type="dcterms:W3CDTF">2024-12-04T20:02:00Z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722390d3,5e911da3,6b1987a8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2024-12-04T20:01:54Z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de99ccc2-b27b-4a35-b0dd-e6683ef1f8e2</vt:lpwstr>
  </property>
  <property fmtid="{D5CDD505-2E9C-101B-9397-08002B2CF9AE}" pid="11" name="MSIP_Label_2bbab825-a111-45e4-86a1-18cee0005896_ContentBits">
    <vt:lpwstr>2</vt:lpwstr>
  </property>
</Properties>
</file>