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58868">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b/>
          <w:bCs/>
          <w:spacing w:val="8"/>
          <w:sz w:val="21"/>
          <w:szCs w:val="21"/>
          <w:lang w:val="en-US" w:eastAsia="zh-CN"/>
        </w:rPr>
      </w:pPr>
      <w:r>
        <w:rPr>
          <w:rFonts w:hint="eastAsia" w:ascii="Times New Roman" w:hAnsi="Times New Roman"/>
          <w:b/>
          <w:bCs/>
          <w:spacing w:val="8"/>
          <w:sz w:val="21"/>
          <w:szCs w:val="21"/>
          <w:lang w:val="en-US"/>
        </w:rPr>
        <w:t>Supplementary M</w:t>
      </w:r>
      <w:r>
        <w:rPr>
          <w:rFonts w:hint="eastAsia" w:ascii="Times New Roman" w:hAnsi="Times New Roman" w:eastAsia="宋体"/>
          <w:b/>
          <w:bCs/>
          <w:spacing w:val="8"/>
          <w:sz w:val="21"/>
          <w:szCs w:val="21"/>
          <w:lang w:val="en-US" w:eastAsia="zh-CN"/>
        </w:rPr>
        <w:t>aterial</w:t>
      </w:r>
    </w:p>
    <w:p w14:paraId="3CA8C371">
      <w:pPr>
        <w:rPr>
          <w:b/>
          <w:bCs/>
          <w:sz w:val="22"/>
          <w:szCs w:val="22"/>
          <w:lang w:val="en-US"/>
        </w:rPr>
      </w:pPr>
    </w:p>
    <w:p w14:paraId="498F28C8">
      <w:pPr>
        <w:rPr>
          <w:rFonts w:asciiTheme="minorHAnsi" w:hAnsiTheme="minorHAnsi" w:eastAsiaTheme="minorHAnsi" w:cstheme="minorBidi"/>
          <w:sz w:val="24"/>
          <w:szCs w:val="24"/>
          <w:lang w:val="en-US" w:eastAsia="en-US" w:bidi="ar-SA"/>
        </w:rPr>
      </w:pPr>
    </w:p>
    <w:p w14:paraId="1F8DC724">
      <w:pPr>
        <w:keepNext w:val="0"/>
        <w:keepLines w:val="0"/>
        <w:pageBreakBefore w:val="0"/>
        <w:widowControl/>
        <w:kinsoku/>
        <w:wordWrap/>
        <w:overflowPunct/>
        <w:topLinePunct w:val="0"/>
        <w:autoSpaceDE/>
        <w:autoSpaceDN/>
        <w:bidi w:val="0"/>
        <w:adjustRightInd/>
        <w:snapToGrid/>
        <w:spacing w:line="480" w:lineRule="auto"/>
        <w:ind w:firstLine="678" w:firstLineChars="300"/>
        <w:jc w:val="left"/>
        <w:textAlignment w:val="auto"/>
        <w:rPr>
          <w:rFonts w:hint="eastAsia" w:ascii="Times New Roman" w:hAnsi="Times New Roman"/>
          <w:b/>
          <w:bCs/>
          <w:spacing w:val="8"/>
          <w:sz w:val="21"/>
          <w:szCs w:val="21"/>
          <w:lang w:val="en-US"/>
        </w:rPr>
      </w:pPr>
      <w:r>
        <w:rPr>
          <w:rFonts w:hint="eastAsia" w:ascii="Times New Roman" w:hAnsi="Times New Roman"/>
          <w:b/>
          <w:bCs/>
          <w:spacing w:val="8"/>
          <w:sz w:val="21"/>
          <w:szCs w:val="21"/>
          <w:lang w:val="en-US"/>
        </w:rPr>
        <w:t>Supplementary Tables</w:t>
      </w:r>
    </w:p>
    <w:p w14:paraId="3C34E261">
      <w:pPr>
        <w:keepNext w:val="0"/>
        <w:keepLines w:val="0"/>
        <w:pageBreakBefore w:val="0"/>
        <w:widowControl/>
        <w:kinsoku/>
        <w:wordWrap/>
        <w:overflowPunct/>
        <w:topLinePunct w:val="0"/>
        <w:autoSpaceDE/>
        <w:autoSpaceDN/>
        <w:bidi w:val="0"/>
        <w:adjustRightInd/>
        <w:snapToGrid/>
        <w:spacing w:line="480" w:lineRule="auto"/>
        <w:ind w:firstLine="678" w:firstLineChars="300"/>
        <w:jc w:val="left"/>
        <w:textAlignment w:val="auto"/>
        <w:rPr>
          <w:rFonts w:hint="default" w:ascii="Times New Roman" w:hAnsi="Times New Roman"/>
          <w:b/>
          <w:bCs/>
          <w:spacing w:val="8"/>
          <w:sz w:val="21"/>
          <w:szCs w:val="21"/>
          <w:lang w:val="en-US" w:eastAsia="zh-CN"/>
        </w:rPr>
      </w:pPr>
    </w:p>
    <w:p w14:paraId="56DBB97F">
      <w:pPr>
        <w:widowControl/>
        <w:ind w:firstLine="630" w:firstLineChars="300"/>
        <w:jc w:val="left"/>
        <w:rPr>
          <w:rFonts w:ascii="Times New Roman" w:hAnsi="Times New Roman" w:cs="Times New Roman"/>
          <w:color w:val="000000"/>
          <w:sz w:val="21"/>
          <w:szCs w:val="21"/>
        </w:rPr>
      </w:pPr>
      <w:r>
        <w:rPr>
          <w:rFonts w:hint="eastAsia" w:ascii="Times New Roman" w:hAnsi="Times New Roman" w:cs="Times New Roman"/>
          <w:color w:val="000000"/>
          <w:sz w:val="21"/>
          <w:szCs w:val="21"/>
        </w:rPr>
        <w:t xml:space="preserve">Table </w:t>
      </w:r>
      <w:r>
        <w:rPr>
          <w:rFonts w:hint="eastAsia" w:ascii="Times New Roman" w:hAnsi="Times New Roman" w:cs="Times New Roman"/>
          <w:color w:val="000000"/>
          <w:sz w:val="21"/>
          <w:szCs w:val="21"/>
          <w:lang w:val="en-US" w:eastAsia="zh-CN"/>
        </w:rPr>
        <w:t>S</w:t>
      </w:r>
      <w:r>
        <w:rPr>
          <w:rFonts w:hint="eastAsia" w:ascii="Times New Roman" w:hAnsi="Times New Roman" w:cs="Times New Roman"/>
          <w:color w:val="000000"/>
          <w:sz w:val="21"/>
          <w:szCs w:val="21"/>
        </w:rPr>
        <w:t>1. Demographic and clinical characteristics of patients in each cohort</w:t>
      </w:r>
    </w:p>
    <w:tbl>
      <w:tblPr>
        <w:tblStyle w:val="8"/>
        <w:tblW w:w="8040" w:type="dxa"/>
        <w:jc w:val="center"/>
        <w:tblLayout w:type="fixed"/>
        <w:tblCellMar>
          <w:top w:w="0" w:type="dxa"/>
          <w:left w:w="0" w:type="dxa"/>
          <w:bottom w:w="0" w:type="dxa"/>
          <w:right w:w="0" w:type="dxa"/>
        </w:tblCellMar>
      </w:tblPr>
      <w:tblGrid>
        <w:gridCol w:w="1691"/>
        <w:gridCol w:w="1697"/>
        <w:gridCol w:w="1697"/>
        <w:gridCol w:w="1699"/>
        <w:gridCol w:w="1256"/>
      </w:tblGrid>
      <w:tr w14:paraId="2BEF7E5D">
        <w:tblPrEx>
          <w:tblCellMar>
            <w:top w:w="0" w:type="dxa"/>
            <w:left w:w="0" w:type="dxa"/>
            <w:bottom w:w="0" w:type="dxa"/>
            <w:right w:w="0" w:type="dxa"/>
          </w:tblCellMar>
        </w:tblPrEx>
        <w:trPr>
          <w:cantSplit/>
          <w:tblHeader/>
          <w:jc w:val="center"/>
        </w:trPr>
        <w:tc>
          <w:tcPr>
            <w:tcW w:w="1691" w:type="dxa"/>
            <w:tcBorders>
              <w:top w:val="single" w:color="000000" w:sz="6" w:space="0"/>
              <w:left w:val="nil"/>
              <w:bottom w:val="single" w:color="000000" w:sz="6" w:space="0"/>
              <w:right w:val="nil"/>
            </w:tcBorders>
            <w:shd w:val="clear" w:color="auto" w:fill="FFFFFF"/>
            <w:tcMar>
              <w:left w:w="20" w:type="dxa"/>
              <w:right w:w="20" w:type="dxa"/>
            </w:tcMar>
            <w:vAlign w:val="bottom"/>
          </w:tcPr>
          <w:p w14:paraId="413C38B4">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Parameters</w:t>
            </w:r>
          </w:p>
        </w:tc>
        <w:tc>
          <w:tcPr>
            <w:tcW w:w="1697" w:type="dxa"/>
            <w:tcBorders>
              <w:top w:val="single" w:color="000000" w:sz="6" w:space="0"/>
              <w:left w:val="nil"/>
              <w:bottom w:val="single" w:color="000000" w:sz="6" w:space="0"/>
              <w:right w:val="nil"/>
            </w:tcBorders>
            <w:shd w:val="clear" w:color="auto" w:fill="FFFFFF"/>
            <w:tcMar>
              <w:left w:w="20" w:type="dxa"/>
              <w:right w:w="20" w:type="dxa"/>
            </w:tcMar>
            <w:vAlign w:val="bottom"/>
          </w:tcPr>
          <w:p w14:paraId="2C237082">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Total (n=203)</w:t>
            </w:r>
          </w:p>
        </w:tc>
        <w:tc>
          <w:tcPr>
            <w:tcW w:w="1697" w:type="dxa"/>
            <w:tcBorders>
              <w:top w:val="single" w:color="000000" w:sz="6" w:space="0"/>
              <w:left w:val="nil"/>
              <w:bottom w:val="single" w:color="000000" w:sz="6" w:space="0"/>
              <w:right w:val="nil"/>
            </w:tcBorders>
            <w:shd w:val="clear" w:color="auto" w:fill="FFFFFF"/>
            <w:tcMar>
              <w:left w:w="20" w:type="dxa"/>
              <w:right w:w="20" w:type="dxa"/>
            </w:tcMar>
            <w:vAlign w:val="bottom"/>
          </w:tcPr>
          <w:p w14:paraId="6683FD4E">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Training cohort (n=100)</w:t>
            </w:r>
          </w:p>
        </w:tc>
        <w:tc>
          <w:tcPr>
            <w:tcW w:w="1699" w:type="dxa"/>
            <w:tcBorders>
              <w:top w:val="single" w:color="000000" w:sz="6" w:space="0"/>
              <w:left w:val="nil"/>
              <w:bottom w:val="single" w:color="000000" w:sz="6" w:space="0"/>
              <w:right w:val="nil"/>
            </w:tcBorders>
            <w:shd w:val="clear" w:color="auto" w:fill="FFFFFF"/>
            <w:tcMar>
              <w:left w:w="20" w:type="dxa"/>
              <w:right w:w="20" w:type="dxa"/>
            </w:tcMar>
            <w:vAlign w:val="bottom"/>
          </w:tcPr>
          <w:p w14:paraId="6B25FA2C">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Validation cohort (n=103)</w:t>
            </w:r>
          </w:p>
        </w:tc>
        <w:tc>
          <w:tcPr>
            <w:tcW w:w="1256" w:type="dxa"/>
            <w:tcBorders>
              <w:top w:val="single" w:color="000000" w:sz="6" w:space="0"/>
              <w:left w:val="nil"/>
              <w:bottom w:val="single" w:color="000000" w:sz="6" w:space="0"/>
              <w:right w:val="nil"/>
            </w:tcBorders>
            <w:shd w:val="clear" w:color="auto" w:fill="FFFFFF"/>
            <w:tcMar>
              <w:left w:w="20" w:type="dxa"/>
              <w:right w:w="20" w:type="dxa"/>
            </w:tcMar>
            <w:vAlign w:val="bottom"/>
          </w:tcPr>
          <w:p w14:paraId="44552EBE">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i/>
                <w:iCs/>
                <w:color w:val="000000"/>
                <w:sz w:val="18"/>
                <w:szCs w:val="18"/>
              </w:rPr>
              <w:t>P</w:t>
            </w:r>
            <w:r>
              <w:rPr>
                <w:rFonts w:ascii="Times New Roman" w:hAnsi="Times New Roman" w:cs="Times New Roman"/>
                <w:color w:val="000000"/>
                <w:sz w:val="18"/>
                <w:szCs w:val="18"/>
              </w:rPr>
              <w:t>-value</w:t>
            </w:r>
          </w:p>
        </w:tc>
      </w:tr>
      <w:tr w14:paraId="402D628F">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212254C1">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hint="default" w:ascii="Times New Roman" w:hAnsi="Times New Roman" w:cs="Times New Roman" w:eastAsiaTheme="minorEastAsia"/>
                <w:b/>
                <w:bCs/>
                <w:color w:val="000000"/>
                <w:sz w:val="18"/>
                <w:szCs w:val="18"/>
                <w:lang w:val="en-US" w:eastAsia="zh-CN"/>
              </w:rPr>
            </w:pPr>
            <w:r>
              <w:rPr>
                <w:rFonts w:hint="eastAsia" w:ascii="Times New Roman" w:hAnsi="Times New Roman" w:cs="Times New Roman" w:eastAsiaTheme="minorEastAsia"/>
                <w:b/>
                <w:bCs/>
                <w:color w:val="000000"/>
                <w:sz w:val="18"/>
                <w:szCs w:val="18"/>
                <w:lang w:val="en-US" w:eastAsia="zh-CN"/>
              </w:rPr>
              <w:t>Gender</w:t>
            </w:r>
          </w:p>
        </w:tc>
        <w:tc>
          <w:tcPr>
            <w:tcW w:w="1697" w:type="dxa"/>
            <w:tcBorders>
              <w:top w:val="nil"/>
              <w:left w:val="nil"/>
              <w:bottom w:val="nil"/>
              <w:right w:val="nil"/>
            </w:tcBorders>
            <w:shd w:val="clear" w:color="auto" w:fill="FFFFFF"/>
            <w:tcMar>
              <w:left w:w="20" w:type="dxa"/>
              <w:right w:w="20" w:type="dxa"/>
            </w:tcMar>
          </w:tcPr>
          <w:p w14:paraId="233E4E0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hint="default" w:ascii="Times New Roman" w:hAnsi="Times New Roman" w:cs="Times New Roman" w:eastAsiaTheme="minorEastAsia"/>
                <w:color w:val="000000"/>
                <w:sz w:val="18"/>
                <w:szCs w:val="18"/>
                <w:lang w:val="en-US" w:eastAsia="zh-CN"/>
              </w:rPr>
            </w:pPr>
          </w:p>
        </w:tc>
        <w:tc>
          <w:tcPr>
            <w:tcW w:w="1697" w:type="dxa"/>
            <w:tcBorders>
              <w:top w:val="nil"/>
              <w:left w:val="nil"/>
              <w:bottom w:val="nil"/>
              <w:right w:val="nil"/>
            </w:tcBorders>
            <w:shd w:val="clear" w:color="auto" w:fill="FFFFFF"/>
            <w:tcMar>
              <w:left w:w="20" w:type="dxa"/>
              <w:right w:w="20" w:type="dxa"/>
            </w:tcMar>
          </w:tcPr>
          <w:p w14:paraId="7C02434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hint="default" w:ascii="Times New Roman" w:hAnsi="Times New Roman" w:cs="Times New Roman" w:eastAsiaTheme="minorEastAsia"/>
                <w:color w:val="000000"/>
                <w:sz w:val="18"/>
                <w:szCs w:val="18"/>
                <w:lang w:val="en-US" w:eastAsia="zh-CN"/>
              </w:rPr>
            </w:pPr>
          </w:p>
        </w:tc>
        <w:tc>
          <w:tcPr>
            <w:tcW w:w="1699" w:type="dxa"/>
            <w:tcBorders>
              <w:top w:val="nil"/>
              <w:left w:val="nil"/>
              <w:bottom w:val="nil"/>
              <w:right w:val="nil"/>
            </w:tcBorders>
            <w:shd w:val="clear" w:color="auto" w:fill="FFFFFF"/>
            <w:tcMar>
              <w:left w:w="20" w:type="dxa"/>
              <w:right w:w="20" w:type="dxa"/>
            </w:tcMar>
          </w:tcPr>
          <w:p w14:paraId="61E340EA">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hint="default" w:ascii="Times New Roman" w:hAnsi="Times New Roman" w:cs="Times New Roman" w:eastAsiaTheme="minorEastAsia"/>
                <w:color w:val="000000"/>
                <w:sz w:val="18"/>
                <w:szCs w:val="18"/>
                <w:lang w:val="en-US" w:eastAsia="zh-CN"/>
              </w:rPr>
            </w:pPr>
          </w:p>
        </w:tc>
        <w:tc>
          <w:tcPr>
            <w:tcW w:w="1256" w:type="dxa"/>
            <w:tcBorders>
              <w:top w:val="nil"/>
              <w:left w:val="nil"/>
              <w:bottom w:val="nil"/>
              <w:right w:val="nil"/>
            </w:tcBorders>
            <w:shd w:val="clear" w:color="auto" w:fill="FFFFFF"/>
            <w:tcMar>
              <w:left w:w="20" w:type="dxa"/>
              <w:right w:w="20" w:type="dxa"/>
            </w:tcMar>
          </w:tcPr>
          <w:p w14:paraId="32A3C438">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0.448</w:t>
            </w:r>
          </w:p>
        </w:tc>
      </w:tr>
      <w:tr w14:paraId="0CF13BEC">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vAlign w:val="top"/>
          </w:tcPr>
          <w:p w14:paraId="4079D97D">
            <w:pPr>
              <w:adjustRightInd w:val="0"/>
              <w:spacing w:before="20" w:after="20"/>
              <w:ind w:left="72" w:leftChars="0" w:right="72" w:rightChars="0" w:firstLine="180" w:firstLineChars="100"/>
              <w:rPr>
                <w:rFonts w:hint="default" w:ascii="Times New Roman" w:hAnsi="Times New Roman" w:cs="Times New Roman"/>
                <w:b w:val="0"/>
                <w:bCs w:val="0"/>
                <w:color w:val="000000"/>
                <w:sz w:val="18"/>
                <w:szCs w:val="18"/>
                <w:lang w:val="en-US" w:eastAsia="zh-CN"/>
              </w:rPr>
            </w:pPr>
            <w:r>
              <w:rPr>
                <w:rFonts w:ascii="Times New Roman" w:hAnsi="Times New Roman" w:cs="Times New Roman"/>
                <w:color w:val="000000"/>
                <w:sz w:val="18"/>
                <w:szCs w:val="18"/>
              </w:rPr>
              <w:t>Male</w:t>
            </w:r>
          </w:p>
        </w:tc>
        <w:tc>
          <w:tcPr>
            <w:tcW w:w="1697" w:type="dxa"/>
            <w:tcBorders>
              <w:top w:val="nil"/>
              <w:left w:val="nil"/>
              <w:bottom w:val="nil"/>
              <w:right w:val="nil"/>
            </w:tcBorders>
            <w:shd w:val="clear" w:color="auto" w:fill="FFFFFF"/>
            <w:tcMar>
              <w:left w:w="20" w:type="dxa"/>
              <w:right w:w="20" w:type="dxa"/>
            </w:tcMar>
            <w:vAlign w:val="top"/>
          </w:tcPr>
          <w:p w14:paraId="713C1203">
            <w:pPr>
              <w:adjustRightInd w:val="0"/>
              <w:spacing w:before="20" w:after="20"/>
              <w:ind w:left="72" w:leftChars="0" w:right="72" w:rightChars="0"/>
              <w:jc w:val="center"/>
              <w:rPr>
                <w:rFonts w:hint="default" w:ascii="Times New Roman" w:hAnsi="Times New Roman" w:cs="Times New Roman"/>
                <w:color w:val="000000"/>
                <w:sz w:val="18"/>
                <w:szCs w:val="18"/>
                <w:lang w:val="en-US" w:eastAsia="zh-CN"/>
              </w:rPr>
            </w:pPr>
            <w:r>
              <w:rPr>
                <w:rFonts w:ascii="Times New Roman" w:hAnsi="Times New Roman" w:cs="Times New Roman"/>
                <w:color w:val="000000"/>
                <w:sz w:val="18"/>
                <w:szCs w:val="18"/>
              </w:rPr>
              <w:t>177(87.2%)</w:t>
            </w:r>
          </w:p>
        </w:tc>
        <w:tc>
          <w:tcPr>
            <w:tcW w:w="1697" w:type="dxa"/>
            <w:tcBorders>
              <w:top w:val="nil"/>
              <w:left w:val="nil"/>
              <w:bottom w:val="nil"/>
              <w:right w:val="nil"/>
            </w:tcBorders>
            <w:shd w:val="clear" w:color="auto" w:fill="FFFFFF"/>
            <w:tcMar>
              <w:left w:w="20" w:type="dxa"/>
              <w:right w:w="20" w:type="dxa"/>
            </w:tcMar>
            <w:vAlign w:val="top"/>
          </w:tcPr>
          <w:p w14:paraId="73F5BADF">
            <w:pPr>
              <w:adjustRightInd w:val="0"/>
              <w:spacing w:before="20" w:after="20"/>
              <w:ind w:left="72" w:leftChars="0" w:right="72" w:rightChars="0"/>
              <w:jc w:val="center"/>
              <w:rPr>
                <w:rFonts w:hint="default" w:ascii="Times New Roman" w:hAnsi="Times New Roman" w:cs="Times New Roman"/>
                <w:color w:val="000000"/>
                <w:sz w:val="18"/>
                <w:szCs w:val="18"/>
                <w:lang w:val="en-US" w:eastAsia="zh-CN"/>
              </w:rPr>
            </w:pPr>
            <w:r>
              <w:rPr>
                <w:rFonts w:ascii="Times New Roman" w:hAnsi="Times New Roman" w:cs="Times New Roman"/>
                <w:color w:val="000000"/>
                <w:sz w:val="18"/>
                <w:szCs w:val="18"/>
              </w:rPr>
              <w:t>89(89.0%)</w:t>
            </w:r>
          </w:p>
        </w:tc>
        <w:tc>
          <w:tcPr>
            <w:tcW w:w="1699" w:type="dxa"/>
            <w:tcBorders>
              <w:top w:val="nil"/>
              <w:left w:val="nil"/>
              <w:bottom w:val="nil"/>
              <w:right w:val="nil"/>
            </w:tcBorders>
            <w:shd w:val="clear" w:color="auto" w:fill="FFFFFF"/>
            <w:tcMar>
              <w:left w:w="20" w:type="dxa"/>
              <w:right w:w="20" w:type="dxa"/>
            </w:tcMar>
            <w:vAlign w:val="top"/>
          </w:tcPr>
          <w:p w14:paraId="09E71E19">
            <w:pPr>
              <w:adjustRightInd w:val="0"/>
              <w:spacing w:before="20" w:after="20"/>
              <w:ind w:left="72" w:leftChars="0" w:right="72" w:rightChars="0"/>
              <w:jc w:val="center"/>
              <w:rPr>
                <w:rFonts w:hint="default" w:ascii="Times New Roman" w:hAnsi="Times New Roman" w:cs="Times New Roman"/>
                <w:color w:val="000000"/>
                <w:sz w:val="18"/>
                <w:szCs w:val="18"/>
                <w:lang w:val="en-US" w:eastAsia="zh-CN"/>
              </w:rPr>
            </w:pPr>
            <w:r>
              <w:rPr>
                <w:rFonts w:ascii="Times New Roman" w:hAnsi="Times New Roman" w:cs="Times New Roman"/>
                <w:color w:val="000000"/>
                <w:sz w:val="18"/>
                <w:szCs w:val="18"/>
              </w:rPr>
              <w:t>88(85.4%)</w:t>
            </w:r>
          </w:p>
        </w:tc>
        <w:tc>
          <w:tcPr>
            <w:tcW w:w="1256" w:type="dxa"/>
            <w:tcBorders>
              <w:top w:val="nil"/>
              <w:left w:val="nil"/>
              <w:bottom w:val="nil"/>
              <w:right w:val="nil"/>
            </w:tcBorders>
            <w:shd w:val="clear" w:color="auto" w:fill="FFFFFF"/>
            <w:tcMar>
              <w:left w:w="20" w:type="dxa"/>
              <w:right w:w="20" w:type="dxa"/>
            </w:tcMar>
          </w:tcPr>
          <w:p w14:paraId="6D077BCE">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6FF0EF1F">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vAlign w:val="top"/>
          </w:tcPr>
          <w:p w14:paraId="37D9B7DD">
            <w:pPr>
              <w:adjustRightInd w:val="0"/>
              <w:spacing w:before="20" w:after="20"/>
              <w:ind w:left="72" w:leftChars="0" w:right="72" w:rightChars="0" w:firstLine="180" w:firstLineChars="100"/>
              <w:rPr>
                <w:rFonts w:hint="default" w:ascii="Times New Roman" w:hAnsi="Times New Roman" w:cs="Times New Roman"/>
                <w:b w:val="0"/>
                <w:bCs w:val="0"/>
                <w:color w:val="000000"/>
                <w:sz w:val="18"/>
                <w:szCs w:val="18"/>
                <w:lang w:val="en-US" w:eastAsia="zh-CN"/>
              </w:rPr>
            </w:pPr>
            <w:r>
              <w:rPr>
                <w:rFonts w:ascii="Times New Roman" w:hAnsi="Times New Roman" w:cs="Times New Roman"/>
                <w:color w:val="000000"/>
                <w:sz w:val="18"/>
                <w:szCs w:val="18"/>
              </w:rPr>
              <w:t>Female</w:t>
            </w:r>
          </w:p>
        </w:tc>
        <w:tc>
          <w:tcPr>
            <w:tcW w:w="1697" w:type="dxa"/>
            <w:tcBorders>
              <w:top w:val="nil"/>
              <w:left w:val="nil"/>
              <w:bottom w:val="nil"/>
              <w:right w:val="nil"/>
            </w:tcBorders>
            <w:shd w:val="clear" w:color="auto" w:fill="FFFFFF"/>
            <w:tcMar>
              <w:left w:w="20" w:type="dxa"/>
              <w:right w:w="20" w:type="dxa"/>
            </w:tcMar>
            <w:vAlign w:val="top"/>
          </w:tcPr>
          <w:p w14:paraId="0A9DD635">
            <w:pPr>
              <w:adjustRightInd w:val="0"/>
              <w:spacing w:before="20" w:after="20"/>
              <w:ind w:left="72" w:leftChars="0" w:right="72" w:rightChars="0"/>
              <w:jc w:val="center"/>
              <w:rPr>
                <w:rFonts w:hint="default" w:ascii="Times New Roman" w:hAnsi="Times New Roman" w:cs="Times New Roman"/>
                <w:color w:val="000000"/>
                <w:sz w:val="18"/>
                <w:szCs w:val="18"/>
                <w:lang w:val="en-US" w:eastAsia="zh-CN"/>
              </w:rPr>
            </w:pPr>
            <w:r>
              <w:rPr>
                <w:rFonts w:ascii="Times New Roman" w:hAnsi="Times New Roman" w:cs="Times New Roman"/>
                <w:color w:val="000000"/>
                <w:sz w:val="18"/>
                <w:szCs w:val="18"/>
              </w:rPr>
              <w:t>26(12.8%)</w:t>
            </w:r>
          </w:p>
        </w:tc>
        <w:tc>
          <w:tcPr>
            <w:tcW w:w="1697" w:type="dxa"/>
            <w:tcBorders>
              <w:top w:val="nil"/>
              <w:left w:val="nil"/>
              <w:bottom w:val="nil"/>
              <w:right w:val="nil"/>
            </w:tcBorders>
            <w:shd w:val="clear" w:color="auto" w:fill="FFFFFF"/>
            <w:tcMar>
              <w:left w:w="20" w:type="dxa"/>
              <w:right w:w="20" w:type="dxa"/>
            </w:tcMar>
            <w:vAlign w:val="top"/>
          </w:tcPr>
          <w:p w14:paraId="44C9BEC4">
            <w:pPr>
              <w:adjustRightInd w:val="0"/>
              <w:spacing w:before="20" w:after="20"/>
              <w:ind w:left="72" w:leftChars="0" w:right="72" w:rightChars="0"/>
              <w:jc w:val="center"/>
              <w:rPr>
                <w:rFonts w:hint="default" w:ascii="Times New Roman" w:hAnsi="Times New Roman" w:cs="Times New Roman"/>
                <w:color w:val="000000"/>
                <w:sz w:val="18"/>
                <w:szCs w:val="18"/>
                <w:lang w:val="en-US" w:eastAsia="zh-CN"/>
              </w:rPr>
            </w:pPr>
            <w:r>
              <w:rPr>
                <w:rFonts w:ascii="Times New Roman" w:hAnsi="Times New Roman" w:cs="Times New Roman"/>
                <w:color w:val="000000"/>
                <w:sz w:val="18"/>
                <w:szCs w:val="18"/>
              </w:rPr>
              <w:t>11(11.0%)</w:t>
            </w:r>
          </w:p>
        </w:tc>
        <w:tc>
          <w:tcPr>
            <w:tcW w:w="1699" w:type="dxa"/>
            <w:tcBorders>
              <w:top w:val="nil"/>
              <w:left w:val="nil"/>
              <w:bottom w:val="nil"/>
              <w:right w:val="nil"/>
            </w:tcBorders>
            <w:shd w:val="clear" w:color="auto" w:fill="FFFFFF"/>
            <w:tcMar>
              <w:left w:w="20" w:type="dxa"/>
              <w:right w:w="20" w:type="dxa"/>
            </w:tcMar>
            <w:vAlign w:val="top"/>
          </w:tcPr>
          <w:p w14:paraId="7F27F876">
            <w:pPr>
              <w:adjustRightInd w:val="0"/>
              <w:spacing w:before="20" w:after="20"/>
              <w:ind w:left="72" w:leftChars="0" w:right="72" w:rightChars="0"/>
              <w:jc w:val="center"/>
              <w:rPr>
                <w:rFonts w:hint="default" w:ascii="Times New Roman" w:hAnsi="Times New Roman" w:cs="Times New Roman"/>
                <w:color w:val="000000"/>
                <w:sz w:val="18"/>
                <w:szCs w:val="18"/>
                <w:lang w:val="en-US" w:eastAsia="zh-CN"/>
              </w:rPr>
            </w:pPr>
            <w:r>
              <w:rPr>
                <w:rFonts w:ascii="Times New Roman" w:hAnsi="Times New Roman" w:cs="Times New Roman"/>
                <w:color w:val="000000"/>
                <w:sz w:val="18"/>
                <w:szCs w:val="18"/>
              </w:rPr>
              <w:t>15(14.6%)</w:t>
            </w:r>
          </w:p>
        </w:tc>
        <w:tc>
          <w:tcPr>
            <w:tcW w:w="1256" w:type="dxa"/>
            <w:tcBorders>
              <w:top w:val="nil"/>
              <w:left w:val="nil"/>
              <w:bottom w:val="nil"/>
              <w:right w:val="nil"/>
            </w:tcBorders>
            <w:shd w:val="clear" w:color="auto" w:fill="FFFFFF"/>
            <w:tcMar>
              <w:left w:w="20" w:type="dxa"/>
              <w:right w:w="20" w:type="dxa"/>
            </w:tcMar>
          </w:tcPr>
          <w:p w14:paraId="5614F1DD">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2FD3C30F">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40EC40DD">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hint="eastAsia" w:ascii="Times New Roman" w:hAnsi="Times New Roman" w:cs="Times New Roman" w:eastAsiaTheme="minorEastAsia"/>
                <w:color w:val="000000"/>
                <w:sz w:val="18"/>
                <w:szCs w:val="18"/>
                <w:lang w:val="en-US" w:eastAsia="zh-CN"/>
              </w:rPr>
            </w:pPr>
            <w:r>
              <w:rPr>
                <w:rFonts w:ascii="Times New Roman" w:hAnsi="Times New Roman" w:cs="Times New Roman"/>
                <w:b/>
                <w:bCs/>
                <w:sz w:val="18"/>
                <w:szCs w:val="18"/>
              </w:rPr>
              <w:t>Age</w:t>
            </w:r>
            <w:r>
              <w:rPr>
                <w:rFonts w:hint="default" w:ascii="Times New Roman" w:hAnsi="Times New Roman" w:cs="Times New Roman" w:eastAsiaTheme="minorEastAsia"/>
                <w:color w:val="000000"/>
                <w:kern w:val="2"/>
                <w:sz w:val="18"/>
                <w:szCs w:val="18"/>
                <w:lang w:val="en-US" w:eastAsia="zh-CN" w:bidi="ar-SA"/>
              </w:rPr>
              <w:t>†</w:t>
            </w:r>
          </w:p>
        </w:tc>
        <w:tc>
          <w:tcPr>
            <w:tcW w:w="1697" w:type="dxa"/>
            <w:tcBorders>
              <w:top w:val="nil"/>
              <w:left w:val="nil"/>
              <w:bottom w:val="nil"/>
              <w:right w:val="nil"/>
            </w:tcBorders>
            <w:shd w:val="clear" w:color="auto" w:fill="FFFFFF"/>
            <w:tcMar>
              <w:left w:w="20" w:type="dxa"/>
              <w:right w:w="20" w:type="dxa"/>
            </w:tcMar>
          </w:tcPr>
          <w:p w14:paraId="494C320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51.9(11.3)</w:t>
            </w:r>
          </w:p>
        </w:tc>
        <w:tc>
          <w:tcPr>
            <w:tcW w:w="1697" w:type="dxa"/>
            <w:tcBorders>
              <w:top w:val="nil"/>
              <w:left w:val="nil"/>
              <w:bottom w:val="nil"/>
              <w:right w:val="nil"/>
            </w:tcBorders>
            <w:shd w:val="clear" w:color="auto" w:fill="FFFFFF"/>
            <w:tcMar>
              <w:left w:w="20" w:type="dxa"/>
              <w:right w:w="20" w:type="dxa"/>
            </w:tcMar>
          </w:tcPr>
          <w:p w14:paraId="7272C36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50.8(10.7)</w:t>
            </w:r>
          </w:p>
        </w:tc>
        <w:tc>
          <w:tcPr>
            <w:tcW w:w="1699" w:type="dxa"/>
            <w:tcBorders>
              <w:top w:val="nil"/>
              <w:left w:val="nil"/>
              <w:bottom w:val="nil"/>
              <w:right w:val="nil"/>
            </w:tcBorders>
            <w:shd w:val="clear" w:color="auto" w:fill="FFFFFF"/>
            <w:tcMar>
              <w:left w:w="20" w:type="dxa"/>
              <w:right w:w="20" w:type="dxa"/>
            </w:tcMar>
          </w:tcPr>
          <w:p w14:paraId="5D39131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52.9(11.8)</w:t>
            </w:r>
          </w:p>
        </w:tc>
        <w:tc>
          <w:tcPr>
            <w:tcW w:w="1256" w:type="dxa"/>
            <w:tcBorders>
              <w:top w:val="nil"/>
              <w:left w:val="nil"/>
              <w:bottom w:val="nil"/>
              <w:right w:val="nil"/>
            </w:tcBorders>
            <w:shd w:val="clear" w:color="auto" w:fill="FFFFFF"/>
            <w:tcMar>
              <w:left w:w="20" w:type="dxa"/>
              <w:right w:w="20" w:type="dxa"/>
            </w:tcMar>
          </w:tcPr>
          <w:p w14:paraId="7B98B80E">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0.099</w:t>
            </w:r>
          </w:p>
        </w:tc>
      </w:tr>
      <w:tr w14:paraId="1195B384">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4B079470">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HBV/HCV infection</w:t>
            </w:r>
          </w:p>
        </w:tc>
        <w:tc>
          <w:tcPr>
            <w:tcW w:w="1697" w:type="dxa"/>
            <w:tcBorders>
              <w:top w:val="nil"/>
              <w:left w:val="nil"/>
              <w:bottom w:val="nil"/>
              <w:right w:val="nil"/>
            </w:tcBorders>
            <w:shd w:val="clear" w:color="auto" w:fill="FFFFFF"/>
            <w:tcMar>
              <w:left w:w="20" w:type="dxa"/>
              <w:right w:w="20" w:type="dxa"/>
            </w:tcMar>
          </w:tcPr>
          <w:p w14:paraId="2EE0DAB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445F490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39F998A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03BED4DA">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0.052</w:t>
            </w:r>
          </w:p>
        </w:tc>
      </w:tr>
      <w:tr w14:paraId="549D303A">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6AC5E25">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Negative</w:t>
            </w:r>
          </w:p>
        </w:tc>
        <w:tc>
          <w:tcPr>
            <w:tcW w:w="1697" w:type="dxa"/>
            <w:tcBorders>
              <w:top w:val="nil"/>
              <w:left w:val="nil"/>
              <w:bottom w:val="nil"/>
              <w:right w:val="nil"/>
            </w:tcBorders>
            <w:shd w:val="clear" w:color="auto" w:fill="FFFFFF"/>
            <w:tcMar>
              <w:left w:w="20" w:type="dxa"/>
              <w:right w:w="20" w:type="dxa"/>
            </w:tcMar>
          </w:tcPr>
          <w:p w14:paraId="3312ADF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27(13.3%)</w:t>
            </w:r>
          </w:p>
        </w:tc>
        <w:tc>
          <w:tcPr>
            <w:tcW w:w="1697" w:type="dxa"/>
            <w:tcBorders>
              <w:top w:val="nil"/>
              <w:left w:val="nil"/>
              <w:bottom w:val="nil"/>
              <w:right w:val="nil"/>
            </w:tcBorders>
            <w:shd w:val="clear" w:color="auto" w:fill="FFFFFF"/>
            <w:tcMar>
              <w:left w:w="20" w:type="dxa"/>
              <w:right w:w="20" w:type="dxa"/>
            </w:tcMar>
          </w:tcPr>
          <w:p w14:paraId="410BD37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18(18.0%)</w:t>
            </w:r>
          </w:p>
        </w:tc>
        <w:tc>
          <w:tcPr>
            <w:tcW w:w="1699" w:type="dxa"/>
            <w:tcBorders>
              <w:top w:val="nil"/>
              <w:left w:val="nil"/>
              <w:bottom w:val="nil"/>
              <w:right w:val="nil"/>
            </w:tcBorders>
            <w:shd w:val="clear" w:color="auto" w:fill="FFFFFF"/>
            <w:tcMar>
              <w:left w:w="20" w:type="dxa"/>
              <w:right w:w="20" w:type="dxa"/>
            </w:tcMar>
          </w:tcPr>
          <w:p w14:paraId="614732F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9(8.7%)</w:t>
            </w:r>
          </w:p>
        </w:tc>
        <w:tc>
          <w:tcPr>
            <w:tcW w:w="1256" w:type="dxa"/>
            <w:tcBorders>
              <w:top w:val="nil"/>
              <w:left w:val="nil"/>
              <w:bottom w:val="nil"/>
              <w:right w:val="nil"/>
            </w:tcBorders>
            <w:shd w:val="clear" w:color="auto" w:fill="FFFFFF"/>
            <w:tcMar>
              <w:left w:w="20" w:type="dxa"/>
              <w:right w:w="20" w:type="dxa"/>
            </w:tcMar>
          </w:tcPr>
          <w:p w14:paraId="5B0FC21C">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3AE45750">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141ACFA7">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Positive</w:t>
            </w:r>
          </w:p>
        </w:tc>
        <w:tc>
          <w:tcPr>
            <w:tcW w:w="1697" w:type="dxa"/>
            <w:tcBorders>
              <w:top w:val="nil"/>
              <w:left w:val="nil"/>
              <w:bottom w:val="nil"/>
              <w:right w:val="nil"/>
            </w:tcBorders>
            <w:shd w:val="clear" w:color="auto" w:fill="FFFFFF"/>
            <w:tcMar>
              <w:left w:w="20" w:type="dxa"/>
              <w:right w:w="20" w:type="dxa"/>
            </w:tcMar>
          </w:tcPr>
          <w:p w14:paraId="175B859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176(86.7%)</w:t>
            </w:r>
          </w:p>
        </w:tc>
        <w:tc>
          <w:tcPr>
            <w:tcW w:w="1697" w:type="dxa"/>
            <w:tcBorders>
              <w:top w:val="nil"/>
              <w:left w:val="nil"/>
              <w:bottom w:val="nil"/>
              <w:right w:val="nil"/>
            </w:tcBorders>
            <w:shd w:val="clear" w:color="auto" w:fill="FFFFFF"/>
            <w:tcMar>
              <w:left w:w="20" w:type="dxa"/>
              <w:right w:w="20" w:type="dxa"/>
            </w:tcMar>
          </w:tcPr>
          <w:p w14:paraId="069D53C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82(82.0%)</w:t>
            </w:r>
          </w:p>
        </w:tc>
        <w:tc>
          <w:tcPr>
            <w:tcW w:w="1699" w:type="dxa"/>
            <w:tcBorders>
              <w:top w:val="nil"/>
              <w:left w:val="nil"/>
              <w:bottom w:val="nil"/>
              <w:right w:val="nil"/>
            </w:tcBorders>
            <w:shd w:val="clear" w:color="auto" w:fill="FFFFFF"/>
            <w:tcMar>
              <w:left w:w="20" w:type="dxa"/>
              <w:right w:w="20" w:type="dxa"/>
            </w:tcMar>
          </w:tcPr>
          <w:p w14:paraId="7F27683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94(91.3%)</w:t>
            </w:r>
          </w:p>
        </w:tc>
        <w:tc>
          <w:tcPr>
            <w:tcW w:w="1256" w:type="dxa"/>
            <w:tcBorders>
              <w:top w:val="nil"/>
              <w:left w:val="nil"/>
              <w:bottom w:val="nil"/>
              <w:right w:val="nil"/>
            </w:tcBorders>
            <w:shd w:val="clear" w:color="auto" w:fill="FFFFFF"/>
            <w:tcMar>
              <w:left w:w="20" w:type="dxa"/>
              <w:right w:w="20" w:type="dxa"/>
            </w:tcMar>
          </w:tcPr>
          <w:p w14:paraId="14CAD579">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62E67C11">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20D3ECE4">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AFP (ng/ml)</w:t>
            </w:r>
          </w:p>
        </w:tc>
        <w:tc>
          <w:tcPr>
            <w:tcW w:w="1697" w:type="dxa"/>
            <w:tcBorders>
              <w:top w:val="nil"/>
              <w:left w:val="nil"/>
              <w:bottom w:val="nil"/>
              <w:right w:val="nil"/>
            </w:tcBorders>
            <w:shd w:val="clear" w:color="auto" w:fill="FFFFFF"/>
            <w:tcMar>
              <w:left w:w="20" w:type="dxa"/>
              <w:right w:w="20" w:type="dxa"/>
            </w:tcMar>
          </w:tcPr>
          <w:p w14:paraId="68C1EEF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73824CE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7D11D7A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77C42CFC">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0.368</w:t>
            </w:r>
          </w:p>
        </w:tc>
      </w:tr>
      <w:tr w14:paraId="0BE44ACE">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6CA2380">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Arial" w:hAnsi="Arial" w:cs="Arial"/>
                <w:color w:val="000000"/>
                <w:sz w:val="18"/>
                <w:szCs w:val="18"/>
              </w:rPr>
              <w:t>≤</w:t>
            </w:r>
            <w:r>
              <w:rPr>
                <w:rFonts w:hint="eastAsia" w:ascii="Times New Roman" w:hAnsi="Times New Roman" w:cs="Times New Roman"/>
                <w:color w:val="000000"/>
                <w:sz w:val="18"/>
                <w:szCs w:val="18"/>
              </w:rPr>
              <w:t xml:space="preserve"> </w:t>
            </w:r>
            <w:r>
              <w:rPr>
                <w:rFonts w:ascii="Times New Roman" w:hAnsi="Times New Roman" w:cs="Times New Roman"/>
                <w:color w:val="000000"/>
                <w:sz w:val="18"/>
                <w:szCs w:val="18"/>
              </w:rPr>
              <w:t>200</w:t>
            </w:r>
          </w:p>
        </w:tc>
        <w:tc>
          <w:tcPr>
            <w:tcW w:w="1697" w:type="dxa"/>
            <w:tcBorders>
              <w:top w:val="nil"/>
              <w:left w:val="nil"/>
              <w:bottom w:val="nil"/>
              <w:right w:val="nil"/>
            </w:tcBorders>
            <w:shd w:val="clear" w:color="auto" w:fill="FFFFFF"/>
            <w:tcMar>
              <w:left w:w="20" w:type="dxa"/>
              <w:right w:w="20" w:type="dxa"/>
            </w:tcMar>
          </w:tcPr>
          <w:p w14:paraId="13E84E6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140(69.0%)</w:t>
            </w:r>
          </w:p>
        </w:tc>
        <w:tc>
          <w:tcPr>
            <w:tcW w:w="1697" w:type="dxa"/>
            <w:tcBorders>
              <w:top w:val="nil"/>
              <w:left w:val="nil"/>
              <w:bottom w:val="nil"/>
              <w:right w:val="nil"/>
            </w:tcBorders>
            <w:shd w:val="clear" w:color="auto" w:fill="FFFFFF"/>
            <w:tcMar>
              <w:left w:w="20" w:type="dxa"/>
              <w:right w:w="20" w:type="dxa"/>
            </w:tcMar>
          </w:tcPr>
          <w:p w14:paraId="0C75B2D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66(66.0%)</w:t>
            </w:r>
          </w:p>
        </w:tc>
        <w:tc>
          <w:tcPr>
            <w:tcW w:w="1699" w:type="dxa"/>
            <w:tcBorders>
              <w:top w:val="nil"/>
              <w:left w:val="nil"/>
              <w:bottom w:val="nil"/>
              <w:right w:val="nil"/>
            </w:tcBorders>
            <w:shd w:val="clear" w:color="auto" w:fill="FFFFFF"/>
            <w:tcMar>
              <w:left w:w="20" w:type="dxa"/>
              <w:right w:w="20" w:type="dxa"/>
            </w:tcMar>
          </w:tcPr>
          <w:p w14:paraId="4668841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74(71.8%)</w:t>
            </w:r>
          </w:p>
        </w:tc>
        <w:tc>
          <w:tcPr>
            <w:tcW w:w="1256" w:type="dxa"/>
            <w:tcBorders>
              <w:top w:val="nil"/>
              <w:left w:val="nil"/>
              <w:bottom w:val="nil"/>
              <w:right w:val="nil"/>
            </w:tcBorders>
            <w:shd w:val="clear" w:color="auto" w:fill="FFFFFF"/>
            <w:tcMar>
              <w:left w:w="20" w:type="dxa"/>
              <w:right w:w="20" w:type="dxa"/>
            </w:tcMar>
          </w:tcPr>
          <w:p w14:paraId="79B59FA8">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35586CB4">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60BACC38">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 xml:space="preserve">&gt; </w:t>
            </w:r>
            <w:r>
              <w:rPr>
                <w:rFonts w:ascii="Times New Roman" w:hAnsi="Times New Roman" w:cs="Times New Roman"/>
                <w:color w:val="000000"/>
                <w:sz w:val="18"/>
                <w:szCs w:val="18"/>
              </w:rPr>
              <w:t>200</w:t>
            </w:r>
          </w:p>
        </w:tc>
        <w:tc>
          <w:tcPr>
            <w:tcW w:w="1697" w:type="dxa"/>
            <w:tcBorders>
              <w:top w:val="nil"/>
              <w:left w:val="nil"/>
              <w:bottom w:val="nil"/>
              <w:right w:val="nil"/>
            </w:tcBorders>
            <w:shd w:val="clear" w:color="auto" w:fill="FFFFFF"/>
            <w:tcMar>
              <w:left w:w="20" w:type="dxa"/>
              <w:right w:w="20" w:type="dxa"/>
            </w:tcMar>
          </w:tcPr>
          <w:p w14:paraId="0B32640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63(31.0%)</w:t>
            </w:r>
          </w:p>
        </w:tc>
        <w:tc>
          <w:tcPr>
            <w:tcW w:w="1697" w:type="dxa"/>
            <w:tcBorders>
              <w:top w:val="nil"/>
              <w:left w:val="nil"/>
              <w:bottom w:val="nil"/>
              <w:right w:val="nil"/>
            </w:tcBorders>
            <w:shd w:val="clear" w:color="auto" w:fill="FFFFFF"/>
            <w:tcMar>
              <w:left w:w="20" w:type="dxa"/>
              <w:right w:w="20" w:type="dxa"/>
            </w:tcMar>
          </w:tcPr>
          <w:p w14:paraId="1753F58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34(34.0%)</w:t>
            </w:r>
          </w:p>
        </w:tc>
        <w:tc>
          <w:tcPr>
            <w:tcW w:w="1699" w:type="dxa"/>
            <w:tcBorders>
              <w:top w:val="nil"/>
              <w:left w:val="nil"/>
              <w:bottom w:val="nil"/>
              <w:right w:val="nil"/>
            </w:tcBorders>
            <w:shd w:val="clear" w:color="auto" w:fill="FFFFFF"/>
            <w:tcMar>
              <w:left w:w="20" w:type="dxa"/>
              <w:right w:w="20" w:type="dxa"/>
            </w:tcMar>
          </w:tcPr>
          <w:p w14:paraId="1E88BB3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29(28.2%)</w:t>
            </w:r>
          </w:p>
        </w:tc>
        <w:tc>
          <w:tcPr>
            <w:tcW w:w="1256" w:type="dxa"/>
            <w:tcBorders>
              <w:top w:val="nil"/>
              <w:left w:val="nil"/>
              <w:bottom w:val="nil"/>
              <w:right w:val="nil"/>
            </w:tcBorders>
            <w:shd w:val="clear" w:color="auto" w:fill="FFFFFF"/>
            <w:tcMar>
              <w:left w:w="20" w:type="dxa"/>
              <w:right w:w="20" w:type="dxa"/>
            </w:tcMar>
          </w:tcPr>
          <w:p w14:paraId="57C83D13">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16CEEA8E">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5150C89">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ALT (U/L)</w:t>
            </w:r>
          </w:p>
        </w:tc>
        <w:tc>
          <w:tcPr>
            <w:tcW w:w="1697" w:type="dxa"/>
            <w:tcBorders>
              <w:top w:val="nil"/>
              <w:left w:val="nil"/>
              <w:bottom w:val="nil"/>
              <w:right w:val="nil"/>
            </w:tcBorders>
            <w:shd w:val="clear" w:color="auto" w:fill="FFFFFF"/>
            <w:tcMar>
              <w:left w:w="20" w:type="dxa"/>
              <w:right w:w="20" w:type="dxa"/>
            </w:tcMar>
          </w:tcPr>
          <w:p w14:paraId="1BE9D95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23EE534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1B11AE3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1AAB4BD4">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0.633</w:t>
            </w:r>
          </w:p>
        </w:tc>
      </w:tr>
      <w:tr w14:paraId="5C9C104F">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3D55807D">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Arial" w:hAnsi="Arial" w:cs="Arial"/>
                <w:color w:val="000000"/>
                <w:sz w:val="18"/>
                <w:szCs w:val="18"/>
              </w:rPr>
              <w:t>≤</w:t>
            </w:r>
            <w:r>
              <w:rPr>
                <w:rFonts w:ascii="Times New Roman" w:hAnsi="Times New Roman" w:cs="Times New Roman"/>
                <w:color w:val="000000"/>
                <w:sz w:val="18"/>
                <w:szCs w:val="18"/>
              </w:rPr>
              <w:t>50</w:t>
            </w:r>
          </w:p>
        </w:tc>
        <w:tc>
          <w:tcPr>
            <w:tcW w:w="1697" w:type="dxa"/>
            <w:tcBorders>
              <w:top w:val="nil"/>
              <w:left w:val="nil"/>
              <w:bottom w:val="nil"/>
              <w:right w:val="nil"/>
            </w:tcBorders>
            <w:shd w:val="clear" w:color="auto" w:fill="FFFFFF"/>
            <w:tcMar>
              <w:left w:w="20" w:type="dxa"/>
              <w:right w:w="20" w:type="dxa"/>
            </w:tcMar>
          </w:tcPr>
          <w:p w14:paraId="5455A41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170(83.7%)</w:t>
            </w:r>
          </w:p>
        </w:tc>
        <w:tc>
          <w:tcPr>
            <w:tcW w:w="1697" w:type="dxa"/>
            <w:tcBorders>
              <w:top w:val="nil"/>
              <w:left w:val="nil"/>
              <w:bottom w:val="nil"/>
              <w:right w:val="nil"/>
            </w:tcBorders>
            <w:shd w:val="clear" w:color="auto" w:fill="FFFFFF"/>
            <w:tcMar>
              <w:left w:w="20" w:type="dxa"/>
              <w:right w:w="20" w:type="dxa"/>
            </w:tcMar>
          </w:tcPr>
          <w:p w14:paraId="1D73C06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85(85.0%)</w:t>
            </w:r>
          </w:p>
        </w:tc>
        <w:tc>
          <w:tcPr>
            <w:tcW w:w="1699" w:type="dxa"/>
            <w:tcBorders>
              <w:top w:val="nil"/>
              <w:left w:val="nil"/>
              <w:bottom w:val="nil"/>
              <w:right w:val="nil"/>
            </w:tcBorders>
            <w:shd w:val="clear" w:color="auto" w:fill="FFFFFF"/>
            <w:tcMar>
              <w:left w:w="20" w:type="dxa"/>
              <w:right w:w="20" w:type="dxa"/>
            </w:tcMar>
          </w:tcPr>
          <w:p w14:paraId="3DF9F84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85(82.5%)</w:t>
            </w:r>
          </w:p>
        </w:tc>
        <w:tc>
          <w:tcPr>
            <w:tcW w:w="1256" w:type="dxa"/>
            <w:tcBorders>
              <w:top w:val="nil"/>
              <w:left w:val="nil"/>
              <w:bottom w:val="nil"/>
              <w:right w:val="nil"/>
            </w:tcBorders>
            <w:shd w:val="clear" w:color="auto" w:fill="FFFFFF"/>
            <w:tcMar>
              <w:left w:w="20" w:type="dxa"/>
              <w:right w:w="20" w:type="dxa"/>
            </w:tcMar>
          </w:tcPr>
          <w:p w14:paraId="3DA72D8C">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0137ADF0">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75418BE8">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&gt;50</w:t>
            </w:r>
          </w:p>
        </w:tc>
        <w:tc>
          <w:tcPr>
            <w:tcW w:w="1697" w:type="dxa"/>
            <w:tcBorders>
              <w:top w:val="nil"/>
              <w:left w:val="nil"/>
              <w:bottom w:val="nil"/>
              <w:right w:val="nil"/>
            </w:tcBorders>
            <w:shd w:val="clear" w:color="auto" w:fill="FFFFFF"/>
            <w:tcMar>
              <w:left w:w="20" w:type="dxa"/>
              <w:right w:w="20" w:type="dxa"/>
            </w:tcMar>
          </w:tcPr>
          <w:p w14:paraId="662829A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33(16.3%)</w:t>
            </w:r>
          </w:p>
        </w:tc>
        <w:tc>
          <w:tcPr>
            <w:tcW w:w="1697" w:type="dxa"/>
            <w:tcBorders>
              <w:top w:val="nil"/>
              <w:left w:val="nil"/>
              <w:bottom w:val="nil"/>
              <w:right w:val="nil"/>
            </w:tcBorders>
            <w:shd w:val="clear" w:color="auto" w:fill="FFFFFF"/>
            <w:tcMar>
              <w:left w:w="20" w:type="dxa"/>
              <w:right w:w="20" w:type="dxa"/>
            </w:tcMar>
          </w:tcPr>
          <w:p w14:paraId="66E9E60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15(15.0%)</w:t>
            </w:r>
          </w:p>
        </w:tc>
        <w:tc>
          <w:tcPr>
            <w:tcW w:w="1699" w:type="dxa"/>
            <w:tcBorders>
              <w:top w:val="nil"/>
              <w:left w:val="nil"/>
              <w:bottom w:val="nil"/>
              <w:right w:val="nil"/>
            </w:tcBorders>
            <w:shd w:val="clear" w:color="auto" w:fill="FFFFFF"/>
            <w:tcMar>
              <w:left w:w="20" w:type="dxa"/>
              <w:right w:w="20" w:type="dxa"/>
            </w:tcMar>
          </w:tcPr>
          <w:p w14:paraId="5209DEB8">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18(17.5%)</w:t>
            </w:r>
          </w:p>
        </w:tc>
        <w:tc>
          <w:tcPr>
            <w:tcW w:w="1256" w:type="dxa"/>
            <w:tcBorders>
              <w:top w:val="nil"/>
              <w:left w:val="nil"/>
              <w:bottom w:val="nil"/>
              <w:right w:val="nil"/>
            </w:tcBorders>
            <w:shd w:val="clear" w:color="auto" w:fill="FFFFFF"/>
            <w:tcMar>
              <w:left w:w="20" w:type="dxa"/>
              <w:right w:w="20" w:type="dxa"/>
            </w:tcMar>
          </w:tcPr>
          <w:p w14:paraId="68A0E16C">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23CB3E3E">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43143082">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AST (U/L)</w:t>
            </w:r>
          </w:p>
        </w:tc>
        <w:tc>
          <w:tcPr>
            <w:tcW w:w="1697" w:type="dxa"/>
            <w:tcBorders>
              <w:top w:val="nil"/>
              <w:left w:val="nil"/>
              <w:bottom w:val="nil"/>
              <w:right w:val="nil"/>
            </w:tcBorders>
            <w:shd w:val="clear" w:color="auto" w:fill="FFFFFF"/>
            <w:tcMar>
              <w:left w:w="20" w:type="dxa"/>
              <w:right w:w="20" w:type="dxa"/>
            </w:tcMar>
          </w:tcPr>
          <w:p w14:paraId="60944F1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6FD6A61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26E770A8">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23700094">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0.656</w:t>
            </w:r>
          </w:p>
        </w:tc>
      </w:tr>
      <w:tr w14:paraId="5A2DCD8D">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606AABC1">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Arial" w:hAnsi="Arial" w:cs="Arial"/>
                <w:color w:val="000000"/>
                <w:sz w:val="18"/>
                <w:szCs w:val="18"/>
              </w:rPr>
              <w:t>≤</w:t>
            </w:r>
            <w:r>
              <w:rPr>
                <w:rFonts w:ascii="Times New Roman" w:hAnsi="Times New Roman" w:cs="Times New Roman"/>
                <w:color w:val="000000"/>
                <w:sz w:val="18"/>
                <w:szCs w:val="18"/>
              </w:rPr>
              <w:t>40</w:t>
            </w:r>
          </w:p>
        </w:tc>
        <w:tc>
          <w:tcPr>
            <w:tcW w:w="1697" w:type="dxa"/>
            <w:tcBorders>
              <w:top w:val="nil"/>
              <w:left w:val="nil"/>
              <w:bottom w:val="nil"/>
              <w:right w:val="nil"/>
            </w:tcBorders>
            <w:shd w:val="clear" w:color="auto" w:fill="FFFFFF"/>
            <w:tcMar>
              <w:left w:w="20" w:type="dxa"/>
              <w:right w:w="20" w:type="dxa"/>
            </w:tcMar>
          </w:tcPr>
          <w:p w14:paraId="1ABF28A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137(67.5%)</w:t>
            </w:r>
          </w:p>
        </w:tc>
        <w:tc>
          <w:tcPr>
            <w:tcW w:w="1697" w:type="dxa"/>
            <w:tcBorders>
              <w:top w:val="nil"/>
              <w:left w:val="nil"/>
              <w:bottom w:val="nil"/>
              <w:right w:val="nil"/>
            </w:tcBorders>
            <w:shd w:val="clear" w:color="auto" w:fill="FFFFFF"/>
            <w:tcMar>
              <w:left w:w="20" w:type="dxa"/>
              <w:right w:w="20" w:type="dxa"/>
            </w:tcMar>
          </w:tcPr>
          <w:p w14:paraId="6F08040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66(66.0%)</w:t>
            </w:r>
          </w:p>
        </w:tc>
        <w:tc>
          <w:tcPr>
            <w:tcW w:w="1699" w:type="dxa"/>
            <w:tcBorders>
              <w:top w:val="nil"/>
              <w:left w:val="nil"/>
              <w:bottom w:val="nil"/>
              <w:right w:val="nil"/>
            </w:tcBorders>
            <w:shd w:val="clear" w:color="auto" w:fill="FFFFFF"/>
            <w:tcMar>
              <w:left w:w="20" w:type="dxa"/>
              <w:right w:w="20" w:type="dxa"/>
            </w:tcMar>
          </w:tcPr>
          <w:p w14:paraId="0BAA50F8">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71(68.9%)</w:t>
            </w:r>
          </w:p>
        </w:tc>
        <w:tc>
          <w:tcPr>
            <w:tcW w:w="1256" w:type="dxa"/>
            <w:tcBorders>
              <w:top w:val="nil"/>
              <w:left w:val="nil"/>
              <w:bottom w:val="nil"/>
              <w:right w:val="nil"/>
            </w:tcBorders>
            <w:shd w:val="clear" w:color="auto" w:fill="FFFFFF"/>
            <w:tcMar>
              <w:left w:w="20" w:type="dxa"/>
              <w:right w:w="20" w:type="dxa"/>
            </w:tcMar>
          </w:tcPr>
          <w:p w14:paraId="1E0AC206">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4E93ABD1">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41CFD02E">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&gt;40</w:t>
            </w:r>
          </w:p>
        </w:tc>
        <w:tc>
          <w:tcPr>
            <w:tcW w:w="1697" w:type="dxa"/>
            <w:tcBorders>
              <w:top w:val="nil"/>
              <w:left w:val="nil"/>
              <w:bottom w:val="nil"/>
              <w:right w:val="nil"/>
            </w:tcBorders>
            <w:shd w:val="clear" w:color="auto" w:fill="FFFFFF"/>
            <w:tcMar>
              <w:left w:w="20" w:type="dxa"/>
              <w:right w:w="20" w:type="dxa"/>
            </w:tcMar>
          </w:tcPr>
          <w:p w14:paraId="797F29A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66(32.5%)</w:t>
            </w:r>
          </w:p>
        </w:tc>
        <w:tc>
          <w:tcPr>
            <w:tcW w:w="1697" w:type="dxa"/>
            <w:tcBorders>
              <w:top w:val="nil"/>
              <w:left w:val="nil"/>
              <w:bottom w:val="nil"/>
              <w:right w:val="nil"/>
            </w:tcBorders>
            <w:shd w:val="clear" w:color="auto" w:fill="FFFFFF"/>
            <w:tcMar>
              <w:left w:w="20" w:type="dxa"/>
              <w:right w:w="20" w:type="dxa"/>
            </w:tcMar>
          </w:tcPr>
          <w:p w14:paraId="588299C9">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34(34.0%)</w:t>
            </w:r>
          </w:p>
        </w:tc>
        <w:tc>
          <w:tcPr>
            <w:tcW w:w="1699" w:type="dxa"/>
            <w:tcBorders>
              <w:top w:val="nil"/>
              <w:left w:val="nil"/>
              <w:bottom w:val="nil"/>
              <w:right w:val="nil"/>
            </w:tcBorders>
            <w:shd w:val="clear" w:color="auto" w:fill="FFFFFF"/>
            <w:tcMar>
              <w:left w:w="20" w:type="dxa"/>
              <w:right w:w="20" w:type="dxa"/>
            </w:tcMar>
          </w:tcPr>
          <w:p w14:paraId="078E3ED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32(31.1%)</w:t>
            </w:r>
          </w:p>
        </w:tc>
        <w:tc>
          <w:tcPr>
            <w:tcW w:w="1256" w:type="dxa"/>
            <w:tcBorders>
              <w:top w:val="nil"/>
              <w:left w:val="nil"/>
              <w:bottom w:val="nil"/>
              <w:right w:val="nil"/>
            </w:tcBorders>
            <w:shd w:val="clear" w:color="auto" w:fill="FFFFFF"/>
            <w:tcMar>
              <w:left w:w="20" w:type="dxa"/>
              <w:right w:w="20" w:type="dxa"/>
            </w:tcMar>
          </w:tcPr>
          <w:p w14:paraId="1F209F94">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0C015DD6">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334DA011">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GGT (U/L)</w:t>
            </w:r>
          </w:p>
        </w:tc>
        <w:tc>
          <w:tcPr>
            <w:tcW w:w="1697" w:type="dxa"/>
            <w:tcBorders>
              <w:top w:val="nil"/>
              <w:left w:val="nil"/>
              <w:bottom w:val="nil"/>
              <w:right w:val="nil"/>
            </w:tcBorders>
            <w:shd w:val="clear" w:color="auto" w:fill="FFFFFF"/>
            <w:tcMar>
              <w:left w:w="20" w:type="dxa"/>
              <w:right w:w="20" w:type="dxa"/>
            </w:tcMar>
          </w:tcPr>
          <w:p w14:paraId="1AE6C4E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1D9C94A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5217B61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1130C14D">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0.185</w:t>
            </w:r>
          </w:p>
        </w:tc>
      </w:tr>
      <w:tr w14:paraId="02D97D85">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12068D1">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Arial" w:hAnsi="Arial" w:cs="Arial"/>
                <w:color w:val="000000"/>
                <w:sz w:val="18"/>
                <w:szCs w:val="18"/>
              </w:rPr>
              <w:t>≤</w:t>
            </w:r>
            <w:r>
              <w:rPr>
                <w:rFonts w:ascii="Times New Roman" w:hAnsi="Times New Roman" w:cs="Times New Roman"/>
                <w:color w:val="000000"/>
                <w:sz w:val="18"/>
                <w:szCs w:val="18"/>
              </w:rPr>
              <w:t>60</w:t>
            </w:r>
          </w:p>
        </w:tc>
        <w:tc>
          <w:tcPr>
            <w:tcW w:w="1697" w:type="dxa"/>
            <w:tcBorders>
              <w:top w:val="nil"/>
              <w:left w:val="nil"/>
              <w:bottom w:val="nil"/>
              <w:right w:val="nil"/>
            </w:tcBorders>
            <w:shd w:val="clear" w:color="auto" w:fill="FFFFFF"/>
            <w:tcMar>
              <w:left w:w="20" w:type="dxa"/>
              <w:right w:w="20" w:type="dxa"/>
            </w:tcMar>
          </w:tcPr>
          <w:p w14:paraId="637F124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74(36.5%)</w:t>
            </w:r>
          </w:p>
        </w:tc>
        <w:tc>
          <w:tcPr>
            <w:tcW w:w="1697" w:type="dxa"/>
            <w:tcBorders>
              <w:top w:val="nil"/>
              <w:left w:val="nil"/>
              <w:bottom w:val="nil"/>
              <w:right w:val="nil"/>
            </w:tcBorders>
            <w:shd w:val="clear" w:color="auto" w:fill="FFFFFF"/>
            <w:tcMar>
              <w:left w:w="20" w:type="dxa"/>
              <w:right w:w="20" w:type="dxa"/>
            </w:tcMar>
          </w:tcPr>
          <w:p w14:paraId="0497B47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41(41.0%)</w:t>
            </w:r>
          </w:p>
        </w:tc>
        <w:tc>
          <w:tcPr>
            <w:tcW w:w="1699" w:type="dxa"/>
            <w:tcBorders>
              <w:top w:val="nil"/>
              <w:left w:val="nil"/>
              <w:bottom w:val="nil"/>
              <w:right w:val="nil"/>
            </w:tcBorders>
            <w:shd w:val="clear" w:color="auto" w:fill="FFFFFF"/>
            <w:tcMar>
              <w:left w:w="20" w:type="dxa"/>
              <w:right w:w="20" w:type="dxa"/>
            </w:tcMar>
          </w:tcPr>
          <w:p w14:paraId="206D909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33(32.0%)</w:t>
            </w:r>
          </w:p>
        </w:tc>
        <w:tc>
          <w:tcPr>
            <w:tcW w:w="1256" w:type="dxa"/>
            <w:tcBorders>
              <w:top w:val="nil"/>
              <w:left w:val="nil"/>
              <w:bottom w:val="nil"/>
              <w:right w:val="nil"/>
            </w:tcBorders>
            <w:shd w:val="clear" w:color="auto" w:fill="FFFFFF"/>
            <w:tcMar>
              <w:left w:w="20" w:type="dxa"/>
              <w:right w:w="20" w:type="dxa"/>
            </w:tcMar>
          </w:tcPr>
          <w:p w14:paraId="73678E15">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1A7F878F">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2C224A40">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&gt;60</w:t>
            </w:r>
          </w:p>
        </w:tc>
        <w:tc>
          <w:tcPr>
            <w:tcW w:w="1697" w:type="dxa"/>
            <w:tcBorders>
              <w:top w:val="nil"/>
              <w:left w:val="nil"/>
              <w:bottom w:val="nil"/>
              <w:right w:val="nil"/>
            </w:tcBorders>
            <w:shd w:val="clear" w:color="auto" w:fill="FFFFFF"/>
            <w:tcMar>
              <w:left w:w="20" w:type="dxa"/>
              <w:right w:w="20" w:type="dxa"/>
            </w:tcMar>
          </w:tcPr>
          <w:p w14:paraId="42C9924A">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129(63.5%)</w:t>
            </w:r>
          </w:p>
        </w:tc>
        <w:tc>
          <w:tcPr>
            <w:tcW w:w="1697" w:type="dxa"/>
            <w:tcBorders>
              <w:top w:val="nil"/>
              <w:left w:val="nil"/>
              <w:bottom w:val="nil"/>
              <w:right w:val="nil"/>
            </w:tcBorders>
            <w:shd w:val="clear" w:color="auto" w:fill="FFFFFF"/>
            <w:tcMar>
              <w:left w:w="20" w:type="dxa"/>
              <w:right w:w="20" w:type="dxa"/>
            </w:tcMar>
          </w:tcPr>
          <w:p w14:paraId="512E2FC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59(59.0%)</w:t>
            </w:r>
          </w:p>
        </w:tc>
        <w:tc>
          <w:tcPr>
            <w:tcW w:w="1699" w:type="dxa"/>
            <w:tcBorders>
              <w:top w:val="nil"/>
              <w:left w:val="nil"/>
              <w:bottom w:val="nil"/>
              <w:right w:val="nil"/>
            </w:tcBorders>
            <w:shd w:val="clear" w:color="auto" w:fill="FFFFFF"/>
            <w:tcMar>
              <w:left w:w="20" w:type="dxa"/>
              <w:right w:w="20" w:type="dxa"/>
            </w:tcMar>
          </w:tcPr>
          <w:p w14:paraId="3CCBD7F8">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70(68.0%)</w:t>
            </w:r>
          </w:p>
        </w:tc>
        <w:tc>
          <w:tcPr>
            <w:tcW w:w="1256" w:type="dxa"/>
            <w:tcBorders>
              <w:top w:val="nil"/>
              <w:left w:val="nil"/>
              <w:bottom w:val="nil"/>
              <w:right w:val="nil"/>
            </w:tcBorders>
            <w:shd w:val="clear" w:color="auto" w:fill="FFFFFF"/>
            <w:tcMar>
              <w:left w:w="20" w:type="dxa"/>
              <w:right w:w="20" w:type="dxa"/>
            </w:tcMar>
          </w:tcPr>
          <w:p w14:paraId="6D3D52E3">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474BEBE8">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E486A7A">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ALB(g/L)</w:t>
            </w:r>
          </w:p>
        </w:tc>
        <w:tc>
          <w:tcPr>
            <w:tcW w:w="1697" w:type="dxa"/>
            <w:tcBorders>
              <w:top w:val="nil"/>
              <w:left w:val="nil"/>
              <w:bottom w:val="nil"/>
              <w:right w:val="nil"/>
            </w:tcBorders>
            <w:shd w:val="clear" w:color="auto" w:fill="FFFFFF"/>
            <w:tcMar>
              <w:left w:w="20" w:type="dxa"/>
              <w:right w:w="20" w:type="dxa"/>
            </w:tcMar>
          </w:tcPr>
          <w:p w14:paraId="06B81E5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7387801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1E0A81F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b/>
                <w:bCs/>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6EF04479">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&lt;0.001</w:t>
            </w:r>
          </w:p>
        </w:tc>
      </w:tr>
      <w:tr w14:paraId="16F2F47E">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5EDDF674">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Arial" w:hAnsi="Arial" w:cs="Arial"/>
                <w:color w:val="000000"/>
                <w:sz w:val="18"/>
                <w:szCs w:val="18"/>
              </w:rPr>
              <w:t>≤</w:t>
            </w:r>
            <w:r>
              <w:rPr>
                <w:rFonts w:ascii="Times New Roman" w:hAnsi="Times New Roman" w:cs="Times New Roman"/>
                <w:color w:val="000000"/>
                <w:sz w:val="18"/>
                <w:szCs w:val="18"/>
              </w:rPr>
              <w:t>35</w:t>
            </w:r>
          </w:p>
        </w:tc>
        <w:tc>
          <w:tcPr>
            <w:tcW w:w="1697" w:type="dxa"/>
            <w:tcBorders>
              <w:top w:val="nil"/>
              <w:left w:val="nil"/>
              <w:bottom w:val="nil"/>
              <w:right w:val="nil"/>
            </w:tcBorders>
            <w:shd w:val="clear" w:color="auto" w:fill="FFFFFF"/>
            <w:tcMar>
              <w:left w:w="20" w:type="dxa"/>
              <w:right w:w="20" w:type="dxa"/>
            </w:tcMar>
          </w:tcPr>
          <w:p w14:paraId="13B5304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45(22.2%)</w:t>
            </w:r>
          </w:p>
        </w:tc>
        <w:tc>
          <w:tcPr>
            <w:tcW w:w="1697" w:type="dxa"/>
            <w:tcBorders>
              <w:top w:val="nil"/>
              <w:left w:val="nil"/>
              <w:bottom w:val="nil"/>
              <w:right w:val="nil"/>
            </w:tcBorders>
            <w:shd w:val="clear" w:color="auto" w:fill="FFFFFF"/>
            <w:tcMar>
              <w:left w:w="20" w:type="dxa"/>
              <w:right w:w="20" w:type="dxa"/>
            </w:tcMar>
          </w:tcPr>
          <w:p w14:paraId="4455DBF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39(39.0%)</w:t>
            </w:r>
          </w:p>
        </w:tc>
        <w:tc>
          <w:tcPr>
            <w:tcW w:w="1699" w:type="dxa"/>
            <w:tcBorders>
              <w:top w:val="nil"/>
              <w:left w:val="nil"/>
              <w:bottom w:val="nil"/>
              <w:right w:val="nil"/>
            </w:tcBorders>
            <w:shd w:val="clear" w:color="auto" w:fill="FFFFFF"/>
            <w:tcMar>
              <w:left w:w="20" w:type="dxa"/>
              <w:right w:w="20" w:type="dxa"/>
            </w:tcMar>
          </w:tcPr>
          <w:p w14:paraId="2B7BD1B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6(5.8%)</w:t>
            </w:r>
          </w:p>
        </w:tc>
        <w:tc>
          <w:tcPr>
            <w:tcW w:w="1256" w:type="dxa"/>
            <w:tcBorders>
              <w:top w:val="nil"/>
              <w:left w:val="nil"/>
              <w:bottom w:val="nil"/>
              <w:right w:val="nil"/>
            </w:tcBorders>
            <w:shd w:val="clear" w:color="auto" w:fill="FFFFFF"/>
            <w:tcMar>
              <w:left w:w="20" w:type="dxa"/>
              <w:right w:w="20" w:type="dxa"/>
            </w:tcMar>
          </w:tcPr>
          <w:p w14:paraId="068CC199">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2E54399A">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B95A344">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&gt;35</w:t>
            </w:r>
          </w:p>
        </w:tc>
        <w:tc>
          <w:tcPr>
            <w:tcW w:w="1697" w:type="dxa"/>
            <w:tcBorders>
              <w:top w:val="nil"/>
              <w:left w:val="nil"/>
              <w:bottom w:val="nil"/>
              <w:right w:val="nil"/>
            </w:tcBorders>
            <w:shd w:val="clear" w:color="auto" w:fill="FFFFFF"/>
            <w:tcMar>
              <w:left w:w="20" w:type="dxa"/>
              <w:right w:w="20" w:type="dxa"/>
            </w:tcMar>
          </w:tcPr>
          <w:p w14:paraId="5CC3EB8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158(77.8%)</w:t>
            </w:r>
          </w:p>
        </w:tc>
        <w:tc>
          <w:tcPr>
            <w:tcW w:w="1697" w:type="dxa"/>
            <w:tcBorders>
              <w:top w:val="nil"/>
              <w:left w:val="nil"/>
              <w:bottom w:val="nil"/>
              <w:right w:val="nil"/>
            </w:tcBorders>
            <w:shd w:val="clear" w:color="auto" w:fill="FFFFFF"/>
            <w:tcMar>
              <w:left w:w="20" w:type="dxa"/>
              <w:right w:w="20" w:type="dxa"/>
            </w:tcMar>
          </w:tcPr>
          <w:p w14:paraId="2C000B0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61(61.0%)</w:t>
            </w:r>
          </w:p>
        </w:tc>
        <w:tc>
          <w:tcPr>
            <w:tcW w:w="1699" w:type="dxa"/>
            <w:tcBorders>
              <w:top w:val="nil"/>
              <w:left w:val="nil"/>
              <w:bottom w:val="nil"/>
              <w:right w:val="nil"/>
            </w:tcBorders>
            <w:shd w:val="clear" w:color="auto" w:fill="FFFFFF"/>
            <w:tcMar>
              <w:left w:w="20" w:type="dxa"/>
              <w:right w:w="20" w:type="dxa"/>
            </w:tcMar>
          </w:tcPr>
          <w:p w14:paraId="662E463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97(94.2%)</w:t>
            </w:r>
          </w:p>
        </w:tc>
        <w:tc>
          <w:tcPr>
            <w:tcW w:w="1256" w:type="dxa"/>
            <w:tcBorders>
              <w:top w:val="nil"/>
              <w:left w:val="nil"/>
              <w:bottom w:val="nil"/>
              <w:right w:val="nil"/>
            </w:tcBorders>
            <w:shd w:val="clear" w:color="auto" w:fill="FFFFFF"/>
            <w:tcMar>
              <w:left w:w="20" w:type="dxa"/>
              <w:right w:w="20" w:type="dxa"/>
            </w:tcMar>
          </w:tcPr>
          <w:p w14:paraId="5F2C9901">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1471F26C">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731FD864">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TBIL</w:t>
            </w:r>
            <w:r>
              <w:rPr>
                <w:rFonts w:hint="eastAsia" w:ascii="Times New Roman" w:hAnsi="Times New Roman" w:cs="Times New Roman"/>
                <w:b/>
                <w:bCs/>
                <w:color w:val="000000"/>
                <w:sz w:val="18"/>
                <w:szCs w:val="18"/>
              </w:rPr>
              <w:t xml:space="preserve"> (mg/dl)</w:t>
            </w:r>
          </w:p>
        </w:tc>
        <w:tc>
          <w:tcPr>
            <w:tcW w:w="1697" w:type="dxa"/>
            <w:tcBorders>
              <w:top w:val="nil"/>
              <w:left w:val="nil"/>
              <w:bottom w:val="nil"/>
              <w:right w:val="nil"/>
            </w:tcBorders>
            <w:shd w:val="clear" w:color="auto" w:fill="FFFFFF"/>
            <w:tcMar>
              <w:left w:w="20" w:type="dxa"/>
              <w:right w:w="20" w:type="dxa"/>
            </w:tcMar>
          </w:tcPr>
          <w:p w14:paraId="1014A42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7991844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3721F5D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4F9D0629">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0.203</w:t>
            </w:r>
          </w:p>
        </w:tc>
      </w:tr>
      <w:tr w14:paraId="6346B422">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13BFBED4">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Arial" w:hAnsi="Arial" w:cs="Arial"/>
                <w:color w:val="000000"/>
                <w:sz w:val="18"/>
                <w:szCs w:val="18"/>
              </w:rPr>
              <w:t>≤</w:t>
            </w:r>
            <w:r>
              <w:rPr>
                <w:rFonts w:ascii="Times New Roman" w:hAnsi="Times New Roman" w:cs="Times New Roman"/>
                <w:color w:val="000000"/>
                <w:sz w:val="18"/>
                <w:szCs w:val="18"/>
              </w:rPr>
              <w:t>17.1</w:t>
            </w:r>
          </w:p>
        </w:tc>
        <w:tc>
          <w:tcPr>
            <w:tcW w:w="1697" w:type="dxa"/>
            <w:tcBorders>
              <w:top w:val="nil"/>
              <w:left w:val="nil"/>
              <w:bottom w:val="nil"/>
              <w:right w:val="nil"/>
            </w:tcBorders>
            <w:shd w:val="clear" w:color="auto" w:fill="FFFFFF"/>
            <w:tcMar>
              <w:left w:w="20" w:type="dxa"/>
              <w:right w:w="20" w:type="dxa"/>
            </w:tcMar>
          </w:tcPr>
          <w:p w14:paraId="5A430B27">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173(85.2%)</w:t>
            </w:r>
          </w:p>
        </w:tc>
        <w:tc>
          <w:tcPr>
            <w:tcW w:w="1697" w:type="dxa"/>
            <w:tcBorders>
              <w:top w:val="nil"/>
              <w:left w:val="nil"/>
              <w:bottom w:val="nil"/>
              <w:right w:val="nil"/>
            </w:tcBorders>
            <w:shd w:val="clear" w:color="auto" w:fill="FFFFFF"/>
            <w:tcMar>
              <w:left w:w="20" w:type="dxa"/>
              <w:right w:w="20" w:type="dxa"/>
            </w:tcMar>
          </w:tcPr>
          <w:p w14:paraId="4ACF8F0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82(82.0%)</w:t>
            </w:r>
          </w:p>
        </w:tc>
        <w:tc>
          <w:tcPr>
            <w:tcW w:w="1699" w:type="dxa"/>
            <w:tcBorders>
              <w:top w:val="nil"/>
              <w:left w:val="nil"/>
              <w:bottom w:val="nil"/>
              <w:right w:val="nil"/>
            </w:tcBorders>
            <w:shd w:val="clear" w:color="auto" w:fill="FFFFFF"/>
            <w:tcMar>
              <w:left w:w="20" w:type="dxa"/>
              <w:right w:w="20" w:type="dxa"/>
            </w:tcMar>
          </w:tcPr>
          <w:p w14:paraId="770E331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91(88.3%)</w:t>
            </w:r>
          </w:p>
        </w:tc>
        <w:tc>
          <w:tcPr>
            <w:tcW w:w="1256" w:type="dxa"/>
            <w:tcBorders>
              <w:top w:val="nil"/>
              <w:left w:val="nil"/>
              <w:bottom w:val="nil"/>
              <w:right w:val="nil"/>
            </w:tcBorders>
            <w:shd w:val="clear" w:color="auto" w:fill="FFFFFF"/>
            <w:tcMar>
              <w:left w:w="20" w:type="dxa"/>
              <w:right w:w="20" w:type="dxa"/>
            </w:tcMar>
          </w:tcPr>
          <w:p w14:paraId="6AF6607F">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7AB79383">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5F8EDB33">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&gt;17.1</w:t>
            </w:r>
          </w:p>
        </w:tc>
        <w:tc>
          <w:tcPr>
            <w:tcW w:w="1697" w:type="dxa"/>
            <w:tcBorders>
              <w:top w:val="nil"/>
              <w:left w:val="nil"/>
              <w:bottom w:val="nil"/>
              <w:right w:val="nil"/>
            </w:tcBorders>
            <w:shd w:val="clear" w:color="auto" w:fill="FFFFFF"/>
            <w:tcMar>
              <w:left w:w="20" w:type="dxa"/>
              <w:right w:w="20" w:type="dxa"/>
            </w:tcMar>
          </w:tcPr>
          <w:p w14:paraId="10CA883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30(14.8%)</w:t>
            </w:r>
          </w:p>
        </w:tc>
        <w:tc>
          <w:tcPr>
            <w:tcW w:w="1697" w:type="dxa"/>
            <w:tcBorders>
              <w:top w:val="nil"/>
              <w:left w:val="nil"/>
              <w:bottom w:val="nil"/>
              <w:right w:val="nil"/>
            </w:tcBorders>
            <w:shd w:val="clear" w:color="auto" w:fill="FFFFFF"/>
            <w:tcMar>
              <w:left w:w="20" w:type="dxa"/>
              <w:right w:w="20" w:type="dxa"/>
            </w:tcMar>
          </w:tcPr>
          <w:p w14:paraId="17D398B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18(18.0%)</w:t>
            </w:r>
          </w:p>
        </w:tc>
        <w:tc>
          <w:tcPr>
            <w:tcW w:w="1699" w:type="dxa"/>
            <w:tcBorders>
              <w:top w:val="nil"/>
              <w:left w:val="nil"/>
              <w:bottom w:val="nil"/>
              <w:right w:val="nil"/>
            </w:tcBorders>
            <w:shd w:val="clear" w:color="auto" w:fill="FFFFFF"/>
            <w:tcMar>
              <w:left w:w="20" w:type="dxa"/>
              <w:right w:w="20" w:type="dxa"/>
            </w:tcMar>
          </w:tcPr>
          <w:p w14:paraId="3425A3B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12(11.7%)</w:t>
            </w:r>
          </w:p>
        </w:tc>
        <w:tc>
          <w:tcPr>
            <w:tcW w:w="1256" w:type="dxa"/>
            <w:tcBorders>
              <w:top w:val="nil"/>
              <w:left w:val="nil"/>
              <w:bottom w:val="nil"/>
              <w:right w:val="nil"/>
            </w:tcBorders>
            <w:shd w:val="clear" w:color="auto" w:fill="FFFFFF"/>
            <w:tcMar>
              <w:left w:w="20" w:type="dxa"/>
              <w:right w:w="20" w:type="dxa"/>
            </w:tcMar>
          </w:tcPr>
          <w:p w14:paraId="281F88D5">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535A2821">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7BBDACB3">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PT (s)</w:t>
            </w:r>
          </w:p>
        </w:tc>
        <w:tc>
          <w:tcPr>
            <w:tcW w:w="1697" w:type="dxa"/>
            <w:tcBorders>
              <w:top w:val="nil"/>
              <w:left w:val="nil"/>
              <w:bottom w:val="nil"/>
              <w:right w:val="nil"/>
            </w:tcBorders>
            <w:shd w:val="clear" w:color="auto" w:fill="FFFFFF"/>
            <w:tcMar>
              <w:left w:w="20" w:type="dxa"/>
              <w:right w:w="20" w:type="dxa"/>
            </w:tcMar>
          </w:tcPr>
          <w:p w14:paraId="30E5F9A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04C3917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1736A13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4E1B40CE">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0.003</w:t>
            </w:r>
          </w:p>
        </w:tc>
      </w:tr>
      <w:tr w14:paraId="3D960A84">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23E0BE9A">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Arial" w:hAnsi="Arial" w:cs="Arial"/>
                <w:color w:val="000000"/>
                <w:sz w:val="18"/>
                <w:szCs w:val="18"/>
              </w:rPr>
              <w:t>≤</w:t>
            </w:r>
            <w:r>
              <w:rPr>
                <w:rFonts w:ascii="Times New Roman" w:hAnsi="Times New Roman" w:cs="Times New Roman"/>
                <w:color w:val="000000"/>
                <w:sz w:val="18"/>
                <w:szCs w:val="18"/>
              </w:rPr>
              <w:t>13</w:t>
            </w:r>
          </w:p>
        </w:tc>
        <w:tc>
          <w:tcPr>
            <w:tcW w:w="1697" w:type="dxa"/>
            <w:tcBorders>
              <w:top w:val="nil"/>
              <w:left w:val="nil"/>
              <w:bottom w:val="nil"/>
              <w:right w:val="nil"/>
            </w:tcBorders>
            <w:shd w:val="clear" w:color="auto" w:fill="FFFFFF"/>
            <w:tcMar>
              <w:left w:w="20" w:type="dxa"/>
              <w:right w:w="20" w:type="dxa"/>
            </w:tcMar>
          </w:tcPr>
          <w:p w14:paraId="52A8A87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180(88.7%)</w:t>
            </w:r>
          </w:p>
        </w:tc>
        <w:tc>
          <w:tcPr>
            <w:tcW w:w="1697" w:type="dxa"/>
            <w:tcBorders>
              <w:top w:val="nil"/>
              <w:left w:val="nil"/>
              <w:bottom w:val="nil"/>
              <w:right w:val="nil"/>
            </w:tcBorders>
            <w:shd w:val="clear" w:color="auto" w:fill="FFFFFF"/>
            <w:tcMar>
              <w:left w:w="20" w:type="dxa"/>
              <w:right w:w="20" w:type="dxa"/>
            </w:tcMar>
          </w:tcPr>
          <w:p w14:paraId="6D4EAFF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82(82.0%)</w:t>
            </w:r>
          </w:p>
        </w:tc>
        <w:tc>
          <w:tcPr>
            <w:tcW w:w="1699" w:type="dxa"/>
            <w:tcBorders>
              <w:top w:val="nil"/>
              <w:left w:val="nil"/>
              <w:bottom w:val="nil"/>
              <w:right w:val="nil"/>
            </w:tcBorders>
            <w:shd w:val="clear" w:color="auto" w:fill="FFFFFF"/>
            <w:tcMar>
              <w:left w:w="20" w:type="dxa"/>
              <w:right w:w="20" w:type="dxa"/>
            </w:tcMar>
          </w:tcPr>
          <w:p w14:paraId="2F85179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98(95.1%)</w:t>
            </w:r>
          </w:p>
        </w:tc>
        <w:tc>
          <w:tcPr>
            <w:tcW w:w="1256" w:type="dxa"/>
            <w:tcBorders>
              <w:top w:val="nil"/>
              <w:left w:val="nil"/>
              <w:bottom w:val="nil"/>
              <w:right w:val="nil"/>
            </w:tcBorders>
            <w:shd w:val="clear" w:color="auto" w:fill="FFFFFF"/>
            <w:tcMar>
              <w:left w:w="20" w:type="dxa"/>
              <w:right w:w="20" w:type="dxa"/>
            </w:tcMar>
          </w:tcPr>
          <w:p w14:paraId="53264AAC">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11360050">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7C94B46F">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&gt;13</w:t>
            </w:r>
          </w:p>
        </w:tc>
        <w:tc>
          <w:tcPr>
            <w:tcW w:w="1697" w:type="dxa"/>
            <w:tcBorders>
              <w:top w:val="nil"/>
              <w:left w:val="nil"/>
              <w:bottom w:val="nil"/>
              <w:right w:val="nil"/>
            </w:tcBorders>
            <w:shd w:val="clear" w:color="auto" w:fill="FFFFFF"/>
            <w:tcMar>
              <w:left w:w="20" w:type="dxa"/>
              <w:right w:w="20" w:type="dxa"/>
            </w:tcMar>
          </w:tcPr>
          <w:p w14:paraId="4DB821C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23(11.3%)</w:t>
            </w:r>
          </w:p>
        </w:tc>
        <w:tc>
          <w:tcPr>
            <w:tcW w:w="1697" w:type="dxa"/>
            <w:tcBorders>
              <w:top w:val="nil"/>
              <w:left w:val="nil"/>
              <w:bottom w:val="nil"/>
              <w:right w:val="nil"/>
            </w:tcBorders>
            <w:shd w:val="clear" w:color="auto" w:fill="FFFFFF"/>
            <w:tcMar>
              <w:left w:w="20" w:type="dxa"/>
              <w:right w:w="20" w:type="dxa"/>
            </w:tcMar>
          </w:tcPr>
          <w:p w14:paraId="22D4E8A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18(18.0%)</w:t>
            </w:r>
          </w:p>
        </w:tc>
        <w:tc>
          <w:tcPr>
            <w:tcW w:w="1699" w:type="dxa"/>
            <w:tcBorders>
              <w:top w:val="nil"/>
              <w:left w:val="nil"/>
              <w:bottom w:val="nil"/>
              <w:right w:val="nil"/>
            </w:tcBorders>
            <w:shd w:val="clear" w:color="auto" w:fill="FFFFFF"/>
            <w:tcMar>
              <w:left w:w="20" w:type="dxa"/>
              <w:right w:w="20" w:type="dxa"/>
            </w:tcMar>
          </w:tcPr>
          <w:p w14:paraId="4151928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5(4.9%)</w:t>
            </w:r>
          </w:p>
        </w:tc>
        <w:tc>
          <w:tcPr>
            <w:tcW w:w="1256" w:type="dxa"/>
            <w:tcBorders>
              <w:top w:val="nil"/>
              <w:left w:val="nil"/>
              <w:bottom w:val="nil"/>
              <w:right w:val="nil"/>
            </w:tcBorders>
            <w:shd w:val="clear" w:color="auto" w:fill="FFFFFF"/>
            <w:tcMar>
              <w:left w:w="20" w:type="dxa"/>
              <w:right w:w="20" w:type="dxa"/>
            </w:tcMar>
          </w:tcPr>
          <w:p w14:paraId="1830D39F">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1BB9CBC7">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14D11A59">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Child-Pugh</w:t>
            </w:r>
          </w:p>
        </w:tc>
        <w:tc>
          <w:tcPr>
            <w:tcW w:w="1697" w:type="dxa"/>
            <w:tcBorders>
              <w:top w:val="nil"/>
              <w:left w:val="nil"/>
              <w:bottom w:val="nil"/>
              <w:right w:val="nil"/>
            </w:tcBorders>
            <w:shd w:val="clear" w:color="auto" w:fill="FFFFFF"/>
            <w:tcMar>
              <w:left w:w="20" w:type="dxa"/>
              <w:right w:w="20" w:type="dxa"/>
            </w:tcMar>
          </w:tcPr>
          <w:p w14:paraId="53235BB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458DDC8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29B42CD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3399DFFC">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0.207</w:t>
            </w:r>
          </w:p>
        </w:tc>
      </w:tr>
      <w:tr w14:paraId="147C356E">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1D054177">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A</w:t>
            </w:r>
          </w:p>
        </w:tc>
        <w:tc>
          <w:tcPr>
            <w:tcW w:w="1697" w:type="dxa"/>
            <w:tcBorders>
              <w:top w:val="nil"/>
              <w:left w:val="nil"/>
              <w:bottom w:val="nil"/>
              <w:right w:val="nil"/>
            </w:tcBorders>
            <w:shd w:val="clear" w:color="auto" w:fill="FFFFFF"/>
            <w:tcMar>
              <w:left w:w="20" w:type="dxa"/>
              <w:right w:w="20" w:type="dxa"/>
            </w:tcMar>
          </w:tcPr>
          <w:p w14:paraId="7BD549FC">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198(97.5%)</w:t>
            </w:r>
          </w:p>
        </w:tc>
        <w:tc>
          <w:tcPr>
            <w:tcW w:w="1697" w:type="dxa"/>
            <w:tcBorders>
              <w:top w:val="nil"/>
              <w:left w:val="nil"/>
              <w:bottom w:val="nil"/>
              <w:right w:val="nil"/>
            </w:tcBorders>
            <w:shd w:val="clear" w:color="auto" w:fill="FFFFFF"/>
            <w:tcMar>
              <w:left w:w="20" w:type="dxa"/>
              <w:right w:w="20" w:type="dxa"/>
            </w:tcMar>
          </w:tcPr>
          <w:p w14:paraId="7E1739D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96(96.0%)</w:t>
            </w:r>
          </w:p>
        </w:tc>
        <w:tc>
          <w:tcPr>
            <w:tcW w:w="1699" w:type="dxa"/>
            <w:tcBorders>
              <w:top w:val="nil"/>
              <w:left w:val="nil"/>
              <w:bottom w:val="nil"/>
              <w:right w:val="nil"/>
            </w:tcBorders>
            <w:shd w:val="clear" w:color="auto" w:fill="FFFFFF"/>
            <w:tcMar>
              <w:left w:w="20" w:type="dxa"/>
              <w:right w:w="20" w:type="dxa"/>
            </w:tcMar>
          </w:tcPr>
          <w:p w14:paraId="65D0780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102(99.0%)</w:t>
            </w:r>
          </w:p>
        </w:tc>
        <w:tc>
          <w:tcPr>
            <w:tcW w:w="1256" w:type="dxa"/>
            <w:tcBorders>
              <w:top w:val="nil"/>
              <w:left w:val="nil"/>
              <w:bottom w:val="nil"/>
              <w:right w:val="nil"/>
            </w:tcBorders>
            <w:shd w:val="clear" w:color="auto" w:fill="FFFFFF"/>
            <w:tcMar>
              <w:left w:w="20" w:type="dxa"/>
              <w:right w:w="20" w:type="dxa"/>
            </w:tcMar>
          </w:tcPr>
          <w:p w14:paraId="7CBF01DF">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7CB5E44D">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57715EE7">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B</w:t>
            </w:r>
          </w:p>
        </w:tc>
        <w:tc>
          <w:tcPr>
            <w:tcW w:w="1697" w:type="dxa"/>
            <w:tcBorders>
              <w:top w:val="nil"/>
              <w:left w:val="nil"/>
              <w:bottom w:val="nil"/>
              <w:right w:val="nil"/>
            </w:tcBorders>
            <w:shd w:val="clear" w:color="auto" w:fill="FFFFFF"/>
            <w:tcMar>
              <w:left w:w="20" w:type="dxa"/>
              <w:right w:w="20" w:type="dxa"/>
            </w:tcMar>
          </w:tcPr>
          <w:p w14:paraId="0E3790B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5(2.5%)</w:t>
            </w:r>
          </w:p>
        </w:tc>
        <w:tc>
          <w:tcPr>
            <w:tcW w:w="1697" w:type="dxa"/>
            <w:tcBorders>
              <w:top w:val="nil"/>
              <w:left w:val="nil"/>
              <w:bottom w:val="nil"/>
              <w:right w:val="nil"/>
            </w:tcBorders>
            <w:shd w:val="clear" w:color="auto" w:fill="FFFFFF"/>
            <w:tcMar>
              <w:left w:w="20" w:type="dxa"/>
              <w:right w:w="20" w:type="dxa"/>
            </w:tcMar>
          </w:tcPr>
          <w:p w14:paraId="787B301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4(4.0%)</w:t>
            </w:r>
          </w:p>
        </w:tc>
        <w:tc>
          <w:tcPr>
            <w:tcW w:w="1699" w:type="dxa"/>
            <w:tcBorders>
              <w:top w:val="nil"/>
              <w:left w:val="nil"/>
              <w:bottom w:val="nil"/>
              <w:right w:val="nil"/>
            </w:tcBorders>
            <w:shd w:val="clear" w:color="auto" w:fill="FFFFFF"/>
            <w:tcMar>
              <w:left w:w="20" w:type="dxa"/>
              <w:right w:w="20" w:type="dxa"/>
            </w:tcMar>
          </w:tcPr>
          <w:p w14:paraId="6E1736B8">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1(1.0%)</w:t>
            </w:r>
          </w:p>
        </w:tc>
        <w:tc>
          <w:tcPr>
            <w:tcW w:w="1256" w:type="dxa"/>
            <w:tcBorders>
              <w:top w:val="nil"/>
              <w:left w:val="nil"/>
              <w:bottom w:val="nil"/>
              <w:right w:val="nil"/>
            </w:tcBorders>
            <w:shd w:val="clear" w:color="auto" w:fill="FFFFFF"/>
            <w:tcMar>
              <w:left w:w="20" w:type="dxa"/>
              <w:right w:w="20" w:type="dxa"/>
            </w:tcMar>
          </w:tcPr>
          <w:p w14:paraId="270DDC98">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28DF95D2">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3812E130">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Tumor number</w:t>
            </w:r>
          </w:p>
        </w:tc>
        <w:tc>
          <w:tcPr>
            <w:tcW w:w="1697" w:type="dxa"/>
            <w:tcBorders>
              <w:top w:val="nil"/>
              <w:left w:val="nil"/>
              <w:bottom w:val="nil"/>
              <w:right w:val="nil"/>
            </w:tcBorders>
            <w:shd w:val="clear" w:color="auto" w:fill="FFFFFF"/>
            <w:tcMar>
              <w:left w:w="20" w:type="dxa"/>
              <w:right w:w="20" w:type="dxa"/>
            </w:tcMar>
          </w:tcPr>
          <w:p w14:paraId="52771D6A">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7975AC1C">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6DDEBCCC">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0C91D63B">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0.188</w:t>
            </w:r>
          </w:p>
        </w:tc>
      </w:tr>
      <w:tr w14:paraId="4699D28B">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6424BB67">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S</w:t>
            </w:r>
            <w:r>
              <w:rPr>
                <w:rFonts w:ascii="Times New Roman" w:hAnsi="Times New Roman" w:cs="Times New Roman"/>
                <w:color w:val="000000"/>
                <w:sz w:val="18"/>
                <w:szCs w:val="18"/>
              </w:rPr>
              <w:t>ingle</w:t>
            </w:r>
          </w:p>
        </w:tc>
        <w:tc>
          <w:tcPr>
            <w:tcW w:w="1697" w:type="dxa"/>
            <w:tcBorders>
              <w:top w:val="nil"/>
              <w:left w:val="nil"/>
              <w:bottom w:val="nil"/>
              <w:right w:val="nil"/>
            </w:tcBorders>
            <w:shd w:val="clear" w:color="auto" w:fill="FFFFFF"/>
            <w:tcMar>
              <w:left w:w="20" w:type="dxa"/>
              <w:right w:w="20" w:type="dxa"/>
            </w:tcMar>
          </w:tcPr>
          <w:p w14:paraId="4573C85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117(57.6%)</w:t>
            </w:r>
          </w:p>
        </w:tc>
        <w:tc>
          <w:tcPr>
            <w:tcW w:w="1697" w:type="dxa"/>
            <w:tcBorders>
              <w:top w:val="nil"/>
              <w:left w:val="nil"/>
              <w:bottom w:val="nil"/>
              <w:right w:val="nil"/>
            </w:tcBorders>
            <w:shd w:val="clear" w:color="auto" w:fill="FFFFFF"/>
            <w:tcMar>
              <w:left w:w="20" w:type="dxa"/>
              <w:right w:w="20" w:type="dxa"/>
            </w:tcMar>
          </w:tcPr>
          <w:p w14:paraId="735DB7B9">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53(53.0%)</w:t>
            </w:r>
          </w:p>
        </w:tc>
        <w:tc>
          <w:tcPr>
            <w:tcW w:w="1699" w:type="dxa"/>
            <w:tcBorders>
              <w:top w:val="nil"/>
              <w:left w:val="nil"/>
              <w:bottom w:val="nil"/>
              <w:right w:val="nil"/>
            </w:tcBorders>
            <w:shd w:val="clear" w:color="auto" w:fill="FFFFFF"/>
            <w:tcMar>
              <w:left w:w="20" w:type="dxa"/>
              <w:right w:w="20" w:type="dxa"/>
            </w:tcMar>
          </w:tcPr>
          <w:p w14:paraId="526A8547">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64(62.1%)</w:t>
            </w:r>
          </w:p>
        </w:tc>
        <w:tc>
          <w:tcPr>
            <w:tcW w:w="1256" w:type="dxa"/>
            <w:tcBorders>
              <w:top w:val="nil"/>
              <w:left w:val="nil"/>
              <w:bottom w:val="nil"/>
              <w:right w:val="nil"/>
            </w:tcBorders>
            <w:shd w:val="clear" w:color="auto" w:fill="FFFFFF"/>
            <w:tcMar>
              <w:left w:w="20" w:type="dxa"/>
              <w:right w:w="20" w:type="dxa"/>
            </w:tcMar>
          </w:tcPr>
          <w:p w14:paraId="687A67C0">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4108AA9C">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34485DA0">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M</w:t>
            </w:r>
            <w:r>
              <w:rPr>
                <w:rFonts w:ascii="Times New Roman" w:hAnsi="Times New Roman" w:cs="Times New Roman"/>
                <w:color w:val="000000"/>
                <w:sz w:val="18"/>
                <w:szCs w:val="18"/>
              </w:rPr>
              <w:t>ultiple</w:t>
            </w:r>
          </w:p>
        </w:tc>
        <w:tc>
          <w:tcPr>
            <w:tcW w:w="1697" w:type="dxa"/>
            <w:tcBorders>
              <w:top w:val="nil"/>
              <w:left w:val="nil"/>
              <w:bottom w:val="nil"/>
              <w:right w:val="nil"/>
            </w:tcBorders>
            <w:shd w:val="clear" w:color="auto" w:fill="FFFFFF"/>
            <w:tcMar>
              <w:left w:w="20" w:type="dxa"/>
              <w:right w:w="20" w:type="dxa"/>
            </w:tcMar>
          </w:tcPr>
          <w:p w14:paraId="258E9CB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86(42.4%)</w:t>
            </w:r>
          </w:p>
        </w:tc>
        <w:tc>
          <w:tcPr>
            <w:tcW w:w="1697" w:type="dxa"/>
            <w:tcBorders>
              <w:top w:val="nil"/>
              <w:left w:val="nil"/>
              <w:bottom w:val="nil"/>
              <w:right w:val="nil"/>
            </w:tcBorders>
            <w:shd w:val="clear" w:color="auto" w:fill="FFFFFF"/>
            <w:tcMar>
              <w:left w:w="20" w:type="dxa"/>
              <w:right w:w="20" w:type="dxa"/>
            </w:tcMar>
          </w:tcPr>
          <w:p w14:paraId="44C1526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47(47.0%)</w:t>
            </w:r>
          </w:p>
        </w:tc>
        <w:tc>
          <w:tcPr>
            <w:tcW w:w="1699" w:type="dxa"/>
            <w:tcBorders>
              <w:top w:val="nil"/>
              <w:left w:val="nil"/>
              <w:bottom w:val="nil"/>
              <w:right w:val="nil"/>
            </w:tcBorders>
            <w:shd w:val="clear" w:color="auto" w:fill="FFFFFF"/>
            <w:tcMar>
              <w:left w:w="20" w:type="dxa"/>
              <w:right w:w="20" w:type="dxa"/>
            </w:tcMar>
          </w:tcPr>
          <w:p w14:paraId="5898052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39(37.9%)</w:t>
            </w:r>
          </w:p>
        </w:tc>
        <w:tc>
          <w:tcPr>
            <w:tcW w:w="1256" w:type="dxa"/>
            <w:tcBorders>
              <w:top w:val="nil"/>
              <w:left w:val="nil"/>
              <w:bottom w:val="nil"/>
              <w:right w:val="nil"/>
            </w:tcBorders>
            <w:shd w:val="clear" w:color="auto" w:fill="FFFFFF"/>
            <w:tcMar>
              <w:left w:w="20" w:type="dxa"/>
              <w:right w:w="20" w:type="dxa"/>
            </w:tcMar>
          </w:tcPr>
          <w:p w14:paraId="58E26539">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631CF67C">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5E4523AF">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sz w:val="18"/>
                <w:szCs w:val="18"/>
              </w:rPr>
              <w:t>Largest diameter of tumor</w:t>
            </w:r>
            <w:r>
              <w:rPr>
                <w:rFonts w:hint="eastAsia" w:ascii="Times New Roman" w:hAnsi="Times New Roman" w:cs="Times New Roman"/>
                <w:b/>
                <w:bCs/>
                <w:sz w:val="18"/>
                <w:szCs w:val="18"/>
              </w:rPr>
              <w:t xml:space="preserve"> (cm)</w:t>
            </w:r>
            <w:r>
              <w:rPr>
                <w:rFonts w:hint="default" w:ascii="Times New Roman" w:hAnsi="Times New Roman" w:cs="Times New Roman" w:eastAsiaTheme="minorEastAsia"/>
                <w:color w:val="000000"/>
                <w:kern w:val="2"/>
                <w:sz w:val="18"/>
                <w:szCs w:val="18"/>
                <w:lang w:val="en-US" w:eastAsia="zh-CN" w:bidi="ar-SA"/>
              </w:rPr>
              <w:t>‡</w:t>
            </w:r>
          </w:p>
        </w:tc>
        <w:tc>
          <w:tcPr>
            <w:tcW w:w="1697" w:type="dxa"/>
            <w:tcBorders>
              <w:top w:val="nil"/>
              <w:left w:val="nil"/>
              <w:bottom w:val="nil"/>
              <w:right w:val="nil"/>
            </w:tcBorders>
            <w:shd w:val="clear" w:color="auto" w:fill="FFFFFF"/>
            <w:tcMar>
              <w:left w:w="20" w:type="dxa"/>
              <w:right w:w="20" w:type="dxa"/>
            </w:tcMar>
          </w:tcPr>
          <w:p w14:paraId="177FF29A">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6.5 (4.8,9.1)</w:t>
            </w:r>
          </w:p>
        </w:tc>
        <w:tc>
          <w:tcPr>
            <w:tcW w:w="1697" w:type="dxa"/>
            <w:tcBorders>
              <w:top w:val="nil"/>
              <w:left w:val="nil"/>
              <w:bottom w:val="nil"/>
              <w:right w:val="nil"/>
            </w:tcBorders>
            <w:shd w:val="clear" w:color="auto" w:fill="FFFFFF"/>
            <w:tcMar>
              <w:left w:w="20" w:type="dxa"/>
              <w:right w:w="20" w:type="dxa"/>
            </w:tcMar>
          </w:tcPr>
          <w:p w14:paraId="5F401D5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7.5 (5.6,9.5)</w:t>
            </w:r>
          </w:p>
        </w:tc>
        <w:tc>
          <w:tcPr>
            <w:tcW w:w="1699" w:type="dxa"/>
            <w:tcBorders>
              <w:top w:val="nil"/>
              <w:left w:val="nil"/>
              <w:bottom w:val="nil"/>
              <w:right w:val="nil"/>
            </w:tcBorders>
            <w:shd w:val="clear" w:color="auto" w:fill="FFFFFF"/>
            <w:tcMar>
              <w:left w:w="20" w:type="dxa"/>
              <w:right w:w="20" w:type="dxa"/>
            </w:tcMar>
          </w:tcPr>
          <w:p w14:paraId="6C13358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5.8 (4.5,8.7)</w:t>
            </w:r>
          </w:p>
        </w:tc>
        <w:tc>
          <w:tcPr>
            <w:tcW w:w="1256" w:type="dxa"/>
            <w:tcBorders>
              <w:top w:val="nil"/>
              <w:left w:val="nil"/>
              <w:bottom w:val="nil"/>
              <w:right w:val="nil"/>
            </w:tcBorders>
            <w:shd w:val="clear" w:color="auto" w:fill="FFFFFF"/>
            <w:tcMar>
              <w:left w:w="20" w:type="dxa"/>
              <w:right w:w="20" w:type="dxa"/>
            </w:tcMar>
          </w:tcPr>
          <w:p w14:paraId="1C76EE7B">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0.002</w:t>
            </w:r>
          </w:p>
        </w:tc>
      </w:tr>
      <w:tr w14:paraId="4B6AE920">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4F319CE6">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BCLC stage</w:t>
            </w:r>
          </w:p>
        </w:tc>
        <w:tc>
          <w:tcPr>
            <w:tcW w:w="1697" w:type="dxa"/>
            <w:tcBorders>
              <w:top w:val="nil"/>
              <w:left w:val="nil"/>
              <w:bottom w:val="nil"/>
              <w:right w:val="nil"/>
            </w:tcBorders>
            <w:shd w:val="clear" w:color="auto" w:fill="FFFFFF"/>
            <w:tcMar>
              <w:left w:w="20" w:type="dxa"/>
              <w:right w:w="20" w:type="dxa"/>
            </w:tcMar>
          </w:tcPr>
          <w:p w14:paraId="32C0CF4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6F9D1D9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3473B6C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744BA9ED">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0.275</w:t>
            </w:r>
          </w:p>
        </w:tc>
      </w:tr>
      <w:tr w14:paraId="597CB5CE">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6042B4D0">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A</w:t>
            </w:r>
          </w:p>
        </w:tc>
        <w:tc>
          <w:tcPr>
            <w:tcW w:w="1697" w:type="dxa"/>
            <w:tcBorders>
              <w:top w:val="nil"/>
              <w:left w:val="nil"/>
              <w:bottom w:val="nil"/>
              <w:right w:val="nil"/>
            </w:tcBorders>
            <w:shd w:val="clear" w:color="auto" w:fill="FFFFFF"/>
            <w:tcMar>
              <w:left w:w="20" w:type="dxa"/>
              <w:right w:w="20" w:type="dxa"/>
            </w:tcMar>
          </w:tcPr>
          <w:p w14:paraId="655AE51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91(44.8%)</w:t>
            </w:r>
          </w:p>
        </w:tc>
        <w:tc>
          <w:tcPr>
            <w:tcW w:w="1697" w:type="dxa"/>
            <w:tcBorders>
              <w:top w:val="nil"/>
              <w:left w:val="nil"/>
              <w:bottom w:val="nil"/>
              <w:right w:val="nil"/>
            </w:tcBorders>
            <w:shd w:val="clear" w:color="auto" w:fill="FFFFFF"/>
            <w:tcMar>
              <w:left w:w="20" w:type="dxa"/>
              <w:right w:w="20" w:type="dxa"/>
            </w:tcMar>
          </w:tcPr>
          <w:p w14:paraId="38F8391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41(41.0%)</w:t>
            </w:r>
          </w:p>
        </w:tc>
        <w:tc>
          <w:tcPr>
            <w:tcW w:w="1699" w:type="dxa"/>
            <w:tcBorders>
              <w:top w:val="nil"/>
              <w:left w:val="nil"/>
              <w:bottom w:val="nil"/>
              <w:right w:val="nil"/>
            </w:tcBorders>
            <w:shd w:val="clear" w:color="auto" w:fill="FFFFFF"/>
            <w:tcMar>
              <w:left w:w="20" w:type="dxa"/>
              <w:right w:w="20" w:type="dxa"/>
            </w:tcMar>
          </w:tcPr>
          <w:p w14:paraId="4B6A19C9">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50(48.5%)</w:t>
            </w:r>
          </w:p>
        </w:tc>
        <w:tc>
          <w:tcPr>
            <w:tcW w:w="1256" w:type="dxa"/>
            <w:tcBorders>
              <w:top w:val="nil"/>
              <w:left w:val="nil"/>
              <w:bottom w:val="nil"/>
              <w:right w:val="nil"/>
            </w:tcBorders>
            <w:shd w:val="clear" w:color="auto" w:fill="FFFFFF"/>
            <w:tcMar>
              <w:left w:w="20" w:type="dxa"/>
              <w:right w:w="20" w:type="dxa"/>
            </w:tcMar>
          </w:tcPr>
          <w:p w14:paraId="6D64387F">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5D02F0CF">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0ED47F4">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B</w:t>
            </w:r>
          </w:p>
        </w:tc>
        <w:tc>
          <w:tcPr>
            <w:tcW w:w="1697" w:type="dxa"/>
            <w:tcBorders>
              <w:top w:val="nil"/>
              <w:left w:val="nil"/>
              <w:bottom w:val="nil"/>
              <w:right w:val="nil"/>
            </w:tcBorders>
            <w:shd w:val="clear" w:color="auto" w:fill="FFFFFF"/>
            <w:tcMar>
              <w:left w:w="20" w:type="dxa"/>
              <w:right w:w="20" w:type="dxa"/>
            </w:tcMar>
          </w:tcPr>
          <w:p w14:paraId="38C2680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61(30.0%)</w:t>
            </w:r>
          </w:p>
        </w:tc>
        <w:tc>
          <w:tcPr>
            <w:tcW w:w="1697" w:type="dxa"/>
            <w:tcBorders>
              <w:top w:val="nil"/>
              <w:left w:val="nil"/>
              <w:bottom w:val="nil"/>
              <w:right w:val="nil"/>
            </w:tcBorders>
            <w:shd w:val="clear" w:color="auto" w:fill="FFFFFF"/>
            <w:tcMar>
              <w:left w:w="20" w:type="dxa"/>
              <w:right w:w="20" w:type="dxa"/>
            </w:tcMar>
          </w:tcPr>
          <w:p w14:paraId="09AD0CE8">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29(29.0%)</w:t>
            </w:r>
          </w:p>
        </w:tc>
        <w:tc>
          <w:tcPr>
            <w:tcW w:w="1699" w:type="dxa"/>
            <w:tcBorders>
              <w:top w:val="nil"/>
              <w:left w:val="nil"/>
              <w:bottom w:val="nil"/>
              <w:right w:val="nil"/>
            </w:tcBorders>
            <w:shd w:val="clear" w:color="auto" w:fill="FFFFFF"/>
            <w:tcMar>
              <w:left w:w="20" w:type="dxa"/>
              <w:right w:w="20" w:type="dxa"/>
            </w:tcMar>
          </w:tcPr>
          <w:p w14:paraId="499754A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32(31.1%)</w:t>
            </w:r>
          </w:p>
        </w:tc>
        <w:tc>
          <w:tcPr>
            <w:tcW w:w="1256" w:type="dxa"/>
            <w:tcBorders>
              <w:top w:val="nil"/>
              <w:left w:val="nil"/>
              <w:bottom w:val="nil"/>
              <w:right w:val="nil"/>
            </w:tcBorders>
            <w:shd w:val="clear" w:color="auto" w:fill="FFFFFF"/>
            <w:tcMar>
              <w:left w:w="20" w:type="dxa"/>
              <w:right w:w="20" w:type="dxa"/>
            </w:tcMar>
          </w:tcPr>
          <w:p w14:paraId="653E2702">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5155A5DF">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432C40C">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C</w:t>
            </w:r>
          </w:p>
        </w:tc>
        <w:tc>
          <w:tcPr>
            <w:tcW w:w="1697" w:type="dxa"/>
            <w:tcBorders>
              <w:top w:val="nil"/>
              <w:left w:val="nil"/>
              <w:bottom w:val="nil"/>
              <w:right w:val="nil"/>
            </w:tcBorders>
            <w:shd w:val="clear" w:color="auto" w:fill="FFFFFF"/>
            <w:tcMar>
              <w:left w:w="20" w:type="dxa"/>
              <w:right w:w="20" w:type="dxa"/>
            </w:tcMar>
          </w:tcPr>
          <w:p w14:paraId="3F91DC6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51(25.1%)</w:t>
            </w:r>
          </w:p>
        </w:tc>
        <w:tc>
          <w:tcPr>
            <w:tcW w:w="1697" w:type="dxa"/>
            <w:tcBorders>
              <w:top w:val="nil"/>
              <w:left w:val="nil"/>
              <w:bottom w:val="nil"/>
              <w:right w:val="nil"/>
            </w:tcBorders>
            <w:shd w:val="clear" w:color="auto" w:fill="FFFFFF"/>
            <w:tcMar>
              <w:left w:w="20" w:type="dxa"/>
              <w:right w:w="20" w:type="dxa"/>
            </w:tcMar>
          </w:tcPr>
          <w:p w14:paraId="54CDBA8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30(30.0%)</w:t>
            </w:r>
          </w:p>
        </w:tc>
        <w:tc>
          <w:tcPr>
            <w:tcW w:w="1699" w:type="dxa"/>
            <w:tcBorders>
              <w:top w:val="nil"/>
              <w:left w:val="nil"/>
              <w:bottom w:val="nil"/>
              <w:right w:val="nil"/>
            </w:tcBorders>
            <w:shd w:val="clear" w:color="auto" w:fill="FFFFFF"/>
            <w:tcMar>
              <w:left w:w="20" w:type="dxa"/>
              <w:right w:w="20" w:type="dxa"/>
            </w:tcMar>
          </w:tcPr>
          <w:p w14:paraId="6325F48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21(20.4%)</w:t>
            </w:r>
          </w:p>
        </w:tc>
        <w:tc>
          <w:tcPr>
            <w:tcW w:w="1256" w:type="dxa"/>
            <w:tcBorders>
              <w:top w:val="nil"/>
              <w:left w:val="nil"/>
              <w:bottom w:val="nil"/>
              <w:right w:val="nil"/>
            </w:tcBorders>
            <w:shd w:val="clear" w:color="auto" w:fill="FFFFFF"/>
            <w:tcMar>
              <w:left w:w="20" w:type="dxa"/>
              <w:right w:w="20" w:type="dxa"/>
            </w:tcMar>
          </w:tcPr>
          <w:p w14:paraId="3AD933D2">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33826F6C">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29A23511">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Vascular invasion</w:t>
            </w:r>
          </w:p>
        </w:tc>
        <w:tc>
          <w:tcPr>
            <w:tcW w:w="1697" w:type="dxa"/>
            <w:tcBorders>
              <w:top w:val="nil"/>
              <w:left w:val="nil"/>
              <w:bottom w:val="nil"/>
              <w:right w:val="nil"/>
            </w:tcBorders>
            <w:shd w:val="clear" w:color="auto" w:fill="FFFFFF"/>
            <w:tcMar>
              <w:left w:w="20" w:type="dxa"/>
              <w:right w:w="20" w:type="dxa"/>
            </w:tcMar>
          </w:tcPr>
          <w:p w14:paraId="6CF1222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1D118D4A">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44510E6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4625A5D3">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0.017</w:t>
            </w:r>
          </w:p>
        </w:tc>
      </w:tr>
      <w:tr w14:paraId="1C10D6E6">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2AE78AD2">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Negative</w:t>
            </w:r>
          </w:p>
        </w:tc>
        <w:tc>
          <w:tcPr>
            <w:tcW w:w="1697" w:type="dxa"/>
            <w:tcBorders>
              <w:top w:val="nil"/>
              <w:left w:val="nil"/>
              <w:bottom w:val="nil"/>
              <w:right w:val="nil"/>
            </w:tcBorders>
            <w:shd w:val="clear" w:color="auto" w:fill="FFFFFF"/>
            <w:tcMar>
              <w:left w:w="20" w:type="dxa"/>
              <w:right w:w="20" w:type="dxa"/>
            </w:tcMar>
          </w:tcPr>
          <w:p w14:paraId="43F9C94A">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162(79.8%)</w:t>
            </w:r>
          </w:p>
        </w:tc>
        <w:tc>
          <w:tcPr>
            <w:tcW w:w="1697" w:type="dxa"/>
            <w:tcBorders>
              <w:top w:val="nil"/>
              <w:left w:val="nil"/>
              <w:bottom w:val="nil"/>
              <w:right w:val="nil"/>
            </w:tcBorders>
            <w:shd w:val="clear" w:color="auto" w:fill="FFFFFF"/>
            <w:tcMar>
              <w:left w:w="20" w:type="dxa"/>
              <w:right w:w="20" w:type="dxa"/>
            </w:tcMar>
          </w:tcPr>
          <w:p w14:paraId="602E5F69">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73(73.0%)</w:t>
            </w:r>
          </w:p>
        </w:tc>
        <w:tc>
          <w:tcPr>
            <w:tcW w:w="1699" w:type="dxa"/>
            <w:tcBorders>
              <w:top w:val="nil"/>
              <w:left w:val="nil"/>
              <w:bottom w:val="nil"/>
              <w:right w:val="nil"/>
            </w:tcBorders>
            <w:shd w:val="clear" w:color="auto" w:fill="FFFFFF"/>
            <w:tcMar>
              <w:left w:w="20" w:type="dxa"/>
              <w:right w:w="20" w:type="dxa"/>
            </w:tcMar>
          </w:tcPr>
          <w:p w14:paraId="2328EB1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89(86.4%)</w:t>
            </w:r>
          </w:p>
        </w:tc>
        <w:tc>
          <w:tcPr>
            <w:tcW w:w="1256" w:type="dxa"/>
            <w:tcBorders>
              <w:top w:val="nil"/>
              <w:left w:val="nil"/>
              <w:bottom w:val="nil"/>
              <w:right w:val="nil"/>
            </w:tcBorders>
            <w:shd w:val="clear" w:color="auto" w:fill="FFFFFF"/>
            <w:tcMar>
              <w:left w:w="20" w:type="dxa"/>
              <w:right w:w="20" w:type="dxa"/>
            </w:tcMar>
          </w:tcPr>
          <w:p w14:paraId="0C60DB31">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73314D52">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1F25EA4B">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Positive</w:t>
            </w:r>
          </w:p>
        </w:tc>
        <w:tc>
          <w:tcPr>
            <w:tcW w:w="1697" w:type="dxa"/>
            <w:tcBorders>
              <w:top w:val="nil"/>
              <w:left w:val="nil"/>
              <w:bottom w:val="nil"/>
              <w:right w:val="nil"/>
            </w:tcBorders>
            <w:shd w:val="clear" w:color="auto" w:fill="FFFFFF"/>
            <w:tcMar>
              <w:left w:w="20" w:type="dxa"/>
              <w:right w:w="20" w:type="dxa"/>
            </w:tcMar>
          </w:tcPr>
          <w:p w14:paraId="4DAA721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41(20.2%)</w:t>
            </w:r>
          </w:p>
        </w:tc>
        <w:tc>
          <w:tcPr>
            <w:tcW w:w="1697" w:type="dxa"/>
            <w:tcBorders>
              <w:top w:val="nil"/>
              <w:left w:val="nil"/>
              <w:bottom w:val="nil"/>
              <w:right w:val="nil"/>
            </w:tcBorders>
            <w:shd w:val="clear" w:color="auto" w:fill="FFFFFF"/>
            <w:tcMar>
              <w:left w:w="20" w:type="dxa"/>
              <w:right w:w="20" w:type="dxa"/>
            </w:tcMar>
          </w:tcPr>
          <w:p w14:paraId="68CB111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27(27.0%)</w:t>
            </w:r>
          </w:p>
        </w:tc>
        <w:tc>
          <w:tcPr>
            <w:tcW w:w="1699" w:type="dxa"/>
            <w:tcBorders>
              <w:top w:val="nil"/>
              <w:left w:val="nil"/>
              <w:bottom w:val="nil"/>
              <w:right w:val="nil"/>
            </w:tcBorders>
            <w:shd w:val="clear" w:color="auto" w:fill="FFFFFF"/>
            <w:tcMar>
              <w:left w:w="20" w:type="dxa"/>
              <w:right w:w="20" w:type="dxa"/>
            </w:tcMar>
          </w:tcPr>
          <w:p w14:paraId="376A0B8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14(13.6%)</w:t>
            </w:r>
          </w:p>
        </w:tc>
        <w:tc>
          <w:tcPr>
            <w:tcW w:w="1256" w:type="dxa"/>
            <w:tcBorders>
              <w:top w:val="nil"/>
              <w:left w:val="nil"/>
              <w:bottom w:val="nil"/>
              <w:right w:val="nil"/>
            </w:tcBorders>
            <w:shd w:val="clear" w:color="auto" w:fill="FFFFFF"/>
            <w:tcMar>
              <w:left w:w="20" w:type="dxa"/>
              <w:right w:w="20" w:type="dxa"/>
            </w:tcMar>
          </w:tcPr>
          <w:p w14:paraId="57122D4A">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3C4A9243">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3440D650">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MVI</w:t>
            </w:r>
          </w:p>
        </w:tc>
        <w:tc>
          <w:tcPr>
            <w:tcW w:w="1697" w:type="dxa"/>
            <w:tcBorders>
              <w:top w:val="nil"/>
              <w:left w:val="nil"/>
              <w:bottom w:val="nil"/>
              <w:right w:val="nil"/>
            </w:tcBorders>
            <w:shd w:val="clear" w:color="auto" w:fill="FFFFFF"/>
            <w:tcMar>
              <w:left w:w="20" w:type="dxa"/>
              <w:right w:w="20" w:type="dxa"/>
            </w:tcMar>
          </w:tcPr>
          <w:p w14:paraId="5B314A0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614EDB2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74E4C95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7081CAF6">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0.238</w:t>
            </w:r>
          </w:p>
        </w:tc>
      </w:tr>
      <w:tr w14:paraId="23860042">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1F1DA9FD">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Negative</w:t>
            </w:r>
          </w:p>
        </w:tc>
        <w:tc>
          <w:tcPr>
            <w:tcW w:w="1697" w:type="dxa"/>
            <w:tcBorders>
              <w:top w:val="nil"/>
              <w:left w:val="nil"/>
              <w:bottom w:val="nil"/>
              <w:right w:val="nil"/>
            </w:tcBorders>
            <w:shd w:val="clear" w:color="auto" w:fill="FFFFFF"/>
            <w:tcMar>
              <w:left w:w="20" w:type="dxa"/>
              <w:right w:w="20" w:type="dxa"/>
            </w:tcMar>
          </w:tcPr>
          <w:p w14:paraId="05D509F8">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177(87.2%)</w:t>
            </w:r>
          </w:p>
        </w:tc>
        <w:tc>
          <w:tcPr>
            <w:tcW w:w="1697" w:type="dxa"/>
            <w:tcBorders>
              <w:top w:val="nil"/>
              <w:left w:val="nil"/>
              <w:bottom w:val="nil"/>
              <w:right w:val="nil"/>
            </w:tcBorders>
            <w:shd w:val="clear" w:color="auto" w:fill="FFFFFF"/>
            <w:tcMar>
              <w:left w:w="20" w:type="dxa"/>
              <w:right w:w="20" w:type="dxa"/>
            </w:tcMar>
          </w:tcPr>
          <w:p w14:paraId="08A04E3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90(90.0%)</w:t>
            </w:r>
          </w:p>
        </w:tc>
        <w:tc>
          <w:tcPr>
            <w:tcW w:w="1699" w:type="dxa"/>
            <w:tcBorders>
              <w:top w:val="nil"/>
              <w:left w:val="nil"/>
              <w:bottom w:val="nil"/>
              <w:right w:val="nil"/>
            </w:tcBorders>
            <w:shd w:val="clear" w:color="auto" w:fill="FFFFFF"/>
            <w:tcMar>
              <w:left w:w="20" w:type="dxa"/>
              <w:right w:w="20" w:type="dxa"/>
            </w:tcMar>
          </w:tcPr>
          <w:p w14:paraId="00F4F3A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87(84.5%)</w:t>
            </w:r>
          </w:p>
        </w:tc>
        <w:tc>
          <w:tcPr>
            <w:tcW w:w="1256" w:type="dxa"/>
            <w:tcBorders>
              <w:top w:val="nil"/>
              <w:left w:val="nil"/>
              <w:bottom w:val="nil"/>
              <w:right w:val="nil"/>
            </w:tcBorders>
            <w:shd w:val="clear" w:color="auto" w:fill="FFFFFF"/>
            <w:tcMar>
              <w:left w:w="20" w:type="dxa"/>
              <w:right w:w="20" w:type="dxa"/>
            </w:tcMar>
          </w:tcPr>
          <w:p w14:paraId="139030C9">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2F8A9496">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13C9F7F5">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Positive</w:t>
            </w:r>
          </w:p>
        </w:tc>
        <w:tc>
          <w:tcPr>
            <w:tcW w:w="1697" w:type="dxa"/>
            <w:tcBorders>
              <w:top w:val="nil"/>
              <w:left w:val="nil"/>
              <w:bottom w:val="nil"/>
              <w:right w:val="nil"/>
            </w:tcBorders>
            <w:shd w:val="clear" w:color="auto" w:fill="FFFFFF"/>
            <w:tcMar>
              <w:left w:w="20" w:type="dxa"/>
              <w:right w:w="20" w:type="dxa"/>
            </w:tcMar>
          </w:tcPr>
          <w:p w14:paraId="49323077">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26(12.8%)</w:t>
            </w:r>
          </w:p>
        </w:tc>
        <w:tc>
          <w:tcPr>
            <w:tcW w:w="1697" w:type="dxa"/>
            <w:tcBorders>
              <w:top w:val="nil"/>
              <w:left w:val="nil"/>
              <w:bottom w:val="nil"/>
              <w:right w:val="nil"/>
            </w:tcBorders>
            <w:shd w:val="clear" w:color="auto" w:fill="FFFFFF"/>
            <w:tcMar>
              <w:left w:w="20" w:type="dxa"/>
              <w:right w:w="20" w:type="dxa"/>
            </w:tcMar>
          </w:tcPr>
          <w:p w14:paraId="26AF6B1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10(10.0%)</w:t>
            </w:r>
          </w:p>
        </w:tc>
        <w:tc>
          <w:tcPr>
            <w:tcW w:w="1699" w:type="dxa"/>
            <w:tcBorders>
              <w:top w:val="nil"/>
              <w:left w:val="nil"/>
              <w:bottom w:val="nil"/>
              <w:right w:val="nil"/>
            </w:tcBorders>
            <w:shd w:val="clear" w:color="auto" w:fill="FFFFFF"/>
            <w:tcMar>
              <w:left w:w="20" w:type="dxa"/>
              <w:right w:w="20" w:type="dxa"/>
            </w:tcMar>
          </w:tcPr>
          <w:p w14:paraId="77A7220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16(15.5%)</w:t>
            </w:r>
          </w:p>
        </w:tc>
        <w:tc>
          <w:tcPr>
            <w:tcW w:w="1256" w:type="dxa"/>
            <w:tcBorders>
              <w:top w:val="nil"/>
              <w:left w:val="nil"/>
              <w:bottom w:val="nil"/>
              <w:right w:val="nil"/>
            </w:tcBorders>
            <w:shd w:val="clear" w:color="auto" w:fill="FFFFFF"/>
            <w:tcMar>
              <w:left w:w="20" w:type="dxa"/>
              <w:right w:w="20" w:type="dxa"/>
            </w:tcMar>
          </w:tcPr>
          <w:p w14:paraId="390E603E">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4AA8F718">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7A658D75">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b/>
                <w:bCs/>
                <w:color w:val="000000"/>
                <w:sz w:val="18"/>
                <w:szCs w:val="18"/>
              </w:rPr>
            </w:pPr>
            <w:r>
              <w:rPr>
                <w:rFonts w:hint="eastAsia" w:ascii="Times New Roman" w:hAnsi="Times New Roman" w:cs="Times New Roman"/>
                <w:b/>
                <w:bCs/>
                <w:color w:val="000000"/>
                <w:sz w:val="18"/>
                <w:szCs w:val="18"/>
                <w:lang w:val="en-US" w:eastAsia="zh-CN"/>
              </w:rPr>
              <w:t>Neoadjuvant c</w:t>
            </w:r>
            <w:r>
              <w:rPr>
                <w:rFonts w:hint="default" w:ascii="Times New Roman" w:hAnsi="Times New Roman" w:cs="Times New Roman"/>
                <w:b/>
                <w:bCs/>
                <w:color w:val="000000"/>
                <w:sz w:val="18"/>
                <w:szCs w:val="18"/>
                <w:lang w:val="en-US" w:eastAsia="zh-CN"/>
              </w:rPr>
              <w:t>onversion therapy</w:t>
            </w:r>
            <w:r>
              <w:rPr>
                <w:rFonts w:hint="eastAsia" w:ascii="Times New Roman" w:hAnsi="Times New Roman" w:cs="Times New Roman"/>
                <w:b/>
                <w:bCs/>
                <w:color w:val="000000"/>
                <w:sz w:val="18"/>
                <w:szCs w:val="18"/>
                <w:lang w:val="en-US" w:eastAsia="zh-CN"/>
              </w:rPr>
              <w:t xml:space="preserve"> strategy</w:t>
            </w:r>
          </w:p>
        </w:tc>
        <w:tc>
          <w:tcPr>
            <w:tcW w:w="1697" w:type="dxa"/>
            <w:tcBorders>
              <w:top w:val="nil"/>
              <w:left w:val="nil"/>
              <w:bottom w:val="nil"/>
              <w:right w:val="nil"/>
            </w:tcBorders>
            <w:shd w:val="clear" w:color="auto" w:fill="FFFFFF"/>
            <w:tcMar>
              <w:left w:w="20" w:type="dxa"/>
              <w:right w:w="20" w:type="dxa"/>
            </w:tcMar>
          </w:tcPr>
          <w:p w14:paraId="220947A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476A787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62DD67D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4BEB5CD5">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r>
              <w:rPr>
                <w:rFonts w:ascii="Times New Roman" w:hAnsi="Times New Roman" w:cs="Times New Roman"/>
                <w:b w:val="0"/>
                <w:bCs w:val="0"/>
                <w:color w:val="000000"/>
                <w:sz w:val="18"/>
                <w:szCs w:val="18"/>
              </w:rPr>
              <w:t>&lt;0.001</w:t>
            </w:r>
          </w:p>
        </w:tc>
      </w:tr>
      <w:tr w14:paraId="1A98D182">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7B489DAA">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TACE</w:t>
            </w:r>
          </w:p>
        </w:tc>
        <w:tc>
          <w:tcPr>
            <w:tcW w:w="1697" w:type="dxa"/>
            <w:tcBorders>
              <w:top w:val="nil"/>
              <w:left w:val="nil"/>
              <w:bottom w:val="nil"/>
              <w:right w:val="nil"/>
            </w:tcBorders>
            <w:shd w:val="clear" w:color="auto" w:fill="FFFFFF"/>
            <w:tcMar>
              <w:left w:w="20" w:type="dxa"/>
              <w:right w:w="20" w:type="dxa"/>
            </w:tcMar>
          </w:tcPr>
          <w:p w14:paraId="6888439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38(18.7%)</w:t>
            </w:r>
          </w:p>
        </w:tc>
        <w:tc>
          <w:tcPr>
            <w:tcW w:w="1697" w:type="dxa"/>
            <w:tcBorders>
              <w:top w:val="nil"/>
              <w:left w:val="nil"/>
              <w:bottom w:val="nil"/>
              <w:right w:val="nil"/>
            </w:tcBorders>
            <w:shd w:val="clear" w:color="auto" w:fill="FFFFFF"/>
            <w:tcMar>
              <w:left w:w="20" w:type="dxa"/>
              <w:right w:w="20" w:type="dxa"/>
            </w:tcMar>
          </w:tcPr>
          <w:p w14:paraId="5A1DAE8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23(23.0%)</w:t>
            </w:r>
          </w:p>
        </w:tc>
        <w:tc>
          <w:tcPr>
            <w:tcW w:w="1699" w:type="dxa"/>
            <w:tcBorders>
              <w:top w:val="nil"/>
              <w:left w:val="nil"/>
              <w:bottom w:val="nil"/>
              <w:right w:val="nil"/>
            </w:tcBorders>
            <w:shd w:val="clear" w:color="auto" w:fill="FFFFFF"/>
            <w:tcMar>
              <w:left w:w="20" w:type="dxa"/>
              <w:right w:w="20" w:type="dxa"/>
            </w:tcMar>
          </w:tcPr>
          <w:p w14:paraId="1A44893C">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15(14.6%)</w:t>
            </w:r>
          </w:p>
        </w:tc>
        <w:tc>
          <w:tcPr>
            <w:tcW w:w="1256" w:type="dxa"/>
            <w:tcBorders>
              <w:top w:val="nil"/>
              <w:left w:val="nil"/>
              <w:bottom w:val="nil"/>
              <w:right w:val="nil"/>
            </w:tcBorders>
            <w:shd w:val="clear" w:color="auto" w:fill="FFFFFF"/>
            <w:tcMar>
              <w:left w:w="20" w:type="dxa"/>
              <w:right w:w="20" w:type="dxa"/>
            </w:tcMar>
          </w:tcPr>
          <w:p w14:paraId="58C2F8D9">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17E77199">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50A975D2">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HAIC</w:t>
            </w:r>
          </w:p>
        </w:tc>
        <w:tc>
          <w:tcPr>
            <w:tcW w:w="1697" w:type="dxa"/>
            <w:tcBorders>
              <w:top w:val="nil"/>
              <w:left w:val="nil"/>
              <w:bottom w:val="nil"/>
              <w:right w:val="nil"/>
            </w:tcBorders>
            <w:shd w:val="clear" w:color="auto" w:fill="FFFFFF"/>
            <w:tcMar>
              <w:left w:w="20" w:type="dxa"/>
              <w:right w:w="20" w:type="dxa"/>
            </w:tcMar>
          </w:tcPr>
          <w:p w14:paraId="1EC190A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57(28.1%)</w:t>
            </w:r>
          </w:p>
        </w:tc>
        <w:tc>
          <w:tcPr>
            <w:tcW w:w="1697" w:type="dxa"/>
            <w:tcBorders>
              <w:top w:val="nil"/>
              <w:left w:val="nil"/>
              <w:bottom w:val="nil"/>
              <w:right w:val="nil"/>
            </w:tcBorders>
            <w:shd w:val="clear" w:color="auto" w:fill="FFFFFF"/>
            <w:tcMar>
              <w:left w:w="20" w:type="dxa"/>
              <w:right w:w="20" w:type="dxa"/>
            </w:tcMar>
          </w:tcPr>
          <w:p w14:paraId="275129D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1(1.0%)</w:t>
            </w:r>
          </w:p>
        </w:tc>
        <w:tc>
          <w:tcPr>
            <w:tcW w:w="1699" w:type="dxa"/>
            <w:tcBorders>
              <w:top w:val="nil"/>
              <w:left w:val="nil"/>
              <w:bottom w:val="nil"/>
              <w:right w:val="nil"/>
            </w:tcBorders>
            <w:shd w:val="clear" w:color="auto" w:fill="FFFFFF"/>
            <w:tcMar>
              <w:left w:w="20" w:type="dxa"/>
              <w:right w:w="20" w:type="dxa"/>
            </w:tcMar>
          </w:tcPr>
          <w:p w14:paraId="10A0627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56(54.4%)</w:t>
            </w:r>
          </w:p>
        </w:tc>
        <w:tc>
          <w:tcPr>
            <w:tcW w:w="1256" w:type="dxa"/>
            <w:tcBorders>
              <w:top w:val="nil"/>
              <w:left w:val="nil"/>
              <w:bottom w:val="nil"/>
              <w:right w:val="nil"/>
            </w:tcBorders>
            <w:shd w:val="clear" w:color="auto" w:fill="FFFFFF"/>
            <w:tcMar>
              <w:left w:w="20" w:type="dxa"/>
              <w:right w:w="20" w:type="dxa"/>
            </w:tcMar>
          </w:tcPr>
          <w:p w14:paraId="30EACC19">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b w:val="0"/>
                <w:bCs w:val="0"/>
                <w:color w:val="000000"/>
                <w:sz w:val="18"/>
                <w:szCs w:val="18"/>
              </w:rPr>
            </w:pPr>
          </w:p>
        </w:tc>
      </w:tr>
      <w:tr w14:paraId="022389CF">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66828537">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TACE+HAIC</w:t>
            </w:r>
          </w:p>
        </w:tc>
        <w:tc>
          <w:tcPr>
            <w:tcW w:w="1697" w:type="dxa"/>
            <w:tcBorders>
              <w:top w:val="nil"/>
              <w:left w:val="nil"/>
              <w:bottom w:val="nil"/>
              <w:right w:val="nil"/>
            </w:tcBorders>
            <w:shd w:val="clear" w:color="auto" w:fill="FFFFFF"/>
            <w:tcMar>
              <w:left w:w="20" w:type="dxa"/>
              <w:right w:w="20" w:type="dxa"/>
            </w:tcMar>
          </w:tcPr>
          <w:p w14:paraId="3300681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20(9.9%)</w:t>
            </w:r>
          </w:p>
        </w:tc>
        <w:tc>
          <w:tcPr>
            <w:tcW w:w="1697" w:type="dxa"/>
            <w:tcBorders>
              <w:top w:val="nil"/>
              <w:left w:val="nil"/>
              <w:bottom w:val="nil"/>
              <w:right w:val="nil"/>
            </w:tcBorders>
            <w:shd w:val="clear" w:color="auto" w:fill="FFFFFF"/>
            <w:tcMar>
              <w:left w:w="20" w:type="dxa"/>
              <w:right w:w="20" w:type="dxa"/>
            </w:tcMar>
          </w:tcPr>
          <w:p w14:paraId="606C804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9(9.0%)</w:t>
            </w:r>
          </w:p>
        </w:tc>
        <w:tc>
          <w:tcPr>
            <w:tcW w:w="1699" w:type="dxa"/>
            <w:tcBorders>
              <w:top w:val="nil"/>
              <w:left w:val="nil"/>
              <w:bottom w:val="nil"/>
              <w:right w:val="nil"/>
            </w:tcBorders>
            <w:shd w:val="clear" w:color="auto" w:fill="FFFFFF"/>
            <w:tcMar>
              <w:left w:w="20" w:type="dxa"/>
              <w:right w:w="20" w:type="dxa"/>
            </w:tcMar>
          </w:tcPr>
          <w:p w14:paraId="6928BB9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11(10.7%)</w:t>
            </w:r>
          </w:p>
        </w:tc>
        <w:tc>
          <w:tcPr>
            <w:tcW w:w="1256" w:type="dxa"/>
            <w:tcBorders>
              <w:top w:val="nil"/>
              <w:left w:val="nil"/>
              <w:bottom w:val="nil"/>
              <w:right w:val="nil"/>
            </w:tcBorders>
            <w:shd w:val="clear" w:color="auto" w:fill="FFFFFF"/>
            <w:tcMar>
              <w:left w:w="20" w:type="dxa"/>
              <w:right w:w="20" w:type="dxa"/>
            </w:tcMar>
          </w:tcPr>
          <w:p w14:paraId="2B6E6693">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58DD9894">
        <w:tblPrEx>
          <w:tblCellMar>
            <w:top w:w="0" w:type="dxa"/>
            <w:left w:w="0" w:type="dxa"/>
            <w:bottom w:w="0" w:type="dxa"/>
            <w:right w:w="0" w:type="dxa"/>
          </w:tblCellMar>
        </w:tblPrEx>
        <w:trPr>
          <w:jc w:val="center"/>
        </w:trPr>
        <w:tc>
          <w:tcPr>
            <w:tcW w:w="1691" w:type="dxa"/>
            <w:tcBorders>
              <w:top w:val="nil"/>
              <w:left w:val="nil"/>
              <w:bottom w:val="nil"/>
              <w:right w:val="nil"/>
            </w:tcBorders>
            <w:shd w:val="clear" w:color="auto" w:fill="FFFFFF"/>
            <w:tcMar>
              <w:left w:w="20" w:type="dxa"/>
              <w:right w:w="20" w:type="dxa"/>
            </w:tcMar>
          </w:tcPr>
          <w:p w14:paraId="3691C314">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TACE+HAIC+</w:t>
            </w:r>
          </w:p>
          <w:p w14:paraId="6C3D584C">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TKI</w:t>
            </w:r>
            <w:r>
              <w:rPr>
                <w:rFonts w:hint="eastAsia" w:ascii="Times New Roman" w:hAnsi="Times New Roman" w:cs="Times New Roman"/>
                <w:color w:val="000000"/>
                <w:sz w:val="18"/>
                <w:szCs w:val="18"/>
              </w:rPr>
              <w:t>s</w:t>
            </w:r>
            <w:r>
              <w:rPr>
                <w:rFonts w:ascii="Times New Roman" w:hAnsi="Times New Roman" w:cs="Times New Roman"/>
                <w:color w:val="000000"/>
                <w:sz w:val="18"/>
                <w:szCs w:val="18"/>
              </w:rPr>
              <w:t>/IC</w:t>
            </w:r>
            <w:r>
              <w:rPr>
                <w:rFonts w:hint="eastAsia" w:ascii="Times New Roman" w:hAnsi="Times New Roman" w:cs="Times New Roman"/>
                <w:color w:val="000000"/>
                <w:sz w:val="18"/>
                <w:szCs w:val="18"/>
              </w:rPr>
              <w:t>Is</w:t>
            </w:r>
          </w:p>
        </w:tc>
        <w:tc>
          <w:tcPr>
            <w:tcW w:w="1697" w:type="dxa"/>
            <w:tcBorders>
              <w:top w:val="nil"/>
              <w:left w:val="nil"/>
              <w:bottom w:val="nil"/>
              <w:right w:val="nil"/>
            </w:tcBorders>
            <w:shd w:val="clear" w:color="auto" w:fill="FFFFFF"/>
            <w:tcMar>
              <w:left w:w="20" w:type="dxa"/>
              <w:right w:w="20" w:type="dxa"/>
            </w:tcMar>
          </w:tcPr>
          <w:p w14:paraId="356A0D7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42(20.7%)</w:t>
            </w:r>
          </w:p>
        </w:tc>
        <w:tc>
          <w:tcPr>
            <w:tcW w:w="1697" w:type="dxa"/>
            <w:tcBorders>
              <w:top w:val="nil"/>
              <w:left w:val="nil"/>
              <w:bottom w:val="nil"/>
              <w:right w:val="nil"/>
            </w:tcBorders>
            <w:shd w:val="clear" w:color="auto" w:fill="FFFFFF"/>
            <w:tcMar>
              <w:left w:w="20" w:type="dxa"/>
              <w:right w:w="20" w:type="dxa"/>
            </w:tcMar>
          </w:tcPr>
          <w:p w14:paraId="6C9204CC">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31(31.0%)</w:t>
            </w:r>
          </w:p>
        </w:tc>
        <w:tc>
          <w:tcPr>
            <w:tcW w:w="1699" w:type="dxa"/>
            <w:tcBorders>
              <w:top w:val="nil"/>
              <w:left w:val="nil"/>
              <w:bottom w:val="nil"/>
              <w:right w:val="nil"/>
            </w:tcBorders>
            <w:shd w:val="clear" w:color="auto" w:fill="FFFFFF"/>
            <w:tcMar>
              <w:left w:w="20" w:type="dxa"/>
              <w:right w:w="20" w:type="dxa"/>
            </w:tcMar>
          </w:tcPr>
          <w:p w14:paraId="12550FE6">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11(10.7%)</w:t>
            </w:r>
          </w:p>
        </w:tc>
        <w:tc>
          <w:tcPr>
            <w:tcW w:w="1256" w:type="dxa"/>
            <w:tcBorders>
              <w:top w:val="nil"/>
              <w:left w:val="nil"/>
              <w:bottom w:val="nil"/>
              <w:right w:val="nil"/>
            </w:tcBorders>
            <w:shd w:val="clear" w:color="auto" w:fill="FFFFFF"/>
            <w:tcMar>
              <w:left w:w="20" w:type="dxa"/>
              <w:right w:w="20" w:type="dxa"/>
            </w:tcMar>
          </w:tcPr>
          <w:p w14:paraId="5EE1CC46">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54FE77AB">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6C16ED47">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TACE+TKI</w:t>
            </w:r>
            <w:r>
              <w:rPr>
                <w:rFonts w:hint="eastAsia" w:ascii="Times New Roman" w:hAnsi="Times New Roman" w:cs="Times New Roman"/>
                <w:color w:val="000000"/>
                <w:sz w:val="18"/>
                <w:szCs w:val="18"/>
              </w:rPr>
              <w:t>s</w:t>
            </w:r>
            <w:r>
              <w:rPr>
                <w:rFonts w:ascii="Times New Roman" w:hAnsi="Times New Roman" w:cs="Times New Roman"/>
                <w:color w:val="000000"/>
                <w:sz w:val="18"/>
                <w:szCs w:val="18"/>
              </w:rPr>
              <w:t>/IC</w:t>
            </w:r>
            <w:r>
              <w:rPr>
                <w:rFonts w:hint="eastAsia" w:ascii="Times New Roman" w:hAnsi="Times New Roman" w:cs="Times New Roman"/>
                <w:color w:val="000000"/>
                <w:sz w:val="18"/>
                <w:szCs w:val="18"/>
              </w:rPr>
              <w:t>Is</w:t>
            </w:r>
          </w:p>
        </w:tc>
        <w:tc>
          <w:tcPr>
            <w:tcW w:w="1697" w:type="dxa"/>
            <w:tcBorders>
              <w:top w:val="nil"/>
              <w:left w:val="nil"/>
              <w:bottom w:val="nil"/>
              <w:right w:val="nil"/>
            </w:tcBorders>
            <w:shd w:val="clear" w:color="auto" w:fill="FFFFFF"/>
            <w:tcMar>
              <w:left w:w="20" w:type="dxa"/>
              <w:right w:w="20" w:type="dxa"/>
            </w:tcMar>
          </w:tcPr>
          <w:p w14:paraId="61CE585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22(10.8%)</w:t>
            </w:r>
          </w:p>
        </w:tc>
        <w:tc>
          <w:tcPr>
            <w:tcW w:w="1697" w:type="dxa"/>
            <w:tcBorders>
              <w:top w:val="nil"/>
              <w:left w:val="nil"/>
              <w:bottom w:val="nil"/>
              <w:right w:val="nil"/>
            </w:tcBorders>
            <w:shd w:val="clear" w:color="auto" w:fill="FFFFFF"/>
            <w:tcMar>
              <w:left w:w="20" w:type="dxa"/>
              <w:right w:w="20" w:type="dxa"/>
            </w:tcMar>
          </w:tcPr>
          <w:p w14:paraId="4E1F508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22(22.0%)</w:t>
            </w:r>
          </w:p>
        </w:tc>
        <w:tc>
          <w:tcPr>
            <w:tcW w:w="1699" w:type="dxa"/>
            <w:tcBorders>
              <w:top w:val="nil"/>
              <w:left w:val="nil"/>
              <w:bottom w:val="nil"/>
              <w:right w:val="nil"/>
            </w:tcBorders>
            <w:shd w:val="clear" w:color="auto" w:fill="FFFFFF"/>
            <w:tcMar>
              <w:left w:w="20" w:type="dxa"/>
              <w:right w:w="20" w:type="dxa"/>
            </w:tcMar>
          </w:tcPr>
          <w:p w14:paraId="41388CF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256" w:type="dxa"/>
            <w:tcBorders>
              <w:top w:val="nil"/>
              <w:left w:val="nil"/>
              <w:bottom w:val="nil"/>
              <w:right w:val="nil"/>
            </w:tcBorders>
            <w:shd w:val="clear" w:color="auto" w:fill="FFFFFF"/>
            <w:tcMar>
              <w:left w:w="20" w:type="dxa"/>
              <w:right w:w="20" w:type="dxa"/>
            </w:tcMar>
          </w:tcPr>
          <w:p w14:paraId="4A2B1C22">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0D84ED41">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5DA91950">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HAIC+TKI</w:t>
            </w:r>
            <w:r>
              <w:rPr>
                <w:rFonts w:hint="eastAsia" w:ascii="Times New Roman" w:hAnsi="Times New Roman" w:cs="Times New Roman"/>
                <w:color w:val="000000"/>
                <w:sz w:val="18"/>
                <w:szCs w:val="18"/>
              </w:rPr>
              <w:t>s</w:t>
            </w:r>
            <w:r>
              <w:rPr>
                <w:rFonts w:ascii="Times New Roman" w:hAnsi="Times New Roman" w:cs="Times New Roman"/>
                <w:color w:val="000000"/>
                <w:sz w:val="18"/>
                <w:szCs w:val="18"/>
              </w:rPr>
              <w:t>/IC</w:t>
            </w:r>
            <w:r>
              <w:rPr>
                <w:rFonts w:hint="eastAsia" w:ascii="Times New Roman" w:hAnsi="Times New Roman" w:cs="Times New Roman"/>
                <w:color w:val="000000"/>
                <w:sz w:val="18"/>
                <w:szCs w:val="18"/>
              </w:rPr>
              <w:t>Is</w:t>
            </w:r>
          </w:p>
        </w:tc>
        <w:tc>
          <w:tcPr>
            <w:tcW w:w="1697" w:type="dxa"/>
            <w:tcBorders>
              <w:top w:val="nil"/>
              <w:left w:val="nil"/>
              <w:bottom w:val="nil"/>
              <w:right w:val="nil"/>
            </w:tcBorders>
            <w:shd w:val="clear" w:color="auto" w:fill="FFFFFF"/>
            <w:tcMar>
              <w:left w:w="20" w:type="dxa"/>
              <w:right w:w="20" w:type="dxa"/>
            </w:tcMar>
          </w:tcPr>
          <w:p w14:paraId="586B0DB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14(6.9%)</w:t>
            </w:r>
          </w:p>
        </w:tc>
        <w:tc>
          <w:tcPr>
            <w:tcW w:w="1697" w:type="dxa"/>
            <w:tcBorders>
              <w:top w:val="nil"/>
              <w:left w:val="nil"/>
              <w:bottom w:val="nil"/>
              <w:right w:val="nil"/>
            </w:tcBorders>
            <w:shd w:val="clear" w:color="auto" w:fill="FFFFFF"/>
            <w:tcMar>
              <w:left w:w="20" w:type="dxa"/>
              <w:right w:w="20" w:type="dxa"/>
            </w:tcMar>
          </w:tcPr>
          <w:p w14:paraId="253D954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4(4.0%)</w:t>
            </w:r>
          </w:p>
        </w:tc>
        <w:tc>
          <w:tcPr>
            <w:tcW w:w="1699" w:type="dxa"/>
            <w:tcBorders>
              <w:top w:val="nil"/>
              <w:left w:val="nil"/>
              <w:bottom w:val="nil"/>
              <w:right w:val="nil"/>
            </w:tcBorders>
            <w:shd w:val="clear" w:color="auto" w:fill="FFFFFF"/>
            <w:tcMar>
              <w:left w:w="20" w:type="dxa"/>
              <w:right w:w="20" w:type="dxa"/>
            </w:tcMar>
          </w:tcPr>
          <w:p w14:paraId="7D00A63F">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10(9.7%)</w:t>
            </w:r>
          </w:p>
        </w:tc>
        <w:tc>
          <w:tcPr>
            <w:tcW w:w="1256" w:type="dxa"/>
            <w:tcBorders>
              <w:top w:val="nil"/>
              <w:left w:val="nil"/>
              <w:bottom w:val="nil"/>
              <w:right w:val="nil"/>
            </w:tcBorders>
            <w:shd w:val="clear" w:color="auto" w:fill="FFFFFF"/>
            <w:tcMar>
              <w:left w:w="20" w:type="dxa"/>
              <w:right w:w="20" w:type="dxa"/>
            </w:tcMar>
          </w:tcPr>
          <w:p w14:paraId="4A0B70A0">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19257041">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74F5F57">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O</w:t>
            </w:r>
            <w:r>
              <w:rPr>
                <w:rFonts w:ascii="Times New Roman" w:hAnsi="Times New Roman" w:cs="Times New Roman"/>
                <w:color w:val="000000"/>
                <w:sz w:val="18"/>
                <w:szCs w:val="18"/>
              </w:rPr>
              <w:t>thers</w:t>
            </w:r>
          </w:p>
        </w:tc>
        <w:tc>
          <w:tcPr>
            <w:tcW w:w="1697" w:type="dxa"/>
            <w:tcBorders>
              <w:top w:val="nil"/>
              <w:left w:val="nil"/>
              <w:bottom w:val="nil"/>
              <w:right w:val="nil"/>
            </w:tcBorders>
            <w:shd w:val="clear" w:color="auto" w:fill="FFFFFF"/>
            <w:tcMar>
              <w:left w:w="20" w:type="dxa"/>
              <w:right w:w="20" w:type="dxa"/>
            </w:tcMar>
          </w:tcPr>
          <w:p w14:paraId="4B32761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10(4.9%)</w:t>
            </w:r>
          </w:p>
        </w:tc>
        <w:tc>
          <w:tcPr>
            <w:tcW w:w="1697" w:type="dxa"/>
            <w:tcBorders>
              <w:top w:val="nil"/>
              <w:left w:val="nil"/>
              <w:bottom w:val="nil"/>
              <w:right w:val="nil"/>
            </w:tcBorders>
            <w:shd w:val="clear" w:color="auto" w:fill="FFFFFF"/>
            <w:tcMar>
              <w:left w:w="20" w:type="dxa"/>
              <w:right w:w="20" w:type="dxa"/>
            </w:tcMar>
          </w:tcPr>
          <w:p w14:paraId="3496F5C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10(10.0%)</w:t>
            </w:r>
          </w:p>
        </w:tc>
        <w:tc>
          <w:tcPr>
            <w:tcW w:w="1699" w:type="dxa"/>
            <w:tcBorders>
              <w:top w:val="nil"/>
              <w:left w:val="nil"/>
              <w:bottom w:val="nil"/>
              <w:right w:val="nil"/>
            </w:tcBorders>
            <w:shd w:val="clear" w:color="auto" w:fill="FFFFFF"/>
            <w:tcMar>
              <w:left w:w="20" w:type="dxa"/>
              <w:right w:w="20" w:type="dxa"/>
            </w:tcMar>
          </w:tcPr>
          <w:p w14:paraId="4556201D">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256" w:type="dxa"/>
            <w:tcBorders>
              <w:top w:val="nil"/>
              <w:left w:val="nil"/>
              <w:bottom w:val="nil"/>
              <w:right w:val="nil"/>
            </w:tcBorders>
            <w:shd w:val="clear" w:color="auto" w:fill="FFFFFF"/>
            <w:tcMar>
              <w:left w:w="20" w:type="dxa"/>
              <w:right w:w="20" w:type="dxa"/>
            </w:tcMar>
          </w:tcPr>
          <w:p w14:paraId="7BEC0662">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13C77889">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3E37C098">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CR evaluation</w:t>
            </w:r>
          </w:p>
          <w:p w14:paraId="655AF1F8">
            <w:pPr>
              <w:keepNext w:val="0"/>
              <w:keepLines w:val="0"/>
              <w:pageBreakBefore w:val="0"/>
              <w:widowControl/>
              <w:kinsoku/>
              <w:wordWrap/>
              <w:overflowPunct/>
              <w:topLinePunct w:val="0"/>
              <w:autoSpaceDE/>
              <w:autoSpaceDN/>
              <w:bidi w:val="0"/>
              <w:adjustRightInd w:val="0"/>
              <w:snapToGrid/>
              <w:spacing w:before="20" w:after="20" w:line="360" w:lineRule="auto"/>
              <w:ind w:left="72" w:right="72"/>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by mRECIST</w:t>
            </w:r>
          </w:p>
        </w:tc>
        <w:tc>
          <w:tcPr>
            <w:tcW w:w="1697" w:type="dxa"/>
            <w:tcBorders>
              <w:top w:val="nil"/>
              <w:left w:val="nil"/>
              <w:bottom w:val="nil"/>
              <w:right w:val="nil"/>
            </w:tcBorders>
            <w:shd w:val="clear" w:color="auto" w:fill="FFFFFF"/>
            <w:tcMar>
              <w:left w:w="20" w:type="dxa"/>
              <w:right w:w="20" w:type="dxa"/>
            </w:tcMar>
          </w:tcPr>
          <w:p w14:paraId="4EB90B17">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2A8D0CF1">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7E7353F3">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5CC33441">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0.052</w:t>
            </w:r>
          </w:p>
        </w:tc>
      </w:tr>
      <w:tr w14:paraId="71DA2BE7">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143F6822">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No</w:t>
            </w:r>
          </w:p>
        </w:tc>
        <w:tc>
          <w:tcPr>
            <w:tcW w:w="1697" w:type="dxa"/>
            <w:tcBorders>
              <w:top w:val="nil"/>
              <w:left w:val="nil"/>
              <w:bottom w:val="nil"/>
              <w:right w:val="nil"/>
            </w:tcBorders>
            <w:shd w:val="clear" w:color="auto" w:fill="FFFFFF"/>
            <w:tcMar>
              <w:left w:w="20" w:type="dxa"/>
              <w:right w:w="20" w:type="dxa"/>
            </w:tcMar>
          </w:tcPr>
          <w:p w14:paraId="4C9546E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176(86.7%)</w:t>
            </w:r>
          </w:p>
        </w:tc>
        <w:tc>
          <w:tcPr>
            <w:tcW w:w="1697" w:type="dxa"/>
            <w:tcBorders>
              <w:top w:val="nil"/>
              <w:left w:val="nil"/>
              <w:bottom w:val="nil"/>
              <w:right w:val="nil"/>
            </w:tcBorders>
            <w:shd w:val="clear" w:color="auto" w:fill="FFFFFF"/>
            <w:tcMar>
              <w:left w:w="20" w:type="dxa"/>
              <w:right w:w="20" w:type="dxa"/>
            </w:tcMar>
          </w:tcPr>
          <w:p w14:paraId="5C017DA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82(82.0%)</w:t>
            </w:r>
          </w:p>
        </w:tc>
        <w:tc>
          <w:tcPr>
            <w:tcW w:w="1699" w:type="dxa"/>
            <w:tcBorders>
              <w:top w:val="nil"/>
              <w:left w:val="nil"/>
              <w:bottom w:val="nil"/>
              <w:right w:val="nil"/>
            </w:tcBorders>
            <w:shd w:val="clear" w:color="auto" w:fill="FFFFFF"/>
            <w:tcMar>
              <w:left w:w="20" w:type="dxa"/>
              <w:right w:w="20" w:type="dxa"/>
            </w:tcMar>
          </w:tcPr>
          <w:p w14:paraId="55D3E034">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94(91.3%)</w:t>
            </w:r>
          </w:p>
        </w:tc>
        <w:tc>
          <w:tcPr>
            <w:tcW w:w="1256" w:type="dxa"/>
            <w:tcBorders>
              <w:top w:val="nil"/>
              <w:left w:val="nil"/>
              <w:bottom w:val="nil"/>
              <w:right w:val="nil"/>
            </w:tcBorders>
            <w:shd w:val="clear" w:color="auto" w:fill="FFFFFF"/>
            <w:tcMar>
              <w:left w:w="20" w:type="dxa"/>
              <w:right w:w="20" w:type="dxa"/>
            </w:tcMar>
          </w:tcPr>
          <w:p w14:paraId="7F07FDE1">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4EF1D969">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2BBFEFCB">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Yes</w:t>
            </w:r>
          </w:p>
        </w:tc>
        <w:tc>
          <w:tcPr>
            <w:tcW w:w="1697" w:type="dxa"/>
            <w:tcBorders>
              <w:top w:val="nil"/>
              <w:left w:val="nil"/>
              <w:bottom w:val="nil"/>
              <w:right w:val="nil"/>
            </w:tcBorders>
            <w:shd w:val="clear" w:color="auto" w:fill="FFFFFF"/>
            <w:tcMar>
              <w:left w:w="20" w:type="dxa"/>
              <w:right w:w="20" w:type="dxa"/>
            </w:tcMar>
          </w:tcPr>
          <w:p w14:paraId="59FCA372">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27(13.3%)</w:t>
            </w:r>
          </w:p>
        </w:tc>
        <w:tc>
          <w:tcPr>
            <w:tcW w:w="1697" w:type="dxa"/>
            <w:tcBorders>
              <w:top w:val="nil"/>
              <w:left w:val="nil"/>
              <w:bottom w:val="nil"/>
              <w:right w:val="nil"/>
            </w:tcBorders>
            <w:shd w:val="clear" w:color="auto" w:fill="FFFFFF"/>
            <w:tcMar>
              <w:left w:w="20" w:type="dxa"/>
              <w:right w:w="20" w:type="dxa"/>
            </w:tcMar>
          </w:tcPr>
          <w:p w14:paraId="0E4F3A9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18(18.0%)</w:t>
            </w:r>
          </w:p>
        </w:tc>
        <w:tc>
          <w:tcPr>
            <w:tcW w:w="1699" w:type="dxa"/>
            <w:tcBorders>
              <w:top w:val="nil"/>
              <w:left w:val="nil"/>
              <w:bottom w:val="nil"/>
              <w:right w:val="nil"/>
            </w:tcBorders>
            <w:shd w:val="clear" w:color="auto" w:fill="FFFFFF"/>
            <w:tcMar>
              <w:left w:w="20" w:type="dxa"/>
              <w:right w:w="20" w:type="dxa"/>
            </w:tcMar>
          </w:tcPr>
          <w:p w14:paraId="750EFF6B">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9(8.7%)</w:t>
            </w:r>
          </w:p>
        </w:tc>
        <w:tc>
          <w:tcPr>
            <w:tcW w:w="1256" w:type="dxa"/>
            <w:tcBorders>
              <w:top w:val="nil"/>
              <w:left w:val="nil"/>
              <w:bottom w:val="nil"/>
              <w:right w:val="nil"/>
            </w:tcBorders>
            <w:shd w:val="clear" w:color="auto" w:fill="FFFFFF"/>
            <w:tcMar>
              <w:left w:w="20" w:type="dxa"/>
              <w:right w:w="20" w:type="dxa"/>
            </w:tcMar>
          </w:tcPr>
          <w:p w14:paraId="11A0D932">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0FBC7E28">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35C933BE">
            <w:pPr>
              <w:keepNext w:val="0"/>
              <w:keepLines w:val="0"/>
              <w:pageBreakBefore w:val="0"/>
              <w:widowControl/>
              <w:kinsoku/>
              <w:wordWrap/>
              <w:overflowPunct/>
              <w:topLinePunct w:val="0"/>
              <w:autoSpaceDE/>
              <w:autoSpaceDN/>
              <w:bidi w:val="0"/>
              <w:adjustRightInd w:val="0"/>
              <w:snapToGrid/>
              <w:spacing w:before="20" w:after="20" w:line="360" w:lineRule="auto"/>
              <w:ind w:right="72"/>
              <w:jc w:val="left"/>
              <w:textAlignment w:val="auto"/>
              <w:rPr>
                <w:rFonts w:ascii="Times New Roman" w:hAnsi="Times New Roman" w:cs="Times New Roman"/>
                <w:color w:val="000000"/>
                <w:sz w:val="18"/>
                <w:szCs w:val="18"/>
              </w:rPr>
            </w:pPr>
            <w:r>
              <w:rPr>
                <w:rFonts w:hint="eastAsia" w:ascii="Times New Roman" w:hAnsi="Times New Roman" w:cs="Times New Roman"/>
                <w:b/>
                <w:bCs/>
                <w:color w:val="000000"/>
                <w:sz w:val="18"/>
                <w:szCs w:val="18"/>
              </w:rPr>
              <w:t>Pathological complete response</w:t>
            </w:r>
          </w:p>
        </w:tc>
        <w:tc>
          <w:tcPr>
            <w:tcW w:w="1697" w:type="dxa"/>
            <w:tcBorders>
              <w:top w:val="nil"/>
              <w:left w:val="nil"/>
              <w:bottom w:val="nil"/>
              <w:right w:val="nil"/>
            </w:tcBorders>
            <w:shd w:val="clear" w:color="auto" w:fill="FFFFFF"/>
            <w:tcMar>
              <w:left w:w="20" w:type="dxa"/>
              <w:right w:w="20" w:type="dxa"/>
            </w:tcMar>
          </w:tcPr>
          <w:p w14:paraId="68096687">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7" w:type="dxa"/>
            <w:tcBorders>
              <w:top w:val="nil"/>
              <w:left w:val="nil"/>
              <w:bottom w:val="nil"/>
              <w:right w:val="nil"/>
            </w:tcBorders>
            <w:shd w:val="clear" w:color="auto" w:fill="FFFFFF"/>
            <w:tcMar>
              <w:left w:w="20" w:type="dxa"/>
              <w:right w:w="20" w:type="dxa"/>
            </w:tcMar>
          </w:tcPr>
          <w:p w14:paraId="527BB83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699" w:type="dxa"/>
            <w:tcBorders>
              <w:top w:val="nil"/>
              <w:left w:val="nil"/>
              <w:bottom w:val="nil"/>
              <w:right w:val="nil"/>
            </w:tcBorders>
            <w:shd w:val="clear" w:color="auto" w:fill="FFFFFF"/>
            <w:tcMar>
              <w:left w:w="20" w:type="dxa"/>
              <w:right w:w="20" w:type="dxa"/>
            </w:tcMar>
          </w:tcPr>
          <w:p w14:paraId="2E4586C9">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p>
        </w:tc>
        <w:tc>
          <w:tcPr>
            <w:tcW w:w="1256" w:type="dxa"/>
            <w:tcBorders>
              <w:top w:val="nil"/>
              <w:left w:val="nil"/>
              <w:bottom w:val="nil"/>
              <w:right w:val="nil"/>
            </w:tcBorders>
            <w:shd w:val="clear" w:color="auto" w:fill="FFFFFF"/>
            <w:tcMar>
              <w:left w:w="20" w:type="dxa"/>
              <w:right w:w="20" w:type="dxa"/>
            </w:tcMar>
          </w:tcPr>
          <w:p w14:paraId="1C9C162B">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0.070</w:t>
            </w:r>
          </w:p>
        </w:tc>
      </w:tr>
      <w:tr w14:paraId="1C1F9BF9">
        <w:tblPrEx>
          <w:tblCellMar>
            <w:top w:w="0" w:type="dxa"/>
            <w:left w:w="0" w:type="dxa"/>
            <w:bottom w:w="0" w:type="dxa"/>
            <w:right w:w="0" w:type="dxa"/>
          </w:tblCellMar>
        </w:tblPrEx>
        <w:trPr>
          <w:cantSplit/>
          <w:jc w:val="center"/>
        </w:trPr>
        <w:tc>
          <w:tcPr>
            <w:tcW w:w="1691" w:type="dxa"/>
            <w:tcBorders>
              <w:top w:val="nil"/>
              <w:left w:val="nil"/>
              <w:bottom w:val="nil"/>
              <w:right w:val="nil"/>
            </w:tcBorders>
            <w:shd w:val="clear" w:color="auto" w:fill="FFFFFF"/>
            <w:tcMar>
              <w:left w:w="20" w:type="dxa"/>
              <w:right w:w="20" w:type="dxa"/>
            </w:tcMar>
          </w:tcPr>
          <w:p w14:paraId="01F5916D">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No</w:t>
            </w:r>
          </w:p>
        </w:tc>
        <w:tc>
          <w:tcPr>
            <w:tcW w:w="1697" w:type="dxa"/>
            <w:tcBorders>
              <w:top w:val="nil"/>
              <w:left w:val="nil"/>
              <w:bottom w:val="nil"/>
              <w:right w:val="nil"/>
            </w:tcBorders>
            <w:shd w:val="clear" w:color="auto" w:fill="FFFFFF"/>
            <w:tcMar>
              <w:left w:w="20" w:type="dxa"/>
              <w:right w:w="20" w:type="dxa"/>
            </w:tcMar>
          </w:tcPr>
          <w:p w14:paraId="3356B6FE">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159(78.3%)</w:t>
            </w:r>
          </w:p>
        </w:tc>
        <w:tc>
          <w:tcPr>
            <w:tcW w:w="1697" w:type="dxa"/>
            <w:tcBorders>
              <w:top w:val="nil"/>
              <w:left w:val="nil"/>
              <w:bottom w:val="nil"/>
              <w:right w:val="nil"/>
            </w:tcBorders>
            <w:shd w:val="clear" w:color="auto" w:fill="FFFFFF"/>
            <w:tcMar>
              <w:left w:w="20" w:type="dxa"/>
              <w:right w:w="20" w:type="dxa"/>
            </w:tcMar>
          </w:tcPr>
          <w:p w14:paraId="5A40A77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73(73.0%)</w:t>
            </w:r>
          </w:p>
        </w:tc>
        <w:tc>
          <w:tcPr>
            <w:tcW w:w="1699" w:type="dxa"/>
            <w:tcBorders>
              <w:top w:val="nil"/>
              <w:left w:val="nil"/>
              <w:bottom w:val="nil"/>
              <w:right w:val="nil"/>
            </w:tcBorders>
            <w:shd w:val="clear" w:color="auto" w:fill="FFFFFF"/>
            <w:tcMar>
              <w:left w:w="20" w:type="dxa"/>
              <w:right w:w="20" w:type="dxa"/>
            </w:tcMar>
          </w:tcPr>
          <w:p w14:paraId="141DD7C5">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86(83.5%)</w:t>
            </w:r>
          </w:p>
        </w:tc>
        <w:tc>
          <w:tcPr>
            <w:tcW w:w="1256" w:type="dxa"/>
            <w:tcBorders>
              <w:top w:val="nil"/>
              <w:left w:val="nil"/>
              <w:bottom w:val="nil"/>
              <w:right w:val="nil"/>
            </w:tcBorders>
            <w:shd w:val="clear" w:color="auto" w:fill="FFFFFF"/>
            <w:tcMar>
              <w:left w:w="20" w:type="dxa"/>
              <w:right w:w="20" w:type="dxa"/>
            </w:tcMar>
          </w:tcPr>
          <w:p w14:paraId="56470724">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r w14:paraId="1ECC4A95">
        <w:tblPrEx>
          <w:tblCellMar>
            <w:top w:w="0" w:type="dxa"/>
            <w:left w:w="0" w:type="dxa"/>
            <w:bottom w:w="0" w:type="dxa"/>
            <w:right w:w="0" w:type="dxa"/>
          </w:tblCellMar>
        </w:tblPrEx>
        <w:trPr>
          <w:cantSplit/>
          <w:jc w:val="center"/>
        </w:trPr>
        <w:tc>
          <w:tcPr>
            <w:tcW w:w="1691" w:type="dxa"/>
            <w:tcBorders>
              <w:top w:val="nil"/>
              <w:left w:val="nil"/>
              <w:bottom w:val="single" w:color="auto" w:sz="4" w:space="0"/>
              <w:right w:val="nil"/>
            </w:tcBorders>
            <w:shd w:val="clear" w:color="auto" w:fill="FFFFFF"/>
            <w:tcMar>
              <w:left w:w="20" w:type="dxa"/>
              <w:right w:w="20" w:type="dxa"/>
            </w:tcMar>
          </w:tcPr>
          <w:p w14:paraId="3668E3B6">
            <w:pPr>
              <w:keepNext w:val="0"/>
              <w:keepLines w:val="0"/>
              <w:pageBreakBefore w:val="0"/>
              <w:widowControl/>
              <w:kinsoku/>
              <w:wordWrap/>
              <w:overflowPunct/>
              <w:topLinePunct w:val="0"/>
              <w:autoSpaceDE/>
              <w:autoSpaceDN/>
              <w:bidi w:val="0"/>
              <w:adjustRightInd w:val="0"/>
              <w:snapToGrid/>
              <w:spacing w:before="20" w:after="20" w:line="360" w:lineRule="auto"/>
              <w:ind w:left="72" w:right="72" w:firstLine="180" w:firstLineChars="100"/>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Yes</w:t>
            </w:r>
          </w:p>
        </w:tc>
        <w:tc>
          <w:tcPr>
            <w:tcW w:w="1697" w:type="dxa"/>
            <w:tcBorders>
              <w:top w:val="nil"/>
              <w:left w:val="nil"/>
              <w:bottom w:val="single" w:color="auto" w:sz="4" w:space="0"/>
              <w:right w:val="nil"/>
            </w:tcBorders>
            <w:shd w:val="clear" w:color="auto" w:fill="FFFFFF"/>
            <w:tcMar>
              <w:left w:w="20" w:type="dxa"/>
              <w:right w:w="20" w:type="dxa"/>
            </w:tcMar>
          </w:tcPr>
          <w:p w14:paraId="6C946150">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44(21.7%)</w:t>
            </w:r>
          </w:p>
        </w:tc>
        <w:tc>
          <w:tcPr>
            <w:tcW w:w="1697" w:type="dxa"/>
            <w:tcBorders>
              <w:top w:val="nil"/>
              <w:left w:val="nil"/>
              <w:bottom w:val="single" w:color="auto" w:sz="4" w:space="0"/>
              <w:right w:val="nil"/>
            </w:tcBorders>
            <w:shd w:val="clear" w:color="auto" w:fill="FFFFFF"/>
            <w:tcMar>
              <w:left w:w="20" w:type="dxa"/>
              <w:right w:w="20" w:type="dxa"/>
            </w:tcMar>
          </w:tcPr>
          <w:p w14:paraId="6F4FC8D9">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27(27.0%)</w:t>
            </w:r>
          </w:p>
        </w:tc>
        <w:tc>
          <w:tcPr>
            <w:tcW w:w="1699" w:type="dxa"/>
            <w:tcBorders>
              <w:top w:val="nil"/>
              <w:left w:val="nil"/>
              <w:bottom w:val="single" w:color="auto" w:sz="4" w:space="0"/>
              <w:right w:val="nil"/>
            </w:tcBorders>
            <w:shd w:val="clear" w:color="auto" w:fill="FFFFFF"/>
            <w:tcMar>
              <w:left w:w="20" w:type="dxa"/>
              <w:right w:w="20" w:type="dxa"/>
            </w:tcMar>
          </w:tcPr>
          <w:p w14:paraId="337C89F9">
            <w:pPr>
              <w:keepNext w:val="0"/>
              <w:keepLines w:val="0"/>
              <w:pageBreakBefore w:val="0"/>
              <w:widowControl/>
              <w:kinsoku/>
              <w:wordWrap/>
              <w:overflowPunct/>
              <w:topLinePunct w:val="0"/>
              <w:autoSpaceDE/>
              <w:autoSpaceDN/>
              <w:bidi w:val="0"/>
              <w:adjustRightInd w:val="0"/>
              <w:snapToGrid/>
              <w:spacing w:before="20" w:after="20" w:line="360" w:lineRule="auto"/>
              <w:ind w:left="72" w:right="72"/>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17(16.5%)</w:t>
            </w:r>
          </w:p>
        </w:tc>
        <w:tc>
          <w:tcPr>
            <w:tcW w:w="1256" w:type="dxa"/>
            <w:tcBorders>
              <w:top w:val="nil"/>
              <w:left w:val="nil"/>
              <w:bottom w:val="single" w:color="auto" w:sz="4" w:space="0"/>
              <w:right w:val="nil"/>
            </w:tcBorders>
            <w:shd w:val="clear" w:color="auto" w:fill="FFFFFF"/>
            <w:tcMar>
              <w:left w:w="20" w:type="dxa"/>
              <w:right w:w="20" w:type="dxa"/>
            </w:tcMar>
          </w:tcPr>
          <w:p w14:paraId="513F169D">
            <w:pPr>
              <w:keepNext w:val="0"/>
              <w:keepLines w:val="0"/>
              <w:pageBreakBefore w:val="0"/>
              <w:widowControl/>
              <w:kinsoku/>
              <w:wordWrap/>
              <w:overflowPunct/>
              <w:topLinePunct w:val="0"/>
              <w:autoSpaceDE/>
              <w:autoSpaceDN/>
              <w:bidi w:val="0"/>
              <w:adjustRightInd w:val="0"/>
              <w:snapToGrid/>
              <w:spacing w:before="20" w:after="20" w:line="360" w:lineRule="auto"/>
              <w:jc w:val="center"/>
              <w:textAlignment w:val="auto"/>
              <w:rPr>
                <w:rFonts w:ascii="Times New Roman" w:hAnsi="Times New Roman" w:cs="Times New Roman"/>
                <w:color w:val="000000"/>
                <w:sz w:val="18"/>
                <w:szCs w:val="18"/>
              </w:rPr>
            </w:pPr>
          </w:p>
        </w:tc>
      </w:tr>
    </w:tbl>
    <w:p w14:paraId="1778A168">
      <w:pPr>
        <w:pStyle w:val="6"/>
        <w:keepNext w:val="0"/>
        <w:keepLines w:val="0"/>
        <w:pageBreakBefore w:val="0"/>
        <w:widowControl/>
        <w:kinsoku/>
        <w:wordWrap/>
        <w:overflowPunct/>
        <w:topLinePunct w:val="0"/>
        <w:autoSpaceDE/>
        <w:autoSpaceDN/>
        <w:bidi w:val="0"/>
        <w:snapToGrid/>
        <w:spacing w:beforeAutospacing="0" w:afterAutospacing="0" w:line="360" w:lineRule="auto"/>
        <w:ind w:left="720" w:leftChars="300" w:firstLine="0" w:firstLineChars="0"/>
        <w:jc w:val="left"/>
        <w:textAlignment w:val="auto"/>
        <w:rPr>
          <w:rFonts w:hint="eastAsia" w:ascii="Times New Roman" w:hAnsi="Times New Roman" w:cs="Times New Roman"/>
          <w:color w:val="000000"/>
          <w:kern w:val="2"/>
          <w:sz w:val="18"/>
          <w:szCs w:val="18"/>
          <w:lang w:val="en-US" w:eastAsia="zh-CN" w:bidi="ar-SA"/>
        </w:rPr>
      </w:pPr>
      <w:r>
        <w:rPr>
          <w:rFonts w:hint="default" w:ascii="Times New Roman" w:hAnsi="Times New Roman" w:cs="Times New Roman" w:eastAsiaTheme="minorEastAsia"/>
          <w:color w:val="000000"/>
          <w:kern w:val="2"/>
          <w:sz w:val="18"/>
          <w:szCs w:val="18"/>
          <w:lang w:val="en-US" w:eastAsia="zh-CN" w:bidi="ar-SA"/>
        </w:rPr>
        <w:t>Values in parentheses are percentages unless indicated otherwise; †values are mean (</w:t>
      </w:r>
      <w:r>
        <w:rPr>
          <w:rFonts w:hint="eastAsia" w:ascii="Times New Roman" w:hAnsi="Times New Roman" w:cs="Times New Roman"/>
          <w:color w:val="000000"/>
          <w:kern w:val="2"/>
          <w:sz w:val="18"/>
          <w:szCs w:val="18"/>
          <w:lang w:val="en-US" w:eastAsia="zh-CN" w:bidi="ar-SA"/>
        </w:rPr>
        <w:t>SD</w:t>
      </w:r>
      <w:r>
        <w:rPr>
          <w:rFonts w:hint="default" w:ascii="Times New Roman" w:hAnsi="Times New Roman" w:cs="Times New Roman" w:eastAsiaTheme="minorEastAsia"/>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‡values are median (i.q.r.).</w:t>
      </w:r>
      <w:r>
        <w:rPr>
          <w:rFonts w:hint="eastAsia" w:ascii="Times New Roman" w:hAnsi="Times New Roman" w:cs="Times New Roman"/>
          <w:color w:val="000000"/>
          <w:kern w:val="2"/>
          <w:sz w:val="18"/>
          <w:szCs w:val="18"/>
          <w:lang w:val="en-US" w:eastAsia="zh-CN" w:bidi="ar-SA"/>
        </w:rPr>
        <w:t xml:space="preserve"> </w:t>
      </w:r>
      <w:r>
        <w:rPr>
          <w:rFonts w:hint="eastAsia"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HBV/HCV</w:t>
      </w:r>
      <w:r>
        <w:rPr>
          <w:rFonts w:hint="eastAsia" w:ascii="Times New Roman" w:hAnsi="Times New Roman"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hepatitis B/C virus; AFP</w:t>
      </w:r>
      <w:r>
        <w:rPr>
          <w:rFonts w:hint="eastAsia" w:ascii="Times New Roman" w:hAnsi="Times New Roman"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alpha-fetoprotein</w:t>
      </w:r>
      <w:r>
        <w:rPr>
          <w:rFonts w:hint="eastAsia" w:ascii="Times New Roman" w:hAnsi="Times New Roman"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ALT</w:t>
      </w:r>
      <w:r>
        <w:rPr>
          <w:rFonts w:hint="eastAsia" w:ascii="Times New Roman" w:hAnsi="Times New Roman"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alanine aminotransferase</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AST</w:t>
      </w:r>
      <w:r>
        <w:rPr>
          <w:rFonts w:hint="eastAsia" w:ascii="Times New Roman" w:hAnsi="Times New Roman"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aspartate aminotransferase</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w:t>
      </w:r>
      <w:r>
        <w:rPr>
          <w:rFonts w:hint="eastAsia" w:ascii="Times New Roman" w:hAnsi="Times New Roman" w:cs="Times New Roman"/>
          <w:color w:val="000000"/>
          <w:kern w:val="2"/>
          <w:sz w:val="18"/>
          <w:szCs w:val="18"/>
          <w:lang w:val="en-US" w:eastAsia="zh-CN" w:bidi="ar-SA"/>
        </w:rPr>
        <w:t>GG</w:t>
      </w:r>
      <w:r>
        <w:rPr>
          <w:rFonts w:hint="eastAsia" w:ascii="Times New Roman" w:hAnsi="Times New Roman" w:cs="Times New Roman" w:eastAsiaTheme="minorEastAsia"/>
          <w:color w:val="000000"/>
          <w:kern w:val="2"/>
          <w:sz w:val="18"/>
          <w:szCs w:val="18"/>
          <w:lang w:val="en-US" w:eastAsia="zh-CN" w:bidi="ar-SA"/>
        </w:rPr>
        <w:t>T</w:t>
      </w:r>
      <w:r>
        <w:rPr>
          <w:rFonts w:hint="eastAsia" w:ascii="Times New Roman" w:hAnsi="Times New Roman"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γ-</w:t>
      </w:r>
      <w:r>
        <w:rPr>
          <w:rFonts w:hint="eastAsia" w:ascii="Times New Roman" w:hAnsi="Times New Roman" w:cs="Times New Roman"/>
          <w:color w:val="000000"/>
          <w:kern w:val="2"/>
          <w:sz w:val="18"/>
          <w:szCs w:val="18"/>
          <w:lang w:val="en-US" w:eastAsia="zh-CN" w:bidi="ar-SA"/>
        </w:rPr>
        <w:t>g</w:t>
      </w:r>
      <w:r>
        <w:rPr>
          <w:rFonts w:hint="default" w:ascii="Times New Roman" w:hAnsi="Times New Roman" w:cs="Times New Roman" w:eastAsiaTheme="minorEastAsia"/>
          <w:color w:val="000000"/>
          <w:kern w:val="2"/>
          <w:sz w:val="18"/>
          <w:szCs w:val="18"/>
          <w:lang w:val="en-US" w:eastAsia="zh-CN" w:bidi="ar-SA"/>
        </w:rPr>
        <w:t>ltamyl</w:t>
      </w:r>
      <w:r>
        <w:rPr>
          <w:rFonts w:hint="eastAsia" w:ascii="Times New Roman" w:hAnsi="Times New Roman" w:cs="Times New Roman" w:eastAsiaTheme="minorEastAsia"/>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tran</w:t>
      </w:r>
      <w:r>
        <w:rPr>
          <w:rFonts w:hint="eastAsia" w:ascii="Times New Roman" w:hAnsi="Times New Roman" w:cs="Times New Roman" w:eastAsiaTheme="minorEastAsia"/>
          <w:color w:val="000000"/>
          <w:kern w:val="2"/>
          <w:sz w:val="18"/>
          <w:szCs w:val="18"/>
          <w:lang w:val="en-US" w:eastAsia="zh-CN" w:bidi="ar-SA"/>
        </w:rPr>
        <w:t>sfer</w:t>
      </w:r>
      <w:r>
        <w:rPr>
          <w:rFonts w:hint="default" w:ascii="Times New Roman" w:hAnsi="Times New Roman" w:cs="Times New Roman" w:eastAsiaTheme="minorEastAsia"/>
          <w:color w:val="000000"/>
          <w:kern w:val="2"/>
          <w:sz w:val="18"/>
          <w:szCs w:val="18"/>
          <w:lang w:val="en-US" w:eastAsia="zh-CN" w:bidi="ar-SA"/>
        </w:rPr>
        <w:t>ase</w:t>
      </w:r>
      <w:r>
        <w:rPr>
          <w:rFonts w:hint="eastAsia" w:ascii="Times New Roman" w:hAnsi="Times New Roman"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ALB</w:t>
      </w:r>
      <w:r>
        <w:rPr>
          <w:rFonts w:hint="eastAsia" w:ascii="Times New Roman" w:hAnsi="Times New Roman" w:cs="Times New Roman"/>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albumin</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TB</w:t>
      </w:r>
      <w:r>
        <w:rPr>
          <w:rFonts w:hint="eastAsia" w:ascii="Times New Roman" w:hAnsi="Times New Roman" w:cs="Times New Roman"/>
          <w:color w:val="000000"/>
          <w:kern w:val="2"/>
          <w:sz w:val="18"/>
          <w:szCs w:val="18"/>
          <w:lang w:val="en-US" w:eastAsia="zh-CN" w:bidi="ar-SA"/>
        </w:rPr>
        <w:t xml:space="preserve">IL, </w:t>
      </w:r>
      <w:r>
        <w:rPr>
          <w:rFonts w:hint="default" w:ascii="Times New Roman" w:hAnsi="Times New Roman" w:cs="Times New Roman" w:eastAsiaTheme="minorEastAsia"/>
          <w:color w:val="000000"/>
          <w:kern w:val="2"/>
          <w:sz w:val="18"/>
          <w:szCs w:val="18"/>
          <w:lang w:val="en-US" w:eastAsia="zh-CN" w:bidi="ar-SA"/>
        </w:rPr>
        <w:t>total bilirubin</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PT</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prothrombin time</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BCLC</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Barcelona Clinic Liver Cancer System</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MVI</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microvascular invasion</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TACE</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transarterial chemoembolization</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HAIC</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hepatic arterial infusion chemotherapy</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TKI</w:t>
      </w:r>
      <w:r>
        <w:rPr>
          <w:rFonts w:hint="eastAsia" w:ascii="Times New Roman" w:hAnsi="Times New Roman" w:cs="Times New Roman"/>
          <w:color w:val="000000"/>
          <w:kern w:val="2"/>
          <w:sz w:val="18"/>
          <w:szCs w:val="18"/>
          <w:lang w:val="en-US" w:eastAsia="zh-CN" w:bidi="ar-SA"/>
        </w:rPr>
        <w:t>s,</w:t>
      </w:r>
      <w:r>
        <w:rPr>
          <w:rFonts w:hint="eastAsia" w:ascii="Times New Roman" w:hAnsi="Times New Roman" w:cs="Times New Roman" w:eastAsiaTheme="minorEastAsia"/>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tyrosine kinase inhibitors</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ICI</w:t>
      </w:r>
      <w:r>
        <w:rPr>
          <w:rFonts w:hint="eastAsia" w:ascii="Times New Roman" w:hAnsi="Times New Roman" w:cs="Times New Roman"/>
          <w:color w:val="000000"/>
          <w:kern w:val="2"/>
          <w:sz w:val="18"/>
          <w:szCs w:val="18"/>
          <w:lang w:val="en-US" w:eastAsia="zh-CN" w:bidi="ar-SA"/>
        </w:rPr>
        <w:t>s,</w:t>
      </w:r>
      <w:r>
        <w:rPr>
          <w:rFonts w:hint="eastAsia" w:ascii="Times New Roman" w:hAnsi="Times New Roman" w:cs="Times New Roman" w:eastAsiaTheme="minorEastAsia"/>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immune checkpoint inhibitors</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CR</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complete response</w:t>
      </w:r>
      <w:r>
        <w:rPr>
          <w:rFonts w:hint="eastAsia" w:ascii="Times New Roman" w:hAnsi="Times New Roman" w:cs="Times New Roman"/>
          <w:color w:val="000000"/>
          <w:kern w:val="2"/>
          <w:sz w:val="18"/>
          <w:szCs w:val="18"/>
          <w:lang w:val="en-US" w:eastAsia="zh-CN" w:bidi="ar-SA"/>
        </w:rPr>
        <w:t>;</w:t>
      </w:r>
      <w:r>
        <w:rPr>
          <w:rFonts w:hint="default" w:ascii="Times New Roman" w:hAnsi="Times New Roman" w:cs="Times New Roman" w:eastAsiaTheme="minorEastAsia"/>
          <w:color w:val="000000"/>
          <w:kern w:val="2"/>
          <w:sz w:val="18"/>
          <w:szCs w:val="18"/>
          <w:lang w:val="en-US" w:eastAsia="zh-CN" w:bidi="ar-SA"/>
        </w:rPr>
        <w:t xml:space="preserve"> </w:t>
      </w:r>
      <w:r>
        <w:rPr>
          <w:rFonts w:hint="eastAsia" w:ascii="Times New Roman" w:hAnsi="Times New Roman" w:cs="Times New Roman" w:eastAsiaTheme="minorEastAsia"/>
          <w:color w:val="000000"/>
          <w:kern w:val="2"/>
          <w:sz w:val="18"/>
          <w:szCs w:val="18"/>
          <w:lang w:val="en-US" w:eastAsia="zh-CN" w:bidi="ar-SA"/>
        </w:rPr>
        <w:t>mRECIST</w:t>
      </w:r>
      <w:r>
        <w:rPr>
          <w:rFonts w:hint="eastAsia" w:ascii="Times New Roman" w:hAnsi="Times New Roman" w:cs="Times New Roman"/>
          <w:color w:val="000000"/>
          <w:kern w:val="2"/>
          <w:sz w:val="18"/>
          <w:szCs w:val="18"/>
          <w:lang w:val="en-US" w:eastAsia="zh-CN" w:bidi="ar-SA"/>
        </w:rPr>
        <w:t>,</w:t>
      </w:r>
      <w:r>
        <w:rPr>
          <w:rFonts w:hint="eastAsia" w:ascii="Times New Roman" w:hAnsi="Times New Roman" w:cs="Times New Roman" w:eastAsiaTheme="minorEastAsia"/>
          <w:color w:val="000000"/>
          <w:kern w:val="2"/>
          <w:sz w:val="18"/>
          <w:szCs w:val="18"/>
          <w:lang w:val="en-US" w:eastAsia="zh-CN" w:bidi="ar-SA"/>
        </w:rPr>
        <w:t xml:space="preserve"> </w:t>
      </w:r>
      <w:r>
        <w:rPr>
          <w:rFonts w:hint="default" w:ascii="Times New Roman" w:hAnsi="Times New Roman" w:cs="Times New Roman" w:eastAsiaTheme="minorEastAsia"/>
          <w:color w:val="000000"/>
          <w:kern w:val="2"/>
          <w:sz w:val="18"/>
          <w:szCs w:val="18"/>
          <w:lang w:val="en-US" w:eastAsia="zh-CN" w:bidi="ar-SA"/>
        </w:rPr>
        <w:t>modified Response Evaluation Criteria in Solid Tumors</w:t>
      </w:r>
      <w:r>
        <w:rPr>
          <w:rFonts w:hint="eastAsia" w:ascii="Times New Roman" w:hAnsi="Times New Roman" w:cs="Times New Roman"/>
          <w:color w:val="000000"/>
          <w:kern w:val="2"/>
          <w:sz w:val="18"/>
          <w:szCs w:val="18"/>
          <w:lang w:val="en-US" w:eastAsia="zh-CN" w:bidi="ar-SA"/>
        </w:rPr>
        <w:t>.</w:t>
      </w:r>
    </w:p>
    <w:p w14:paraId="0F96EE91">
      <w:pPr>
        <w:rPr>
          <w:rFonts w:hint="eastAsia" w:ascii="Times New Roman" w:hAnsi="Times New Roman" w:cs="Times New Roman"/>
          <w:color w:val="000000"/>
          <w:kern w:val="2"/>
          <w:sz w:val="18"/>
          <w:szCs w:val="18"/>
          <w:lang w:val="en-US" w:eastAsia="zh-CN" w:bidi="ar-SA"/>
        </w:rPr>
      </w:pPr>
      <w:r>
        <w:rPr>
          <w:rFonts w:hint="eastAsia" w:ascii="Times New Roman" w:hAnsi="Times New Roman" w:cs="Times New Roman"/>
          <w:color w:val="000000"/>
          <w:kern w:val="2"/>
          <w:sz w:val="18"/>
          <w:szCs w:val="18"/>
          <w:lang w:val="en-US" w:eastAsia="zh-CN" w:bidi="ar-SA"/>
        </w:rPr>
        <w:br w:type="page"/>
      </w:r>
    </w:p>
    <w:p w14:paraId="3FBD5752">
      <w:pPr>
        <w:pStyle w:val="6"/>
        <w:keepNext w:val="0"/>
        <w:keepLines w:val="0"/>
        <w:pageBreakBefore w:val="0"/>
        <w:widowControl/>
        <w:kinsoku/>
        <w:wordWrap/>
        <w:overflowPunct/>
        <w:topLinePunct w:val="0"/>
        <w:autoSpaceDE/>
        <w:autoSpaceDN/>
        <w:bidi w:val="0"/>
        <w:snapToGrid/>
        <w:spacing w:beforeAutospacing="0" w:afterAutospacing="0" w:line="360" w:lineRule="auto"/>
        <w:ind w:left="720" w:leftChars="300" w:firstLine="0" w:firstLineChars="0"/>
        <w:jc w:val="left"/>
        <w:textAlignment w:val="auto"/>
        <w:rPr>
          <w:rFonts w:hint="default" w:ascii="Times New Roman" w:hAnsi="Times New Roman" w:cs="Times New Roman"/>
          <w:color w:val="000000"/>
          <w:kern w:val="2"/>
          <w:sz w:val="18"/>
          <w:szCs w:val="18"/>
          <w:lang w:val="en-US" w:eastAsia="zh-CN" w:bidi="ar-SA"/>
        </w:rPr>
      </w:pPr>
    </w:p>
    <w:p w14:paraId="40213E36">
      <w:pPr>
        <w:rPr>
          <w:rFonts w:hint="eastAsia" w:ascii="Times New Roman" w:hAnsi="Times New Roman"/>
          <w:color w:val="000000"/>
          <w:kern w:val="2"/>
          <w:sz w:val="18"/>
          <w:szCs w:val="18"/>
          <w:lang w:val="en-US" w:eastAsia="zh-CN"/>
        </w:rPr>
      </w:pPr>
    </w:p>
    <w:p w14:paraId="77B23486">
      <w:pPr>
        <w:keepNext w:val="0"/>
        <w:keepLines w:val="0"/>
        <w:pageBreakBefore w:val="0"/>
        <w:widowControl/>
        <w:kinsoku/>
        <w:wordWrap/>
        <w:overflowPunct/>
        <w:topLinePunct w:val="0"/>
        <w:autoSpaceDE/>
        <w:autoSpaceDN/>
        <w:bidi w:val="0"/>
        <w:adjustRightInd/>
        <w:snapToGrid/>
        <w:spacing w:line="360" w:lineRule="auto"/>
        <w:ind w:firstLine="678" w:firstLineChars="300"/>
        <w:jc w:val="left"/>
        <w:textAlignment w:val="auto"/>
        <w:rPr>
          <w:rFonts w:ascii="Times New Roman" w:hAnsi="Times New Roman" w:cs="Times New Roman"/>
          <w:sz w:val="21"/>
          <w:szCs w:val="21"/>
        </w:rPr>
      </w:pPr>
      <w:r>
        <w:rPr>
          <w:rFonts w:hint="eastAsia" w:ascii="Times New Roman" w:hAnsi="Times New Roman" w:cs="Times New Roman"/>
          <w:b w:val="0"/>
          <w:bCs w:val="0"/>
          <w:spacing w:val="8"/>
          <w:sz w:val="21"/>
          <w:szCs w:val="21"/>
          <w:lang w:val="en-US" w:eastAsia="zh-CN"/>
        </w:rPr>
        <w:t xml:space="preserve">Table S2. </w:t>
      </w:r>
      <w:r>
        <w:rPr>
          <w:rFonts w:ascii="Times New Roman" w:hAnsi="Times New Roman" w:cs="Times New Roman"/>
          <w:sz w:val="21"/>
          <w:szCs w:val="21"/>
        </w:rPr>
        <w:t xml:space="preserve">The summary of the </w:t>
      </w:r>
      <w:r>
        <w:rPr>
          <w:rFonts w:hint="eastAsia" w:ascii="Times New Roman" w:hAnsi="Times New Roman" w:cs="Times New Roman"/>
          <w:sz w:val="21"/>
          <w:szCs w:val="21"/>
          <w:lang w:val="en-US" w:eastAsia="zh-CN"/>
        </w:rPr>
        <w:t>396</w:t>
      </w:r>
      <w:r>
        <w:rPr>
          <w:rFonts w:ascii="Times New Roman" w:hAnsi="Times New Roman" w:cs="Times New Roman"/>
          <w:sz w:val="21"/>
          <w:szCs w:val="21"/>
        </w:rPr>
        <w:t xml:space="preserve"> radiomic features.</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0"/>
        <w:gridCol w:w="1003"/>
        <w:gridCol w:w="5324"/>
      </w:tblGrid>
      <w:tr w14:paraId="2BFA8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80" w:type="dxa"/>
            <w:tcBorders>
              <w:top w:val="single" w:color="auto" w:sz="4" w:space="0"/>
              <w:bottom w:val="single" w:color="auto" w:sz="4" w:space="0"/>
            </w:tcBorders>
          </w:tcPr>
          <w:p w14:paraId="0A6915EB">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ascii="Times New Roman" w:hAnsi="Times New Roman" w:cs="Times New Roman"/>
                <w:sz w:val="21"/>
                <w:szCs w:val="21"/>
              </w:rPr>
              <w:t>Feature subgroups</w:t>
            </w:r>
          </w:p>
        </w:tc>
        <w:tc>
          <w:tcPr>
            <w:tcW w:w="1003" w:type="dxa"/>
            <w:tcBorders>
              <w:top w:val="single" w:color="auto" w:sz="4" w:space="0"/>
              <w:bottom w:val="single" w:color="auto" w:sz="4" w:space="0"/>
            </w:tcBorders>
          </w:tcPr>
          <w:p w14:paraId="6E0754D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imes New Roman" w:hAnsi="Times New Roman" w:cs="Times New Roman"/>
                <w:sz w:val="21"/>
                <w:szCs w:val="21"/>
              </w:rPr>
            </w:pPr>
            <w:r>
              <w:rPr>
                <w:rFonts w:ascii="Times New Roman" w:hAnsi="Times New Roman" w:cs="Times New Roman"/>
                <w:sz w:val="21"/>
                <w:szCs w:val="21"/>
              </w:rPr>
              <w:t>Number</w:t>
            </w:r>
          </w:p>
        </w:tc>
        <w:tc>
          <w:tcPr>
            <w:tcW w:w="5324" w:type="dxa"/>
            <w:tcBorders>
              <w:top w:val="single" w:color="auto" w:sz="4" w:space="0"/>
              <w:bottom w:val="single" w:color="auto" w:sz="4" w:space="0"/>
            </w:tcBorders>
            <w:vAlign w:val="center"/>
          </w:tcPr>
          <w:p w14:paraId="7041B32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imes New Roman" w:hAnsi="Times New Roman" w:cs="Times New Roman"/>
                <w:sz w:val="21"/>
                <w:szCs w:val="21"/>
              </w:rPr>
            </w:pPr>
            <w:r>
              <w:rPr>
                <w:rFonts w:ascii="Times New Roman" w:hAnsi="Times New Roman" w:cs="Times New Roman"/>
                <w:sz w:val="21"/>
                <w:szCs w:val="21"/>
              </w:rPr>
              <w:t xml:space="preserve">Representative </w:t>
            </w:r>
            <w:r>
              <w:rPr>
                <w:rFonts w:hint="eastAsia" w:ascii="Times New Roman" w:hAnsi="Times New Roman" w:cs="Times New Roman"/>
                <w:sz w:val="21"/>
                <w:szCs w:val="21"/>
                <w:lang w:val="en-US" w:eastAsia="zh-CN"/>
              </w:rPr>
              <w:t>3</w:t>
            </w:r>
            <w:r>
              <w:rPr>
                <w:rFonts w:ascii="Times New Roman" w:hAnsi="Times New Roman" w:cs="Times New Roman"/>
                <w:sz w:val="21"/>
                <w:szCs w:val="21"/>
              </w:rPr>
              <w:t>-4 feature details</w:t>
            </w:r>
          </w:p>
        </w:tc>
      </w:tr>
      <w:tr w14:paraId="00C18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80" w:type="dxa"/>
            <w:tcBorders>
              <w:top w:val="single" w:color="auto" w:sz="4" w:space="0"/>
            </w:tcBorders>
            <w:vAlign w:val="top"/>
          </w:tcPr>
          <w:p w14:paraId="74E17793">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rPr>
              <w:t>Histogram parameters</w:t>
            </w:r>
          </w:p>
        </w:tc>
        <w:tc>
          <w:tcPr>
            <w:tcW w:w="1003" w:type="dxa"/>
            <w:tcBorders>
              <w:top w:val="single" w:color="auto" w:sz="4" w:space="0"/>
            </w:tcBorders>
            <w:vAlign w:val="top"/>
          </w:tcPr>
          <w:p w14:paraId="02E0AB91">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42</w:t>
            </w:r>
          </w:p>
        </w:tc>
        <w:tc>
          <w:tcPr>
            <w:tcW w:w="5324" w:type="dxa"/>
            <w:tcBorders>
              <w:top w:val="single" w:color="auto" w:sz="4" w:space="0"/>
            </w:tcBorders>
            <w:vAlign w:val="center"/>
          </w:tcPr>
          <w:p w14:paraId="42340BE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rPr>
              <w:t>Frequency</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Size</w:t>
            </w:r>
            <w:r>
              <w:rPr>
                <w:rFonts w:hint="eastAsia" w:ascii="Times New Roman" w:hAnsi="Times New Roman" w:cs="Times New Roman"/>
                <w:sz w:val="21"/>
                <w:szCs w:val="21"/>
                <w:lang w:val="en-US" w:eastAsia="zh-CN"/>
              </w:rPr>
              <w:t>, Range, Percentile, Quantile</w:t>
            </w:r>
          </w:p>
        </w:tc>
      </w:tr>
      <w:tr w14:paraId="1C486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80" w:type="dxa"/>
            <w:vAlign w:val="top"/>
          </w:tcPr>
          <w:p w14:paraId="33B664C4">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Texture parameters</w:t>
            </w:r>
          </w:p>
        </w:tc>
        <w:tc>
          <w:tcPr>
            <w:tcW w:w="1003" w:type="dxa"/>
            <w:vAlign w:val="top"/>
          </w:tcPr>
          <w:p w14:paraId="63AC0693">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54</w:t>
            </w:r>
          </w:p>
        </w:tc>
        <w:tc>
          <w:tcPr>
            <w:tcW w:w="5324" w:type="dxa"/>
            <w:vAlign w:val="center"/>
          </w:tcPr>
          <w:p w14:paraId="17689D4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rPr>
              <w:t>Cluster</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Prominence</w:t>
            </w:r>
            <w:r>
              <w:rPr>
                <w:rFonts w:hint="eastAsia" w:ascii="Times New Roman" w:hAnsi="Times New Roman" w:cs="Times New Roman"/>
                <w:sz w:val="21"/>
                <w:szCs w:val="21"/>
                <w:lang w:val="en-US" w:eastAsia="zh-CN"/>
              </w:rPr>
              <w:t>, Cluster Shade, Correlation</w:t>
            </w:r>
          </w:p>
        </w:tc>
      </w:tr>
      <w:tr w14:paraId="6CAD5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80" w:type="dxa"/>
            <w:vAlign w:val="top"/>
          </w:tcPr>
          <w:p w14:paraId="67729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1"/>
                <w:szCs w:val="21"/>
                <w:lang w:val="en-US" w:eastAsia="zh-CN"/>
              </w:rPr>
            </w:pPr>
            <w:r>
              <w:rPr>
                <w:rFonts w:ascii="Times New Roman" w:hAnsi="Times New Roman" w:cs="Times New Roman"/>
                <w:sz w:val="21"/>
                <w:szCs w:val="21"/>
              </w:rPr>
              <w:t>GLCM</w:t>
            </w:r>
            <w:r>
              <w:rPr>
                <w:rFonts w:hint="eastAsia" w:ascii="Times New Roman" w:hAnsi="Times New Roman" w:cs="Times New Roman"/>
                <w:sz w:val="21"/>
                <w:szCs w:val="21"/>
                <w:lang w:val="en-US" w:eastAsia="zh-CN"/>
              </w:rPr>
              <w:t xml:space="preserve"> </w:t>
            </w:r>
          </w:p>
        </w:tc>
        <w:tc>
          <w:tcPr>
            <w:tcW w:w="1003" w:type="dxa"/>
            <w:vAlign w:val="top"/>
          </w:tcPr>
          <w:p w14:paraId="0A5CD3F0">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100</w:t>
            </w:r>
          </w:p>
        </w:tc>
        <w:tc>
          <w:tcPr>
            <w:tcW w:w="5324" w:type="dxa"/>
            <w:vAlign w:val="center"/>
          </w:tcPr>
          <w:p w14:paraId="17B85F8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rPr>
              <w:t>GLCM</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Energy</w:t>
            </w:r>
            <w:r>
              <w:rPr>
                <w:rFonts w:hint="eastAsia" w:ascii="Times New Roman" w:hAnsi="Times New Roman" w:cs="Times New Roman"/>
                <w:sz w:val="21"/>
                <w:szCs w:val="21"/>
                <w:lang w:val="en-US" w:eastAsia="zh-CN"/>
              </w:rPr>
              <w:t>, GLCM Entropy, Haralick Correlation, Inverse Difference Moment</w:t>
            </w:r>
          </w:p>
        </w:tc>
      </w:tr>
      <w:tr w14:paraId="324C9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80" w:type="dxa"/>
            <w:vAlign w:val="top"/>
          </w:tcPr>
          <w:p w14:paraId="1D443B1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RLM</w:t>
            </w:r>
          </w:p>
        </w:tc>
        <w:tc>
          <w:tcPr>
            <w:tcW w:w="1003" w:type="dxa"/>
            <w:vAlign w:val="top"/>
          </w:tcPr>
          <w:p w14:paraId="5B792326">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180</w:t>
            </w:r>
          </w:p>
        </w:tc>
        <w:tc>
          <w:tcPr>
            <w:tcW w:w="5324" w:type="dxa"/>
            <w:vAlign w:val="center"/>
          </w:tcPr>
          <w:p w14:paraId="49BFA05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等线" w:hAnsi="等线" w:eastAsiaTheme="minorEastAsia"/>
                <w:sz w:val="21"/>
                <w:szCs w:val="21"/>
                <w:lang w:val="en-US" w:eastAsia="zh-CN"/>
              </w:rPr>
            </w:pPr>
            <w:r>
              <w:rPr>
                <w:rFonts w:hint="eastAsia" w:ascii="Times New Roman" w:hAnsi="Times New Roman" w:cs="Times New Roman"/>
                <w:sz w:val="21"/>
                <w:szCs w:val="21"/>
              </w:rPr>
              <w:t>Grey</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Level</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Non</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uniformity</w:t>
            </w:r>
            <w:r>
              <w:rPr>
                <w:rFonts w:hint="eastAsia" w:ascii="Times New Roman" w:hAnsi="Times New Roman" w:cs="Times New Roman"/>
                <w:sz w:val="21"/>
                <w:szCs w:val="21"/>
                <w:lang w:val="en-US" w:eastAsia="zh-CN"/>
              </w:rPr>
              <w:t>, High Grey Level Run Emphasis, Low Grey Level Run Emphasis, Long Run Emphasis</w:t>
            </w:r>
          </w:p>
        </w:tc>
      </w:tr>
      <w:tr w14:paraId="6E28B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80" w:type="dxa"/>
            <w:vAlign w:val="top"/>
          </w:tcPr>
          <w:p w14:paraId="456D1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Form factors</w:t>
            </w:r>
          </w:p>
        </w:tc>
        <w:tc>
          <w:tcPr>
            <w:tcW w:w="1003" w:type="dxa"/>
            <w:vAlign w:val="top"/>
          </w:tcPr>
          <w:p w14:paraId="7C87758F">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9</w:t>
            </w:r>
          </w:p>
        </w:tc>
        <w:tc>
          <w:tcPr>
            <w:tcW w:w="5324" w:type="dxa"/>
            <w:vAlign w:val="center"/>
          </w:tcPr>
          <w:p w14:paraId="5AE6990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rPr>
              <w:t>Compactness</w:t>
            </w:r>
            <w:r>
              <w:rPr>
                <w:rFonts w:hint="eastAsia" w:ascii="Times New Roman" w:hAnsi="Times New Roman" w:cs="Times New Roman"/>
                <w:sz w:val="21"/>
                <w:szCs w:val="21"/>
                <w:lang w:val="en-US" w:eastAsia="zh-CN"/>
              </w:rPr>
              <w:t>, Sphericity, Surface Area, Surface Volume Ratio</w:t>
            </w:r>
          </w:p>
        </w:tc>
      </w:tr>
      <w:tr w14:paraId="15C7F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80" w:type="dxa"/>
            <w:vAlign w:val="top"/>
          </w:tcPr>
          <w:p w14:paraId="53C52F33">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rPr>
              <w:t>G</w:t>
            </w:r>
            <w:r>
              <w:rPr>
                <w:rFonts w:ascii="Times New Roman" w:hAnsi="Times New Roman" w:cs="Times New Roman"/>
                <w:sz w:val="21"/>
                <w:szCs w:val="21"/>
              </w:rPr>
              <w:t>LSZM</w:t>
            </w:r>
          </w:p>
        </w:tc>
        <w:tc>
          <w:tcPr>
            <w:tcW w:w="1003" w:type="dxa"/>
            <w:vAlign w:val="top"/>
          </w:tcPr>
          <w:p w14:paraId="7ED981C2">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hint="eastAsia" w:ascii="Times New Roman" w:hAnsi="Times New Roman" w:cs="Times New Roman"/>
                <w:sz w:val="21"/>
                <w:szCs w:val="21"/>
              </w:rPr>
              <w:t>1</w:t>
            </w:r>
            <w:r>
              <w:rPr>
                <w:rFonts w:hint="eastAsia" w:ascii="Times New Roman" w:hAnsi="Times New Roman" w:cs="Times New Roman"/>
                <w:sz w:val="21"/>
                <w:szCs w:val="21"/>
                <w:lang w:val="en-US" w:eastAsia="zh-CN"/>
              </w:rPr>
              <w:t>1</w:t>
            </w:r>
          </w:p>
        </w:tc>
        <w:tc>
          <w:tcPr>
            <w:tcW w:w="5324" w:type="dxa"/>
            <w:vAlign w:val="center"/>
          </w:tcPr>
          <w:p w14:paraId="66DFFD1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imes New Roman" w:hAnsi="Times New Roman" w:cs="Times New Roman"/>
                <w:sz w:val="21"/>
                <w:szCs w:val="21"/>
              </w:rPr>
            </w:pPr>
            <w:r>
              <w:rPr>
                <w:rFonts w:hint="eastAsia" w:ascii="Times New Roman" w:hAnsi="Times New Roman" w:cs="Times New Roman"/>
                <w:sz w:val="21"/>
                <w:szCs w:val="21"/>
              </w:rPr>
              <w:t>Size</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Zone</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Variability</w:t>
            </w:r>
            <w:r>
              <w:rPr>
                <w:rFonts w:ascii="Times New Roman" w:hAnsi="Times New Roman" w:cs="Times New Roman"/>
                <w:sz w:val="21"/>
                <w:szCs w:val="21"/>
              </w:rPr>
              <w:t>,</w:t>
            </w:r>
            <w:r>
              <w:rPr>
                <w:rFonts w:hint="eastAsia" w:ascii="Times New Roman" w:hAnsi="Times New Roman" w:cs="Times New Roman"/>
                <w:sz w:val="21"/>
                <w:szCs w:val="21"/>
              </w:rPr>
              <w:t xml:space="preserve"> High</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Intensity</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Emphasis,</w:t>
            </w:r>
            <w:r>
              <w:rPr>
                <w:rFonts w:ascii="Times New Roman" w:hAnsi="Times New Roman" w:cs="Times New Roman"/>
                <w:sz w:val="21"/>
                <w:szCs w:val="21"/>
              </w:rPr>
              <w:t xml:space="preserve"> </w:t>
            </w:r>
            <w:r>
              <w:rPr>
                <w:rFonts w:hint="eastAsia" w:ascii="Times New Roman" w:hAnsi="Times New Roman" w:cs="Times New Roman"/>
                <w:sz w:val="21"/>
                <w:szCs w:val="21"/>
              </w:rPr>
              <w:t>Large</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Area</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Emphasis</w:t>
            </w:r>
            <w:r>
              <w:rPr>
                <w:rFonts w:ascii="Times New Roman" w:hAnsi="Times New Roman" w:cs="Times New Roman"/>
                <w:sz w:val="21"/>
                <w:szCs w:val="21"/>
              </w:rPr>
              <w:t xml:space="preserve">, </w:t>
            </w:r>
            <w:r>
              <w:rPr>
                <w:rFonts w:hint="eastAsia" w:ascii="Times New Roman" w:hAnsi="Times New Roman" w:cs="Times New Roman"/>
                <w:sz w:val="21"/>
                <w:szCs w:val="21"/>
              </w:rPr>
              <w:t>Zone</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Percentage</w:t>
            </w:r>
          </w:p>
        </w:tc>
      </w:tr>
      <w:tr w14:paraId="628B8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80" w:type="dxa"/>
            <w:tcBorders>
              <w:top w:val="single" w:color="auto" w:sz="4" w:space="0"/>
              <w:bottom w:val="single" w:color="auto" w:sz="4" w:space="0"/>
            </w:tcBorders>
          </w:tcPr>
          <w:p w14:paraId="783562E6">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ascii="Times New Roman" w:hAnsi="Times New Roman" w:cs="Times New Roman"/>
                <w:sz w:val="21"/>
                <w:szCs w:val="21"/>
              </w:rPr>
              <w:t>Total</w:t>
            </w:r>
          </w:p>
        </w:tc>
        <w:tc>
          <w:tcPr>
            <w:tcW w:w="1003" w:type="dxa"/>
            <w:tcBorders>
              <w:top w:val="single" w:color="auto" w:sz="4" w:space="0"/>
              <w:bottom w:val="single" w:color="auto" w:sz="4" w:space="0"/>
            </w:tcBorders>
          </w:tcPr>
          <w:p w14:paraId="7A02D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396</w:t>
            </w:r>
          </w:p>
        </w:tc>
        <w:tc>
          <w:tcPr>
            <w:tcW w:w="5324" w:type="dxa"/>
            <w:tcBorders>
              <w:top w:val="single" w:color="auto" w:sz="4" w:space="0"/>
              <w:bottom w:val="single" w:color="auto" w:sz="4" w:space="0"/>
            </w:tcBorders>
            <w:vAlign w:val="center"/>
          </w:tcPr>
          <w:p w14:paraId="07A17316">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p>
        </w:tc>
      </w:tr>
    </w:tbl>
    <w:p w14:paraId="188C2CA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20" w:firstLineChars="400"/>
        <w:jc w:val="left"/>
        <w:textAlignment w:val="auto"/>
        <w:rPr>
          <w:rFonts w:hint="eastAsia" w:ascii="Times New Roman" w:hAnsi="Times New Roman" w:cs="Times New Roman"/>
          <w:sz w:val="18"/>
          <w:szCs w:val="18"/>
          <w:lang w:val="en-US" w:eastAsia="zh-CN"/>
        </w:rPr>
      </w:pPr>
      <w:r>
        <w:rPr>
          <w:rFonts w:hint="default" w:ascii="Times New Roman" w:hAnsi="Times New Roman" w:cs="Times New Roman"/>
          <w:sz w:val="18"/>
          <w:szCs w:val="18"/>
          <w:lang w:val="en-US" w:eastAsia="zh-CN"/>
        </w:rPr>
        <w:t>GLCM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gray level co-occurrence matrix</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 xml:space="preserve"> RLM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run-length matri</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 xml:space="preserve"> </w:t>
      </w:r>
      <w:r>
        <w:rPr>
          <w:rFonts w:hint="eastAsia" w:ascii="Times New Roman" w:hAnsi="Times New Roman" w:cs="Times New Roman"/>
          <w:sz w:val="18"/>
          <w:szCs w:val="18"/>
          <w:lang w:val="en-US" w:eastAsia="zh-CN"/>
        </w:rPr>
        <w:t>G</w:t>
      </w:r>
      <w:r>
        <w:rPr>
          <w:rFonts w:hint="default" w:ascii="Times New Roman" w:hAnsi="Times New Roman" w:cs="Times New Roman"/>
          <w:sz w:val="18"/>
          <w:szCs w:val="18"/>
          <w:lang w:val="en-US" w:eastAsia="zh-CN"/>
        </w:rPr>
        <w:t>LSZM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gray level size-zone matrix</w:t>
      </w:r>
      <w:r>
        <w:rPr>
          <w:rFonts w:hint="eastAsia" w:ascii="Times New Roman" w:hAnsi="Times New Roman" w:cs="Times New Roman"/>
          <w:sz w:val="18"/>
          <w:szCs w:val="18"/>
          <w:lang w:val="en-US" w:eastAsia="zh-CN"/>
        </w:rPr>
        <w:t>.</w:t>
      </w:r>
    </w:p>
    <w:p w14:paraId="4C8D663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br w:type="page"/>
      </w:r>
    </w:p>
    <w:p w14:paraId="5CE8AB71">
      <w:pPr>
        <w:spacing w:line="276" w:lineRule="auto"/>
        <w:jc w:val="center"/>
        <w:rPr>
          <w:rFonts w:hint="default" w:ascii="Times New Roman" w:hAnsi="Times New Roman" w:cs="Times New Roman"/>
          <w:b w:val="0"/>
          <w:bCs w:val="0"/>
          <w:spacing w:val="8"/>
          <w:sz w:val="21"/>
          <w:szCs w:val="21"/>
          <w:lang w:val="en-US" w:eastAsia="zh-CN"/>
        </w:rPr>
      </w:pPr>
    </w:p>
    <w:p w14:paraId="42D1C4D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1"/>
          <w:szCs w:val="21"/>
        </w:rPr>
      </w:pPr>
      <w:r>
        <w:rPr>
          <w:rFonts w:hint="default" w:ascii="Times New Roman" w:hAnsi="Times New Roman" w:cs="Times New Roman"/>
          <w:b w:val="0"/>
          <w:bCs w:val="0"/>
          <w:spacing w:val="8"/>
          <w:sz w:val="21"/>
          <w:szCs w:val="21"/>
          <w:lang w:val="en-US" w:eastAsia="zh-CN"/>
        </w:rPr>
        <w:t xml:space="preserve">Table </w:t>
      </w:r>
      <w:r>
        <w:rPr>
          <w:rFonts w:hint="eastAsia" w:ascii="Times New Roman" w:hAnsi="Times New Roman" w:cs="Times New Roman"/>
          <w:b w:val="0"/>
          <w:bCs w:val="0"/>
          <w:spacing w:val="8"/>
          <w:sz w:val="21"/>
          <w:szCs w:val="21"/>
          <w:lang w:val="en-US" w:eastAsia="zh-CN"/>
        </w:rPr>
        <w:t>S3</w:t>
      </w:r>
      <w:r>
        <w:rPr>
          <w:rFonts w:hint="default" w:ascii="Times New Roman" w:hAnsi="Times New Roman" w:cs="Times New Roman"/>
          <w:b w:val="0"/>
          <w:bCs w:val="0"/>
          <w:spacing w:val="8"/>
          <w:sz w:val="21"/>
          <w:szCs w:val="21"/>
          <w:lang w:val="en-US" w:eastAsia="zh-CN"/>
        </w:rPr>
        <w:t xml:space="preserve">. </w:t>
      </w:r>
      <w:r>
        <w:rPr>
          <w:rFonts w:hint="default" w:ascii="Times New Roman" w:hAnsi="Times New Roman" w:cs="Times New Roman"/>
          <w:sz w:val="21"/>
          <w:szCs w:val="21"/>
          <w:lang w:val="en-US" w:eastAsia="zh-CN"/>
        </w:rPr>
        <w:t>10 radiomic features for radiomics model construction.</w:t>
      </w:r>
    </w:p>
    <w:tbl>
      <w:tblPr>
        <w:tblStyle w:val="9"/>
        <w:tblW w:w="989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2"/>
        <w:gridCol w:w="877"/>
        <w:gridCol w:w="5088"/>
        <w:gridCol w:w="1189"/>
        <w:gridCol w:w="1430"/>
      </w:tblGrid>
      <w:tr w14:paraId="5176D7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312" w:type="dxa"/>
            <w:tcBorders>
              <w:top w:val="single" w:color="auto" w:sz="4" w:space="0"/>
              <w:bottom w:val="single" w:color="auto" w:sz="4" w:space="0"/>
            </w:tcBorders>
          </w:tcPr>
          <w:p w14:paraId="2019A793">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FF0000"/>
                <w:sz w:val="21"/>
                <w:szCs w:val="21"/>
              </w:rPr>
            </w:pPr>
            <w:r>
              <w:rPr>
                <w:rFonts w:ascii="Times New Roman" w:hAnsi="Times New Roman" w:cs="Times New Roman"/>
                <w:color w:val="000000" w:themeColor="text1"/>
                <w:sz w:val="21"/>
                <w:szCs w:val="21"/>
                <w14:textFill>
                  <w14:solidFill>
                    <w14:schemeClr w14:val="tx1"/>
                  </w14:solidFill>
                </w14:textFill>
              </w:rPr>
              <w:t>CT phase</w:t>
            </w:r>
          </w:p>
        </w:tc>
        <w:tc>
          <w:tcPr>
            <w:tcW w:w="877" w:type="dxa"/>
            <w:tcBorders>
              <w:top w:val="single" w:color="auto" w:sz="4" w:space="0"/>
              <w:bottom w:val="single" w:color="auto" w:sz="4" w:space="0"/>
            </w:tcBorders>
          </w:tcPr>
          <w:p w14:paraId="473CD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F</w:t>
            </w:r>
            <w:r>
              <w:rPr>
                <w:rFonts w:ascii="Times New Roman" w:hAnsi="Times New Roman" w:cs="Times New Roman"/>
                <w:sz w:val="21"/>
                <w:szCs w:val="21"/>
              </w:rPr>
              <w:t>eature</w:t>
            </w:r>
          </w:p>
          <w:p w14:paraId="5FA97621">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sz w:val="21"/>
                <w:szCs w:val="21"/>
                <w:lang w:val="en-US" w:eastAsia="zh-CN"/>
              </w:rPr>
              <w:t>Label</w:t>
            </w:r>
          </w:p>
        </w:tc>
        <w:tc>
          <w:tcPr>
            <w:tcW w:w="5088" w:type="dxa"/>
            <w:tcBorders>
              <w:top w:val="single" w:color="auto" w:sz="4" w:space="0"/>
              <w:bottom w:val="single" w:color="auto" w:sz="4" w:space="0"/>
            </w:tcBorders>
          </w:tcPr>
          <w:p w14:paraId="3459B95B">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sz w:val="21"/>
                <w:szCs w:val="21"/>
              </w:rPr>
            </w:pPr>
            <w:r>
              <w:rPr>
                <w:rFonts w:ascii="Times New Roman" w:hAnsi="Times New Roman" w:cs="Times New Roman"/>
                <w:sz w:val="21"/>
                <w:szCs w:val="21"/>
              </w:rPr>
              <w:t>Details of important radiomic features</w:t>
            </w:r>
          </w:p>
        </w:tc>
        <w:tc>
          <w:tcPr>
            <w:tcW w:w="1189" w:type="dxa"/>
            <w:tcBorders>
              <w:top w:val="single" w:color="auto" w:sz="4" w:space="0"/>
              <w:bottom w:val="single" w:color="auto" w:sz="4" w:space="0"/>
            </w:tcBorders>
          </w:tcPr>
          <w:p w14:paraId="48712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sz w:val="21"/>
                <w:szCs w:val="21"/>
              </w:rPr>
            </w:pPr>
            <w:r>
              <w:rPr>
                <w:rFonts w:ascii="Times New Roman" w:hAnsi="Times New Roman" w:cs="Times New Roman"/>
                <w:sz w:val="21"/>
                <w:szCs w:val="21"/>
              </w:rPr>
              <w:t>Feature subgroup</w:t>
            </w:r>
          </w:p>
        </w:tc>
        <w:tc>
          <w:tcPr>
            <w:tcW w:w="1430" w:type="dxa"/>
            <w:tcBorders>
              <w:top w:val="single" w:color="auto" w:sz="4" w:space="0"/>
              <w:bottom w:val="single" w:color="auto" w:sz="4" w:space="0"/>
            </w:tcBorders>
          </w:tcPr>
          <w:p w14:paraId="6DCF9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sz w:val="21"/>
                <w:szCs w:val="21"/>
              </w:rPr>
            </w:pPr>
            <w:r>
              <w:rPr>
                <w:rFonts w:ascii="Times New Roman" w:hAnsi="Times New Roman" w:cs="Times New Roman"/>
                <w:sz w:val="21"/>
                <w:szCs w:val="21"/>
              </w:rPr>
              <w:t>Coefficient</w:t>
            </w:r>
          </w:p>
        </w:tc>
      </w:tr>
      <w:tr w14:paraId="51CD92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312" w:type="dxa"/>
            <w:tcBorders>
              <w:top w:val="single" w:color="auto" w:sz="4" w:space="0"/>
            </w:tcBorders>
          </w:tcPr>
          <w:p w14:paraId="1424F539">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Arterial </w:t>
            </w:r>
          </w:p>
        </w:tc>
        <w:tc>
          <w:tcPr>
            <w:tcW w:w="877" w:type="dxa"/>
            <w:tcBorders>
              <w:top w:val="single" w:color="auto" w:sz="4" w:space="0"/>
            </w:tcBorders>
          </w:tcPr>
          <w:p w14:paraId="6B6C340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A308</w:t>
            </w:r>
          </w:p>
        </w:tc>
        <w:tc>
          <w:tcPr>
            <w:tcW w:w="5088" w:type="dxa"/>
            <w:tcBorders>
              <w:top w:val="single" w:color="auto" w:sz="4" w:space="0"/>
            </w:tcBorders>
          </w:tcPr>
          <w:p w14:paraId="712C7F11">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RunLengthNonuniformity_AllDirection_offset4_SD</w:t>
            </w:r>
          </w:p>
        </w:tc>
        <w:tc>
          <w:tcPr>
            <w:tcW w:w="1189" w:type="dxa"/>
            <w:tcBorders>
              <w:top w:val="single" w:color="auto" w:sz="4" w:space="0"/>
            </w:tcBorders>
          </w:tcPr>
          <w:p w14:paraId="63EC1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RLM</w:t>
            </w:r>
          </w:p>
        </w:tc>
        <w:tc>
          <w:tcPr>
            <w:tcW w:w="1430" w:type="dxa"/>
            <w:tcBorders>
              <w:top w:val="single" w:color="auto" w:sz="4" w:space="0"/>
            </w:tcBorders>
          </w:tcPr>
          <w:p w14:paraId="7FCC7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0.311</w:t>
            </w:r>
          </w:p>
        </w:tc>
      </w:tr>
      <w:tr w14:paraId="0D5F33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312" w:type="dxa"/>
          </w:tcPr>
          <w:p w14:paraId="7AB58C6F">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Arterial </w:t>
            </w:r>
          </w:p>
        </w:tc>
        <w:tc>
          <w:tcPr>
            <w:tcW w:w="877" w:type="dxa"/>
            <w:vAlign w:val="center"/>
          </w:tcPr>
          <w:p w14:paraId="16A2C58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A274</w:t>
            </w:r>
          </w:p>
        </w:tc>
        <w:tc>
          <w:tcPr>
            <w:tcW w:w="5088" w:type="dxa"/>
            <w:vAlign w:val="center"/>
          </w:tcPr>
          <w:p w14:paraId="3667417C">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LongRunLowGreyLevelEmphasis_AllDirection_offset7_SD</w:t>
            </w:r>
          </w:p>
        </w:tc>
        <w:tc>
          <w:tcPr>
            <w:tcW w:w="1189" w:type="dxa"/>
          </w:tcPr>
          <w:p w14:paraId="1C324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RLM</w:t>
            </w:r>
          </w:p>
        </w:tc>
        <w:tc>
          <w:tcPr>
            <w:tcW w:w="1430" w:type="dxa"/>
          </w:tcPr>
          <w:p w14:paraId="06D76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-0.467</w:t>
            </w:r>
          </w:p>
        </w:tc>
      </w:tr>
      <w:tr w14:paraId="2350947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312" w:type="dxa"/>
          </w:tcPr>
          <w:p w14:paraId="3C28F12F">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Arterial </w:t>
            </w:r>
          </w:p>
        </w:tc>
        <w:tc>
          <w:tcPr>
            <w:tcW w:w="877" w:type="dxa"/>
            <w:vAlign w:val="center"/>
          </w:tcPr>
          <w:p w14:paraId="5F889D9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A66</w:t>
            </w:r>
          </w:p>
        </w:tc>
        <w:tc>
          <w:tcPr>
            <w:tcW w:w="5088" w:type="dxa"/>
            <w:vAlign w:val="center"/>
          </w:tcPr>
          <w:p w14:paraId="2CE3C08B">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ClusterShade_AllDirection_offset7_SD</w:t>
            </w:r>
          </w:p>
        </w:tc>
        <w:tc>
          <w:tcPr>
            <w:tcW w:w="1189" w:type="dxa"/>
          </w:tcPr>
          <w:p w14:paraId="0F20E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Texture</w:t>
            </w:r>
          </w:p>
        </w:tc>
        <w:tc>
          <w:tcPr>
            <w:tcW w:w="1430" w:type="dxa"/>
          </w:tcPr>
          <w:p w14:paraId="3077A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-1.989</w:t>
            </w:r>
          </w:p>
        </w:tc>
      </w:tr>
      <w:tr w14:paraId="451EDD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312" w:type="dxa"/>
          </w:tcPr>
          <w:p w14:paraId="2D6B075A">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Arterial </w:t>
            </w:r>
          </w:p>
        </w:tc>
        <w:tc>
          <w:tcPr>
            <w:tcW w:w="877" w:type="dxa"/>
            <w:vAlign w:val="center"/>
          </w:tcPr>
          <w:p w14:paraId="5D06C0D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A247</w:t>
            </w:r>
          </w:p>
        </w:tc>
        <w:tc>
          <w:tcPr>
            <w:tcW w:w="5088" w:type="dxa"/>
            <w:vAlign w:val="center"/>
          </w:tcPr>
          <w:p w14:paraId="3F636822">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LongRunEmphasis_angle45_offset7</w:t>
            </w:r>
          </w:p>
        </w:tc>
        <w:tc>
          <w:tcPr>
            <w:tcW w:w="1189" w:type="dxa"/>
          </w:tcPr>
          <w:p w14:paraId="39D55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RLM</w:t>
            </w:r>
          </w:p>
        </w:tc>
        <w:tc>
          <w:tcPr>
            <w:tcW w:w="1430" w:type="dxa"/>
          </w:tcPr>
          <w:p w14:paraId="25C99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-0.181</w:t>
            </w:r>
          </w:p>
        </w:tc>
      </w:tr>
      <w:tr w14:paraId="6633F33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312" w:type="dxa"/>
          </w:tcPr>
          <w:p w14:paraId="606D8DF0">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77" w:type="dxa"/>
            <w:vAlign w:val="center"/>
          </w:tcPr>
          <w:p w14:paraId="53D0AF7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P241</w:t>
            </w:r>
          </w:p>
        </w:tc>
        <w:tc>
          <w:tcPr>
            <w:tcW w:w="5088" w:type="dxa"/>
            <w:vAlign w:val="center"/>
          </w:tcPr>
          <w:p w14:paraId="4FF24018">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LongRunEmphasis_angle0_offset7</w:t>
            </w:r>
          </w:p>
        </w:tc>
        <w:tc>
          <w:tcPr>
            <w:tcW w:w="1189" w:type="dxa"/>
          </w:tcPr>
          <w:p w14:paraId="343F8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RLM</w:t>
            </w:r>
          </w:p>
        </w:tc>
        <w:tc>
          <w:tcPr>
            <w:tcW w:w="1430" w:type="dxa"/>
          </w:tcPr>
          <w:p w14:paraId="7D127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-0.352</w:t>
            </w:r>
          </w:p>
        </w:tc>
      </w:tr>
      <w:tr w14:paraId="797610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312" w:type="dxa"/>
          </w:tcPr>
          <w:p w14:paraId="24AC311F">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77" w:type="dxa"/>
            <w:vAlign w:val="center"/>
          </w:tcPr>
          <w:p w14:paraId="3F6D6E2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P389</w:t>
            </w:r>
          </w:p>
        </w:tc>
        <w:tc>
          <w:tcPr>
            <w:tcW w:w="5088" w:type="dxa"/>
            <w:vAlign w:val="center"/>
          </w:tcPr>
          <w:p w14:paraId="1D6A0BAB">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HighIntensitySmallAreaEmphasis</w:t>
            </w:r>
          </w:p>
        </w:tc>
        <w:tc>
          <w:tcPr>
            <w:tcW w:w="1189" w:type="dxa"/>
          </w:tcPr>
          <w:p w14:paraId="7D90F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GLSZM</w:t>
            </w:r>
          </w:p>
        </w:tc>
        <w:tc>
          <w:tcPr>
            <w:tcW w:w="1430" w:type="dxa"/>
          </w:tcPr>
          <w:p w14:paraId="28F53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-0.448</w:t>
            </w:r>
          </w:p>
        </w:tc>
      </w:tr>
      <w:tr w14:paraId="171ACD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312" w:type="dxa"/>
          </w:tcPr>
          <w:p w14:paraId="2747ECC7">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77" w:type="dxa"/>
            <w:vAlign w:val="center"/>
          </w:tcPr>
          <w:p w14:paraId="354BB68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P214</w:t>
            </w:r>
          </w:p>
        </w:tc>
        <w:tc>
          <w:tcPr>
            <w:tcW w:w="5088" w:type="dxa"/>
            <w:vAlign w:val="center"/>
          </w:tcPr>
          <w:p w14:paraId="4EB6A033">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GreyLevelNonuniformity_angle90_offset7</w:t>
            </w:r>
          </w:p>
        </w:tc>
        <w:tc>
          <w:tcPr>
            <w:tcW w:w="1189" w:type="dxa"/>
          </w:tcPr>
          <w:p w14:paraId="1E4CE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RLM</w:t>
            </w:r>
          </w:p>
        </w:tc>
        <w:tc>
          <w:tcPr>
            <w:tcW w:w="1430" w:type="dxa"/>
          </w:tcPr>
          <w:p w14:paraId="6A9D1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-0.192</w:t>
            </w:r>
          </w:p>
        </w:tc>
      </w:tr>
      <w:tr w14:paraId="73A62C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312" w:type="dxa"/>
          </w:tcPr>
          <w:p w14:paraId="4D3B6684">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77" w:type="dxa"/>
            <w:vAlign w:val="center"/>
          </w:tcPr>
          <w:p w14:paraId="0F85C07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P131</w:t>
            </w:r>
          </w:p>
        </w:tc>
        <w:tc>
          <w:tcPr>
            <w:tcW w:w="5088" w:type="dxa"/>
            <w:vAlign w:val="center"/>
          </w:tcPr>
          <w:p w14:paraId="2224F79E">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GLCMEntropy_angle90_offset4</w:t>
            </w:r>
          </w:p>
        </w:tc>
        <w:tc>
          <w:tcPr>
            <w:tcW w:w="1189" w:type="dxa"/>
          </w:tcPr>
          <w:p w14:paraId="0D080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GLCM</w:t>
            </w:r>
          </w:p>
        </w:tc>
        <w:tc>
          <w:tcPr>
            <w:tcW w:w="1430" w:type="dxa"/>
          </w:tcPr>
          <w:p w14:paraId="396B1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0.428</w:t>
            </w:r>
          </w:p>
        </w:tc>
      </w:tr>
      <w:tr w14:paraId="68E5B66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312" w:type="dxa"/>
          </w:tcPr>
          <w:p w14:paraId="60846187">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77" w:type="dxa"/>
            <w:vAlign w:val="center"/>
          </w:tcPr>
          <w:p w14:paraId="247CA45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P36</w:t>
            </w:r>
          </w:p>
        </w:tc>
        <w:tc>
          <w:tcPr>
            <w:tcW w:w="5088" w:type="dxa"/>
            <w:vAlign w:val="center"/>
          </w:tcPr>
          <w:p w14:paraId="4EC958D5">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VoxelValueSum</w:t>
            </w:r>
          </w:p>
        </w:tc>
        <w:tc>
          <w:tcPr>
            <w:tcW w:w="1189" w:type="dxa"/>
          </w:tcPr>
          <w:p w14:paraId="67AF2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Histogram</w:t>
            </w:r>
          </w:p>
        </w:tc>
        <w:tc>
          <w:tcPr>
            <w:tcW w:w="1430" w:type="dxa"/>
          </w:tcPr>
          <w:p w14:paraId="630E9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-0.206</w:t>
            </w:r>
          </w:p>
        </w:tc>
      </w:tr>
      <w:tr w14:paraId="524E03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312" w:type="dxa"/>
            <w:shd w:val="clear" w:color="auto" w:fill="FFFFFF" w:themeFill="background1"/>
          </w:tcPr>
          <w:p w14:paraId="5DED1D3D">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77" w:type="dxa"/>
            <w:shd w:val="clear" w:color="auto" w:fill="FFFFFF" w:themeFill="background1"/>
            <w:vAlign w:val="center"/>
          </w:tcPr>
          <w:p w14:paraId="5BC6775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P62</w:t>
            </w:r>
          </w:p>
        </w:tc>
        <w:tc>
          <w:tcPr>
            <w:tcW w:w="5088" w:type="dxa"/>
            <w:shd w:val="clear" w:color="auto" w:fill="FFFFFF" w:themeFill="background1"/>
            <w:vAlign w:val="center"/>
          </w:tcPr>
          <w:p w14:paraId="02854A08">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ClusterShade_AllDirection_offset1_SD</w:t>
            </w:r>
          </w:p>
        </w:tc>
        <w:tc>
          <w:tcPr>
            <w:tcW w:w="1189" w:type="dxa"/>
            <w:shd w:val="clear" w:color="auto" w:fill="FFFFFF" w:themeFill="background1"/>
          </w:tcPr>
          <w:p w14:paraId="52CB0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Texture</w:t>
            </w:r>
          </w:p>
        </w:tc>
        <w:tc>
          <w:tcPr>
            <w:tcW w:w="1430" w:type="dxa"/>
            <w:shd w:val="clear" w:color="auto" w:fill="FFFFFF" w:themeFill="background1"/>
          </w:tcPr>
          <w:p w14:paraId="5D2AB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1.457</w:t>
            </w:r>
          </w:p>
        </w:tc>
      </w:tr>
    </w:tbl>
    <w:p w14:paraId="61BE07D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sz w:val="18"/>
          <w:szCs w:val="18"/>
          <w:lang w:val="en-US" w:eastAsia="zh-CN"/>
        </w:rPr>
      </w:pPr>
      <w:r>
        <w:rPr>
          <w:rFonts w:hint="default" w:ascii="Times New Roman" w:hAnsi="Times New Roman" w:cs="Times New Roman"/>
          <w:sz w:val="18"/>
          <w:szCs w:val="18"/>
          <w:lang w:val="en-US" w:eastAsia="zh-CN"/>
        </w:rPr>
        <w:t>RLM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run-length matrix</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 xml:space="preserve"> </w:t>
      </w:r>
      <w:r>
        <w:rPr>
          <w:rFonts w:hint="eastAsia" w:ascii="Times New Roman" w:hAnsi="Times New Roman" w:cs="Times New Roman"/>
          <w:sz w:val="18"/>
          <w:szCs w:val="18"/>
          <w:lang w:val="en-US" w:eastAsia="zh-CN"/>
        </w:rPr>
        <w:t>G</w:t>
      </w:r>
      <w:r>
        <w:rPr>
          <w:rFonts w:hint="default" w:ascii="Times New Roman" w:hAnsi="Times New Roman" w:cs="Times New Roman"/>
          <w:sz w:val="18"/>
          <w:szCs w:val="18"/>
          <w:lang w:val="en-US" w:eastAsia="zh-CN"/>
        </w:rPr>
        <w:t>LSZM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gray level size-zone</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matrix</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 xml:space="preserve"> GLCM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gray level</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co-occurrence matrix</w:t>
      </w:r>
      <w:r>
        <w:rPr>
          <w:rFonts w:hint="eastAsia" w:ascii="Times New Roman" w:hAnsi="Times New Roman" w:cs="Times New Roman"/>
          <w:sz w:val="18"/>
          <w:szCs w:val="18"/>
          <w:lang w:val="en-US" w:eastAsia="zh-CN"/>
        </w:rPr>
        <w:t>.</w:t>
      </w:r>
    </w:p>
    <w:p w14:paraId="1D396F6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br w:type="page"/>
      </w:r>
    </w:p>
    <w:p w14:paraId="53A5AA3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1"/>
          <w:szCs w:val="21"/>
        </w:rPr>
      </w:pPr>
      <w:r>
        <w:rPr>
          <w:rFonts w:hint="default" w:ascii="Times New Roman" w:hAnsi="Times New Roman" w:cs="Times New Roman"/>
          <w:b w:val="0"/>
          <w:bCs w:val="0"/>
          <w:spacing w:val="8"/>
          <w:sz w:val="21"/>
          <w:szCs w:val="21"/>
          <w:lang w:val="en-US" w:eastAsia="zh-CN"/>
        </w:rPr>
        <w:t xml:space="preserve">Table </w:t>
      </w:r>
      <w:r>
        <w:rPr>
          <w:rFonts w:hint="eastAsia" w:ascii="Times New Roman" w:hAnsi="Times New Roman" w:cs="Times New Roman"/>
          <w:b w:val="0"/>
          <w:bCs w:val="0"/>
          <w:spacing w:val="8"/>
          <w:sz w:val="21"/>
          <w:szCs w:val="21"/>
          <w:lang w:val="en-US" w:eastAsia="zh-CN"/>
        </w:rPr>
        <w:t>S4</w:t>
      </w:r>
      <w:r>
        <w:rPr>
          <w:rFonts w:hint="default" w:ascii="Times New Roman" w:hAnsi="Times New Roman" w:cs="Times New Roman"/>
          <w:b w:val="0"/>
          <w:bCs w:val="0"/>
          <w:spacing w:val="8"/>
          <w:sz w:val="21"/>
          <w:szCs w:val="21"/>
          <w:lang w:val="en-US" w:eastAsia="zh-CN"/>
        </w:rPr>
        <w:t xml:space="preserve">. </w:t>
      </w:r>
      <w:r>
        <w:rPr>
          <w:rFonts w:hint="default" w:ascii="Times New Roman" w:hAnsi="Times New Roman" w:cs="Times New Roman"/>
          <w:sz w:val="21"/>
          <w:szCs w:val="21"/>
          <w:lang w:val="en-US" w:eastAsia="zh-CN"/>
        </w:rPr>
        <w:t>10 radiomic features for SMOTE-radiomics model construction.</w:t>
      </w:r>
    </w:p>
    <w:tbl>
      <w:tblPr>
        <w:tblStyle w:val="9"/>
        <w:tblW w:w="989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0"/>
        <w:gridCol w:w="880"/>
        <w:gridCol w:w="5089"/>
        <w:gridCol w:w="1177"/>
        <w:gridCol w:w="1430"/>
      </w:tblGrid>
      <w:tr w14:paraId="6A2211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20" w:type="dxa"/>
            <w:tcBorders>
              <w:top w:val="single" w:color="auto" w:sz="4" w:space="0"/>
              <w:bottom w:val="single" w:color="auto" w:sz="4" w:space="0"/>
            </w:tcBorders>
          </w:tcPr>
          <w:p w14:paraId="7BD0C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FF0000"/>
                <w:sz w:val="21"/>
                <w:szCs w:val="21"/>
              </w:rPr>
            </w:pPr>
            <w:r>
              <w:rPr>
                <w:rFonts w:ascii="Times New Roman" w:hAnsi="Times New Roman" w:cs="Times New Roman"/>
                <w:color w:val="000000" w:themeColor="text1"/>
                <w:sz w:val="21"/>
                <w:szCs w:val="21"/>
                <w14:textFill>
                  <w14:solidFill>
                    <w14:schemeClr w14:val="tx1"/>
                  </w14:solidFill>
                </w14:textFill>
              </w:rPr>
              <w:t>CT phase</w:t>
            </w:r>
          </w:p>
        </w:tc>
        <w:tc>
          <w:tcPr>
            <w:tcW w:w="880" w:type="dxa"/>
            <w:tcBorders>
              <w:top w:val="single" w:color="auto" w:sz="4" w:space="0"/>
              <w:bottom w:val="single" w:color="auto" w:sz="4" w:space="0"/>
            </w:tcBorders>
          </w:tcPr>
          <w:p w14:paraId="697E6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F</w:t>
            </w:r>
            <w:r>
              <w:rPr>
                <w:rFonts w:ascii="Times New Roman" w:hAnsi="Times New Roman" w:cs="Times New Roman"/>
                <w:sz w:val="21"/>
                <w:szCs w:val="21"/>
              </w:rPr>
              <w:t>eature</w:t>
            </w:r>
          </w:p>
          <w:p w14:paraId="0C42D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Label</w:t>
            </w:r>
          </w:p>
        </w:tc>
        <w:tc>
          <w:tcPr>
            <w:tcW w:w="5089" w:type="dxa"/>
            <w:tcBorders>
              <w:top w:val="single" w:color="auto" w:sz="4" w:space="0"/>
              <w:bottom w:val="single" w:color="auto" w:sz="4" w:space="0"/>
            </w:tcBorders>
          </w:tcPr>
          <w:p w14:paraId="121C9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sz w:val="21"/>
                <w:szCs w:val="21"/>
              </w:rPr>
            </w:pPr>
            <w:r>
              <w:rPr>
                <w:rFonts w:ascii="Times New Roman" w:hAnsi="Times New Roman" w:cs="Times New Roman"/>
                <w:sz w:val="21"/>
                <w:szCs w:val="21"/>
              </w:rPr>
              <w:t>Details of important radiomic features</w:t>
            </w:r>
          </w:p>
        </w:tc>
        <w:tc>
          <w:tcPr>
            <w:tcW w:w="1177" w:type="dxa"/>
            <w:tcBorders>
              <w:top w:val="single" w:color="auto" w:sz="4" w:space="0"/>
              <w:bottom w:val="single" w:color="auto" w:sz="4" w:space="0"/>
            </w:tcBorders>
          </w:tcPr>
          <w:p w14:paraId="4B027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sz w:val="21"/>
                <w:szCs w:val="21"/>
              </w:rPr>
            </w:pPr>
            <w:r>
              <w:rPr>
                <w:rFonts w:ascii="Times New Roman" w:hAnsi="Times New Roman" w:cs="Times New Roman"/>
                <w:sz w:val="21"/>
                <w:szCs w:val="21"/>
              </w:rPr>
              <w:t>Feature subgroup</w:t>
            </w:r>
          </w:p>
        </w:tc>
        <w:tc>
          <w:tcPr>
            <w:tcW w:w="1430" w:type="dxa"/>
            <w:tcBorders>
              <w:top w:val="single" w:color="auto" w:sz="4" w:space="0"/>
              <w:bottom w:val="single" w:color="auto" w:sz="4" w:space="0"/>
            </w:tcBorders>
          </w:tcPr>
          <w:p w14:paraId="554B5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sz w:val="21"/>
                <w:szCs w:val="21"/>
              </w:rPr>
            </w:pPr>
            <w:r>
              <w:rPr>
                <w:rFonts w:ascii="Times New Roman" w:hAnsi="Times New Roman" w:cs="Times New Roman"/>
                <w:sz w:val="21"/>
                <w:szCs w:val="21"/>
              </w:rPr>
              <w:t>Coefficient</w:t>
            </w:r>
          </w:p>
        </w:tc>
      </w:tr>
      <w:tr w14:paraId="5C683B9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20" w:type="dxa"/>
            <w:tcBorders>
              <w:top w:val="single" w:color="auto" w:sz="4" w:space="0"/>
            </w:tcBorders>
          </w:tcPr>
          <w:p w14:paraId="29731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Arterial</w:t>
            </w:r>
          </w:p>
        </w:tc>
        <w:tc>
          <w:tcPr>
            <w:tcW w:w="880" w:type="dxa"/>
            <w:tcBorders>
              <w:top w:val="single" w:color="auto" w:sz="4" w:space="0"/>
            </w:tcBorders>
          </w:tcPr>
          <w:p w14:paraId="0A603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A60</w:t>
            </w:r>
          </w:p>
        </w:tc>
        <w:tc>
          <w:tcPr>
            <w:tcW w:w="5089" w:type="dxa"/>
            <w:tcBorders>
              <w:top w:val="single" w:color="auto" w:sz="4" w:space="0"/>
            </w:tcBorders>
          </w:tcPr>
          <w:p w14:paraId="70DCF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ClusterProminence_angle90_offset7</w:t>
            </w:r>
          </w:p>
        </w:tc>
        <w:tc>
          <w:tcPr>
            <w:tcW w:w="1177" w:type="dxa"/>
            <w:tcBorders>
              <w:top w:val="single" w:color="auto" w:sz="4" w:space="0"/>
            </w:tcBorders>
          </w:tcPr>
          <w:p w14:paraId="424BA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Texture</w:t>
            </w:r>
          </w:p>
        </w:tc>
        <w:tc>
          <w:tcPr>
            <w:tcW w:w="1430" w:type="dxa"/>
            <w:tcBorders>
              <w:top w:val="single" w:color="auto" w:sz="4" w:space="0"/>
            </w:tcBorders>
          </w:tcPr>
          <w:p w14:paraId="5F06C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-1.882</w:t>
            </w:r>
          </w:p>
        </w:tc>
      </w:tr>
      <w:tr w14:paraId="5C674A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320" w:type="dxa"/>
          </w:tcPr>
          <w:p w14:paraId="60BCE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Arterial</w:t>
            </w:r>
          </w:p>
        </w:tc>
        <w:tc>
          <w:tcPr>
            <w:tcW w:w="880" w:type="dxa"/>
            <w:vAlign w:val="center"/>
          </w:tcPr>
          <w:p w14:paraId="4C9BA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A220</w:t>
            </w:r>
          </w:p>
        </w:tc>
        <w:tc>
          <w:tcPr>
            <w:tcW w:w="5089" w:type="dxa"/>
            <w:vAlign w:val="center"/>
          </w:tcPr>
          <w:p w14:paraId="16DD0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HighGreyLevelRunEmphasis_AllDirection_offset7_SD</w:t>
            </w:r>
          </w:p>
        </w:tc>
        <w:tc>
          <w:tcPr>
            <w:tcW w:w="1177" w:type="dxa"/>
          </w:tcPr>
          <w:p w14:paraId="17725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RLM</w:t>
            </w:r>
          </w:p>
        </w:tc>
        <w:tc>
          <w:tcPr>
            <w:tcW w:w="1430" w:type="dxa"/>
          </w:tcPr>
          <w:p w14:paraId="62E27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0.459</w:t>
            </w:r>
          </w:p>
        </w:tc>
      </w:tr>
      <w:tr w14:paraId="17A518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320" w:type="dxa"/>
          </w:tcPr>
          <w:p w14:paraId="5A8EA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Arterial</w:t>
            </w:r>
          </w:p>
        </w:tc>
        <w:tc>
          <w:tcPr>
            <w:tcW w:w="880" w:type="dxa"/>
            <w:vAlign w:val="center"/>
          </w:tcPr>
          <w:p w14:paraId="45872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A44</w:t>
            </w:r>
          </w:p>
        </w:tc>
        <w:tc>
          <w:tcPr>
            <w:tcW w:w="5089" w:type="dxa"/>
            <w:vAlign w:val="center"/>
          </w:tcPr>
          <w:p w14:paraId="2D408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ClusterProminence_AllDirection_offset1_SD</w:t>
            </w:r>
          </w:p>
        </w:tc>
        <w:tc>
          <w:tcPr>
            <w:tcW w:w="1177" w:type="dxa"/>
          </w:tcPr>
          <w:p w14:paraId="2B3E8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Texture</w:t>
            </w:r>
          </w:p>
        </w:tc>
        <w:tc>
          <w:tcPr>
            <w:tcW w:w="1430" w:type="dxa"/>
          </w:tcPr>
          <w:p w14:paraId="70B16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-3.162</w:t>
            </w:r>
          </w:p>
        </w:tc>
      </w:tr>
      <w:tr w14:paraId="4CCCCECB">
        <w:tblPrEx>
          <w:tblCellMar>
            <w:top w:w="0" w:type="dxa"/>
            <w:left w:w="108" w:type="dxa"/>
            <w:bottom w:w="0" w:type="dxa"/>
            <w:right w:w="108" w:type="dxa"/>
          </w:tblCellMar>
        </w:tblPrEx>
        <w:trPr>
          <w:trHeight w:val="310" w:hRule="atLeast"/>
          <w:jc w:val="center"/>
        </w:trPr>
        <w:tc>
          <w:tcPr>
            <w:tcW w:w="1320" w:type="dxa"/>
          </w:tcPr>
          <w:p w14:paraId="4AC9C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Arterial</w:t>
            </w:r>
          </w:p>
        </w:tc>
        <w:tc>
          <w:tcPr>
            <w:tcW w:w="880" w:type="dxa"/>
            <w:vAlign w:val="center"/>
          </w:tcPr>
          <w:p w14:paraId="423F3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A358</w:t>
            </w:r>
          </w:p>
        </w:tc>
        <w:tc>
          <w:tcPr>
            <w:tcW w:w="5089" w:type="dxa"/>
            <w:vAlign w:val="center"/>
          </w:tcPr>
          <w:p w14:paraId="68977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ShortRunHighGreyLevelEmphasis_angle90_offset7</w:t>
            </w:r>
          </w:p>
        </w:tc>
        <w:tc>
          <w:tcPr>
            <w:tcW w:w="1177" w:type="dxa"/>
          </w:tcPr>
          <w:p w14:paraId="06074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RLM</w:t>
            </w:r>
          </w:p>
        </w:tc>
        <w:tc>
          <w:tcPr>
            <w:tcW w:w="1430" w:type="dxa"/>
          </w:tcPr>
          <w:p w14:paraId="12221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0.905</w:t>
            </w:r>
          </w:p>
        </w:tc>
      </w:tr>
      <w:tr w14:paraId="786BDE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20" w:type="dxa"/>
          </w:tcPr>
          <w:p w14:paraId="5A537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80" w:type="dxa"/>
            <w:vAlign w:val="center"/>
          </w:tcPr>
          <w:p w14:paraId="2F509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P62</w:t>
            </w:r>
          </w:p>
        </w:tc>
        <w:tc>
          <w:tcPr>
            <w:tcW w:w="5089" w:type="dxa"/>
            <w:vAlign w:val="center"/>
          </w:tcPr>
          <w:p w14:paraId="0E9D3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ClusterShade_AllDirection_offset1_SD</w:t>
            </w:r>
          </w:p>
        </w:tc>
        <w:tc>
          <w:tcPr>
            <w:tcW w:w="1177" w:type="dxa"/>
          </w:tcPr>
          <w:p w14:paraId="507E9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Texture</w:t>
            </w:r>
          </w:p>
        </w:tc>
        <w:tc>
          <w:tcPr>
            <w:tcW w:w="1430" w:type="dxa"/>
          </w:tcPr>
          <w:p w14:paraId="57C57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5.740</w:t>
            </w:r>
          </w:p>
        </w:tc>
      </w:tr>
      <w:tr w14:paraId="4444A9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320" w:type="dxa"/>
          </w:tcPr>
          <w:p w14:paraId="4A63D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80" w:type="dxa"/>
            <w:vAlign w:val="center"/>
          </w:tcPr>
          <w:p w14:paraId="3815F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P66</w:t>
            </w:r>
          </w:p>
        </w:tc>
        <w:tc>
          <w:tcPr>
            <w:tcW w:w="5089" w:type="dxa"/>
            <w:vAlign w:val="center"/>
          </w:tcPr>
          <w:p w14:paraId="7A281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ClusterShade_AllDirection_offset7_SD</w:t>
            </w:r>
          </w:p>
        </w:tc>
        <w:tc>
          <w:tcPr>
            <w:tcW w:w="1177" w:type="dxa"/>
          </w:tcPr>
          <w:p w14:paraId="5904E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Texture</w:t>
            </w:r>
          </w:p>
        </w:tc>
        <w:tc>
          <w:tcPr>
            <w:tcW w:w="1430" w:type="dxa"/>
          </w:tcPr>
          <w:p w14:paraId="0B384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-2.856</w:t>
            </w:r>
          </w:p>
        </w:tc>
      </w:tr>
      <w:tr w14:paraId="6702B8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320" w:type="dxa"/>
          </w:tcPr>
          <w:p w14:paraId="75465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80" w:type="dxa"/>
            <w:vAlign w:val="center"/>
          </w:tcPr>
          <w:p w14:paraId="63F35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P44</w:t>
            </w:r>
          </w:p>
        </w:tc>
        <w:tc>
          <w:tcPr>
            <w:tcW w:w="5089" w:type="dxa"/>
            <w:vAlign w:val="center"/>
          </w:tcPr>
          <w:p w14:paraId="6CEB4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ClusterProminence_AllDirection_offset1_SD</w:t>
            </w:r>
          </w:p>
        </w:tc>
        <w:tc>
          <w:tcPr>
            <w:tcW w:w="1177" w:type="dxa"/>
          </w:tcPr>
          <w:p w14:paraId="500BC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Texture</w:t>
            </w:r>
          </w:p>
        </w:tc>
        <w:tc>
          <w:tcPr>
            <w:tcW w:w="1430" w:type="dxa"/>
          </w:tcPr>
          <w:p w14:paraId="6D060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0.545</w:t>
            </w:r>
          </w:p>
        </w:tc>
      </w:tr>
      <w:tr w14:paraId="33FF4F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320" w:type="dxa"/>
          </w:tcPr>
          <w:p w14:paraId="11ED7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80" w:type="dxa"/>
            <w:vAlign w:val="center"/>
          </w:tcPr>
          <w:p w14:paraId="23CA3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P120</w:t>
            </w:r>
          </w:p>
        </w:tc>
        <w:tc>
          <w:tcPr>
            <w:tcW w:w="5089" w:type="dxa"/>
            <w:vAlign w:val="center"/>
          </w:tcPr>
          <w:p w14:paraId="15330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GLCMEntropy_AllDirection_offset7_SD</w:t>
            </w:r>
          </w:p>
        </w:tc>
        <w:tc>
          <w:tcPr>
            <w:tcW w:w="1177" w:type="dxa"/>
          </w:tcPr>
          <w:p w14:paraId="56FC2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GLCM</w:t>
            </w:r>
          </w:p>
        </w:tc>
        <w:tc>
          <w:tcPr>
            <w:tcW w:w="1430" w:type="dxa"/>
          </w:tcPr>
          <w:p w14:paraId="33276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0.780</w:t>
            </w:r>
          </w:p>
        </w:tc>
      </w:tr>
      <w:tr w14:paraId="16EF463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320" w:type="dxa"/>
          </w:tcPr>
          <w:p w14:paraId="34C87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80" w:type="dxa"/>
            <w:vAlign w:val="center"/>
          </w:tcPr>
          <w:p w14:paraId="7B333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P248</w:t>
            </w:r>
          </w:p>
        </w:tc>
        <w:tc>
          <w:tcPr>
            <w:tcW w:w="5089" w:type="dxa"/>
            <w:vAlign w:val="center"/>
          </w:tcPr>
          <w:p w14:paraId="78230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LongRunEmphasis_angle90_offset1</w:t>
            </w:r>
          </w:p>
        </w:tc>
        <w:tc>
          <w:tcPr>
            <w:tcW w:w="1177" w:type="dxa"/>
          </w:tcPr>
          <w:p w14:paraId="23C2C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RLM</w:t>
            </w:r>
          </w:p>
        </w:tc>
        <w:tc>
          <w:tcPr>
            <w:tcW w:w="1430" w:type="dxa"/>
          </w:tcPr>
          <w:p w14:paraId="2A46A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-0.462</w:t>
            </w:r>
          </w:p>
        </w:tc>
      </w:tr>
      <w:tr w14:paraId="3A3420C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320" w:type="dxa"/>
            <w:shd w:val="clear" w:color="auto" w:fill="FFFFFF" w:themeFill="background1"/>
          </w:tcPr>
          <w:p w14:paraId="460E8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Portal vein</w:t>
            </w:r>
          </w:p>
        </w:tc>
        <w:tc>
          <w:tcPr>
            <w:tcW w:w="880" w:type="dxa"/>
            <w:shd w:val="clear" w:color="auto" w:fill="FFFFFF" w:themeFill="background1"/>
            <w:vAlign w:val="center"/>
          </w:tcPr>
          <w:p w14:paraId="34D9F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P389</w:t>
            </w:r>
          </w:p>
        </w:tc>
        <w:tc>
          <w:tcPr>
            <w:tcW w:w="5089" w:type="dxa"/>
            <w:shd w:val="clear" w:color="auto" w:fill="FFFFFF" w:themeFill="background1"/>
            <w:vAlign w:val="center"/>
          </w:tcPr>
          <w:p w14:paraId="57EA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HighIntensitySmallAreaEmphasis</w:t>
            </w:r>
          </w:p>
        </w:tc>
        <w:tc>
          <w:tcPr>
            <w:tcW w:w="1177" w:type="dxa"/>
            <w:shd w:val="clear" w:color="auto" w:fill="FFFFFF" w:themeFill="background1"/>
          </w:tcPr>
          <w:p w14:paraId="7DBDC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GLSZM</w:t>
            </w:r>
          </w:p>
        </w:tc>
        <w:tc>
          <w:tcPr>
            <w:tcW w:w="1430" w:type="dxa"/>
            <w:shd w:val="clear" w:color="auto" w:fill="FFFFFF" w:themeFill="background1"/>
          </w:tcPr>
          <w:p w14:paraId="01637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-1.302</w:t>
            </w:r>
          </w:p>
        </w:tc>
      </w:tr>
    </w:tbl>
    <w:p w14:paraId="464E0BD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sz w:val="18"/>
          <w:szCs w:val="18"/>
          <w:lang w:val="en-US" w:eastAsia="zh-CN"/>
        </w:rPr>
      </w:pPr>
      <w:r>
        <w:rPr>
          <w:rFonts w:hint="default" w:ascii="Times New Roman" w:hAnsi="Times New Roman" w:cs="Times New Roman"/>
          <w:sz w:val="18"/>
          <w:szCs w:val="18"/>
          <w:lang w:val="en-US" w:eastAsia="zh-CN"/>
        </w:rPr>
        <w:t>RLM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run-length matrix</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 xml:space="preserve"> </w:t>
      </w:r>
      <w:r>
        <w:rPr>
          <w:rFonts w:hint="eastAsia" w:ascii="Times New Roman" w:hAnsi="Times New Roman" w:cs="Times New Roman"/>
          <w:sz w:val="18"/>
          <w:szCs w:val="18"/>
          <w:lang w:val="en-US" w:eastAsia="zh-CN"/>
        </w:rPr>
        <w:t>G</w:t>
      </w:r>
      <w:r>
        <w:rPr>
          <w:rFonts w:hint="default" w:ascii="Times New Roman" w:hAnsi="Times New Roman" w:cs="Times New Roman"/>
          <w:sz w:val="18"/>
          <w:szCs w:val="18"/>
          <w:lang w:val="en-US" w:eastAsia="zh-CN"/>
        </w:rPr>
        <w:t>LSZM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gray level size-zone</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matrix</w:t>
      </w: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 xml:space="preserve"> GLCM</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gray level</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co-occurrence matrix</w:t>
      </w:r>
      <w:r>
        <w:rPr>
          <w:rFonts w:hint="eastAsia" w:ascii="Times New Roman" w:hAnsi="Times New Roman" w:cs="Times New Roman"/>
          <w:sz w:val="18"/>
          <w:szCs w:val="18"/>
          <w:lang w:val="en-US" w:eastAsia="zh-CN"/>
        </w:rPr>
        <w:t>.</w:t>
      </w:r>
    </w:p>
    <w:p w14:paraId="09F771F7">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56BA44BA">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1615B994">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69D5A645">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75D11568">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405C65B8">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29B8D7E3">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drawing>
          <wp:inline distT="0" distB="0" distL="114300" distR="114300">
            <wp:extent cx="6015990" cy="3848735"/>
            <wp:effectExtent l="0" t="0" r="0" b="0"/>
            <wp:docPr id="1" name="图片 1"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1"/>
                    <pic:cNvPicPr>
                      <a:picLocks noChangeAspect="1"/>
                    </pic:cNvPicPr>
                  </pic:nvPicPr>
                  <pic:blipFill>
                    <a:blip r:embed="rId9"/>
                    <a:srcRect r="-318" b="22015"/>
                    <a:stretch>
                      <a:fillRect/>
                    </a:stretch>
                  </pic:blipFill>
                  <pic:spPr>
                    <a:xfrm>
                      <a:off x="0" y="0"/>
                      <a:ext cx="6015990" cy="3848735"/>
                    </a:xfrm>
                    <a:prstGeom prst="rect">
                      <a:avLst/>
                    </a:prstGeom>
                  </pic:spPr>
                </pic:pic>
              </a:graphicData>
            </a:graphic>
          </wp:inline>
        </w:drawing>
      </w:r>
    </w:p>
    <w:p w14:paraId="0079FC77">
      <w:pPr>
        <w:keepNext w:val="0"/>
        <w:keepLines w:val="0"/>
        <w:pageBreakBefore w:val="0"/>
        <w:widowControl/>
        <w:suppressLineNumbers w:val="0"/>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Fig</w:t>
      </w:r>
      <w:r>
        <w:rPr>
          <w:rFonts w:hint="eastAsia" w:ascii="Times New Roman" w:hAnsi="Times New Roman" w:cs="Times New Roman"/>
          <w:color w:val="000000"/>
          <w:sz w:val="21"/>
          <w:szCs w:val="21"/>
          <w:lang w:val="en-US" w:eastAsia="zh-CN"/>
        </w:rPr>
        <w:t>ure</w:t>
      </w:r>
      <w:r>
        <w:rPr>
          <w:rFonts w:hint="default" w:ascii="Times New Roman" w:hAnsi="Times New Roman" w:cs="Times New Roman"/>
          <w:color w:val="000000"/>
          <w:sz w:val="21"/>
          <w:szCs w:val="21"/>
          <w:lang w:val="en-US" w:eastAsia="zh-CN"/>
        </w:rPr>
        <w:t xml:space="preserve"> </w:t>
      </w:r>
      <w:r>
        <w:rPr>
          <w:rFonts w:hint="eastAsia" w:ascii="Times New Roman" w:hAnsi="Times New Roman" w:cs="Times New Roman"/>
          <w:color w:val="000000"/>
          <w:sz w:val="21"/>
          <w:szCs w:val="21"/>
          <w:lang w:val="en-US" w:eastAsia="zh-CN"/>
        </w:rPr>
        <w:t>S</w:t>
      </w:r>
      <w:r>
        <w:rPr>
          <w:rFonts w:hint="default" w:ascii="Times New Roman" w:hAnsi="Times New Roman" w:cs="Times New Roman"/>
          <w:color w:val="000000"/>
          <w:sz w:val="21"/>
          <w:szCs w:val="21"/>
          <w:lang w:val="en-US" w:eastAsia="zh-CN"/>
        </w:rPr>
        <w:t>1. Two representative patients, preoperative CECT indicated CR, SMOTE-</w:t>
      </w:r>
    </w:p>
    <w:p w14:paraId="3E5DF236">
      <w:pPr>
        <w:keepNext w:val="0"/>
        <w:keepLines w:val="0"/>
        <w:pageBreakBefore w:val="0"/>
        <w:widowControl/>
        <w:suppressLineNumbers w:val="0"/>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radiomic model predicted non-pCR, postoperative pathology confirmed non-pCR. (</w:t>
      </w:r>
      <w:r>
        <w:rPr>
          <w:rFonts w:hint="eastAsia" w:ascii="Times New Roman" w:hAnsi="Times New Roman" w:cs="Times New Roman"/>
          <w:color w:val="000000"/>
          <w:sz w:val="21"/>
          <w:szCs w:val="21"/>
          <w:lang w:val="en-US" w:eastAsia="zh-CN"/>
        </w:rPr>
        <w:t>A</w:t>
      </w:r>
      <w:r>
        <w:rPr>
          <w:rFonts w:hint="default" w:ascii="Times New Roman" w:hAnsi="Times New Roman" w:cs="Times New Roman"/>
          <w:color w:val="000000"/>
          <w:sz w:val="21"/>
          <w:szCs w:val="21"/>
          <w:lang w:val="en-US" w:eastAsia="zh-CN"/>
        </w:rPr>
        <w:t>) and (</w:t>
      </w:r>
      <w:r>
        <w:rPr>
          <w:rFonts w:hint="eastAsia" w:ascii="Times New Roman" w:hAnsi="Times New Roman" w:cs="Times New Roman"/>
          <w:color w:val="000000"/>
          <w:sz w:val="21"/>
          <w:szCs w:val="21"/>
          <w:lang w:val="en-US" w:eastAsia="zh-CN"/>
        </w:rPr>
        <w:t>D</w:t>
      </w:r>
      <w:r>
        <w:rPr>
          <w:rFonts w:hint="default" w:ascii="Times New Roman" w:hAnsi="Times New Roman" w:cs="Times New Roman"/>
          <w:color w:val="000000"/>
          <w:sz w:val="21"/>
          <w:szCs w:val="21"/>
          <w:lang w:val="en-US" w:eastAsia="zh-CN"/>
        </w:rPr>
        <w:t>) CECT image before hepatectomy following neoadjuvant conversion therapy. (</w:t>
      </w:r>
      <w:r>
        <w:rPr>
          <w:rFonts w:hint="eastAsia" w:ascii="Times New Roman" w:hAnsi="Times New Roman" w:cs="Times New Roman"/>
          <w:color w:val="000000"/>
          <w:sz w:val="21"/>
          <w:szCs w:val="21"/>
          <w:lang w:val="en-US" w:eastAsia="zh-CN"/>
        </w:rPr>
        <w:t>B</w:t>
      </w:r>
      <w:r>
        <w:rPr>
          <w:rFonts w:hint="default" w:ascii="Times New Roman" w:hAnsi="Times New Roman" w:cs="Times New Roman"/>
          <w:color w:val="000000"/>
          <w:sz w:val="21"/>
          <w:szCs w:val="21"/>
          <w:lang w:val="en-US" w:eastAsia="zh-CN"/>
        </w:rPr>
        <w:t>) and (</w:t>
      </w:r>
      <w:r>
        <w:rPr>
          <w:rFonts w:hint="eastAsia" w:ascii="Times New Roman" w:hAnsi="Times New Roman" w:cs="Times New Roman"/>
          <w:color w:val="000000"/>
          <w:sz w:val="21"/>
          <w:szCs w:val="21"/>
          <w:lang w:val="en-US" w:eastAsia="zh-CN"/>
        </w:rPr>
        <w:t>E</w:t>
      </w:r>
      <w:r>
        <w:rPr>
          <w:rFonts w:hint="default" w:ascii="Times New Roman" w:hAnsi="Times New Roman" w:cs="Times New Roman"/>
          <w:color w:val="000000"/>
          <w:sz w:val="21"/>
          <w:szCs w:val="21"/>
          <w:lang w:val="en-US" w:eastAsia="zh-CN"/>
        </w:rPr>
        <w:t>) Photomicrographs showed the appearance of surviving tumor cells (Hematoxylin-eosin stain; original magnification, ×100). (</w:t>
      </w:r>
      <w:r>
        <w:rPr>
          <w:rFonts w:hint="eastAsia" w:ascii="Times New Roman" w:hAnsi="Times New Roman" w:cs="Times New Roman"/>
          <w:color w:val="000000"/>
          <w:sz w:val="21"/>
          <w:szCs w:val="21"/>
          <w:lang w:val="en-US" w:eastAsia="zh-CN"/>
        </w:rPr>
        <w:t>C</w:t>
      </w:r>
      <w:r>
        <w:rPr>
          <w:rFonts w:hint="default" w:ascii="Times New Roman" w:hAnsi="Times New Roman" w:cs="Times New Roman"/>
          <w:color w:val="000000"/>
          <w:sz w:val="21"/>
          <w:szCs w:val="21"/>
          <w:lang w:val="en-US" w:eastAsia="zh-CN"/>
        </w:rPr>
        <w:t>) and (</w:t>
      </w:r>
      <w:r>
        <w:rPr>
          <w:rFonts w:hint="eastAsia" w:ascii="Times New Roman" w:hAnsi="Times New Roman" w:cs="Times New Roman"/>
          <w:color w:val="000000"/>
          <w:sz w:val="21"/>
          <w:szCs w:val="21"/>
          <w:lang w:val="en-US" w:eastAsia="zh-CN"/>
        </w:rPr>
        <w:t>F</w:t>
      </w:r>
      <w:r>
        <w:rPr>
          <w:rFonts w:hint="default" w:ascii="Times New Roman" w:hAnsi="Times New Roman" w:cs="Times New Roman"/>
          <w:color w:val="000000"/>
          <w:sz w:val="21"/>
          <w:szCs w:val="21"/>
          <w:lang w:val="en-US" w:eastAsia="zh-CN"/>
        </w:rPr>
        <w:t>) Showed the specific score of each radiomics feature of the constructed SMOTE-radiomic model and total score (Patient 1, 0.0454; Patient 2, 0.0891; Cut-off value 0.2109). Two patients were predicted non-pCR.</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CECT</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contrast-enhanced</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computed tomograph</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SMOTE</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synthetic minority oversampling technique</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CR</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complete response</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pCR</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pathological complete response.</w:t>
      </w:r>
    </w:p>
    <w:p w14:paraId="1E7EF347">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2F98B9FF">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drawing>
          <wp:inline distT="0" distB="0" distL="114300" distR="114300">
            <wp:extent cx="5901690" cy="3456940"/>
            <wp:effectExtent l="0" t="0" r="0" b="0"/>
            <wp:docPr id="2" name="图片 2" descr="Fig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2"/>
                    <pic:cNvPicPr>
                      <a:picLocks noChangeAspect="1"/>
                    </pic:cNvPicPr>
                  </pic:nvPicPr>
                  <pic:blipFill>
                    <a:blip r:embed="rId10"/>
                    <a:srcRect t="18347" r="1640" b="37806"/>
                    <a:stretch>
                      <a:fillRect/>
                    </a:stretch>
                  </pic:blipFill>
                  <pic:spPr>
                    <a:xfrm>
                      <a:off x="0" y="0"/>
                      <a:ext cx="5901690" cy="3456940"/>
                    </a:xfrm>
                    <a:prstGeom prst="rect">
                      <a:avLst/>
                    </a:prstGeom>
                  </pic:spPr>
                </pic:pic>
              </a:graphicData>
            </a:graphic>
          </wp:inline>
        </w:drawing>
      </w:r>
    </w:p>
    <w:p w14:paraId="011F5F33">
      <w:pPr>
        <w:keepNext w:val="0"/>
        <w:keepLines w:val="0"/>
        <w:pageBreakBefore w:val="0"/>
        <w:widowControl/>
        <w:suppressLineNumbers w:val="0"/>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Fig</w:t>
      </w:r>
      <w:r>
        <w:rPr>
          <w:rFonts w:hint="eastAsia" w:ascii="Times New Roman" w:hAnsi="Times New Roman" w:cs="Times New Roman"/>
          <w:color w:val="000000"/>
          <w:sz w:val="21"/>
          <w:szCs w:val="21"/>
          <w:lang w:val="en-US" w:eastAsia="zh-CN"/>
        </w:rPr>
        <w:t>ure</w:t>
      </w:r>
      <w:r>
        <w:rPr>
          <w:rFonts w:hint="default" w:ascii="Times New Roman" w:hAnsi="Times New Roman" w:cs="Times New Roman"/>
          <w:color w:val="000000"/>
          <w:sz w:val="21"/>
          <w:szCs w:val="21"/>
          <w:lang w:val="en-US" w:eastAsia="zh-CN"/>
        </w:rPr>
        <w:t xml:space="preserve"> </w:t>
      </w:r>
      <w:r>
        <w:rPr>
          <w:rFonts w:hint="eastAsia" w:ascii="Times New Roman" w:hAnsi="Times New Roman" w:cs="Times New Roman"/>
          <w:color w:val="000000"/>
          <w:sz w:val="21"/>
          <w:szCs w:val="21"/>
          <w:lang w:val="en-US" w:eastAsia="zh-CN"/>
        </w:rPr>
        <w:t>S2</w:t>
      </w:r>
      <w:r>
        <w:rPr>
          <w:rFonts w:hint="default" w:ascii="Times New Roman" w:hAnsi="Times New Roman" w:cs="Times New Roman"/>
          <w:color w:val="000000"/>
          <w:sz w:val="21"/>
          <w:szCs w:val="21"/>
          <w:lang w:val="en-US" w:eastAsia="zh-CN"/>
        </w:rPr>
        <w:t xml:space="preserve">. 5-fold cross-validation of SMOTE-radiomics model in the </w:t>
      </w:r>
      <w:r>
        <w:rPr>
          <w:rFonts w:hint="eastAsia" w:ascii="Times New Roman" w:hAnsi="Times New Roman" w:cs="Times New Roman"/>
          <w:color w:val="000000"/>
          <w:sz w:val="21"/>
          <w:szCs w:val="21"/>
          <w:lang w:val="en-US" w:eastAsia="zh-CN"/>
        </w:rPr>
        <w:t>SMOTE-</w:t>
      </w:r>
      <w:r>
        <w:rPr>
          <w:rFonts w:hint="default" w:ascii="Times New Roman" w:hAnsi="Times New Roman" w:cs="Times New Roman"/>
          <w:color w:val="000000"/>
          <w:sz w:val="21"/>
          <w:szCs w:val="21"/>
          <w:lang w:val="en-US" w:eastAsia="zh-CN"/>
        </w:rPr>
        <w:t>training set (</w:t>
      </w:r>
      <w:r>
        <w:rPr>
          <w:rFonts w:hint="eastAsia" w:ascii="Times New Roman" w:hAnsi="Times New Roman" w:cs="Times New Roman"/>
          <w:color w:val="000000"/>
          <w:sz w:val="21"/>
          <w:szCs w:val="21"/>
          <w:lang w:val="en-US" w:eastAsia="zh-CN"/>
        </w:rPr>
        <w:t>A</w:t>
      </w:r>
      <w:r>
        <w:rPr>
          <w:rFonts w:hint="default" w:ascii="Times New Roman" w:hAnsi="Times New Roman" w:cs="Times New Roman"/>
          <w:color w:val="000000"/>
          <w:sz w:val="21"/>
          <w:szCs w:val="21"/>
          <w:lang w:val="en-US" w:eastAsia="zh-CN"/>
        </w:rPr>
        <w:t>) and 5-fold cross-validation of</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 xml:space="preserve">radiomics model in the </w:t>
      </w:r>
      <w:r>
        <w:rPr>
          <w:rFonts w:hint="eastAsia" w:ascii="Times New Roman" w:hAnsi="Times New Roman" w:cs="Times New Roman"/>
          <w:color w:val="000000"/>
          <w:sz w:val="21"/>
          <w:szCs w:val="21"/>
          <w:lang w:val="en-US" w:eastAsia="zh-CN"/>
        </w:rPr>
        <w:t xml:space="preserve">original </w:t>
      </w:r>
      <w:r>
        <w:rPr>
          <w:rFonts w:hint="default" w:ascii="Times New Roman" w:hAnsi="Times New Roman" w:cs="Times New Roman"/>
          <w:color w:val="000000"/>
          <w:sz w:val="21"/>
          <w:szCs w:val="21"/>
          <w:lang w:val="en-US" w:eastAsia="zh-CN"/>
        </w:rPr>
        <w:t>training set (</w:t>
      </w:r>
      <w:r>
        <w:rPr>
          <w:rFonts w:hint="eastAsia" w:ascii="Times New Roman" w:hAnsi="Times New Roman" w:cs="Times New Roman"/>
          <w:color w:val="000000"/>
          <w:sz w:val="21"/>
          <w:szCs w:val="21"/>
          <w:lang w:val="en-US" w:eastAsia="zh-CN"/>
        </w:rPr>
        <w:t>B</w:t>
      </w:r>
      <w:r>
        <w:rPr>
          <w:rFonts w:hint="default" w:ascii="Times New Roman" w:hAnsi="Times New Roman" w:cs="Times New Roman"/>
          <w:color w:val="000000"/>
          <w:sz w:val="21"/>
          <w:szCs w:val="21"/>
          <w:lang w:val="en-US" w:eastAsia="zh-CN"/>
        </w:rPr>
        <w:t>). CV</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cross-validation</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AUC</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area under the curve</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SMOTE</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synthetic minority over-sampling technique.</w:t>
      </w:r>
    </w:p>
    <w:p w14:paraId="0E519D1B">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54933D23">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018668E3">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5B29F131">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p>
    <w:p w14:paraId="67032B07">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drawing>
          <wp:inline distT="0" distB="0" distL="114300" distR="114300">
            <wp:extent cx="5997575" cy="2916555"/>
            <wp:effectExtent l="0" t="0" r="3175" b="7620"/>
            <wp:docPr id="3" name="图片 3" descr="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S3"/>
                    <pic:cNvPicPr>
                      <a:picLocks noChangeAspect="1"/>
                    </pic:cNvPicPr>
                  </pic:nvPicPr>
                  <pic:blipFill>
                    <a:blip r:embed="rId11"/>
                    <a:stretch>
                      <a:fillRect/>
                    </a:stretch>
                  </pic:blipFill>
                  <pic:spPr>
                    <a:xfrm>
                      <a:off x="0" y="0"/>
                      <a:ext cx="5997575" cy="2916555"/>
                    </a:xfrm>
                    <a:prstGeom prst="rect">
                      <a:avLst/>
                    </a:prstGeom>
                  </pic:spPr>
                </pic:pic>
              </a:graphicData>
            </a:graphic>
          </wp:inline>
        </w:drawing>
      </w:r>
    </w:p>
    <w:p w14:paraId="63B9F26F">
      <w:pPr>
        <w:keepNext w:val="0"/>
        <w:keepLines w:val="0"/>
        <w:pageBreakBefore w:val="0"/>
        <w:widowControl/>
        <w:suppressLineNumbers w:val="0"/>
        <w:kinsoku/>
        <w:wordWrap/>
        <w:overflowPunct/>
        <w:topLinePunct w:val="0"/>
        <w:autoSpaceDE/>
        <w:autoSpaceDN/>
        <w:bidi w:val="0"/>
        <w:adjustRightInd/>
        <w:snapToGrid/>
        <w:spacing w:line="480" w:lineRule="auto"/>
        <w:jc w:val="left"/>
        <w:textAlignment w:val="auto"/>
        <w:rPr>
          <w:rFonts w:hint="eastAsia"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Fig</w:t>
      </w:r>
      <w:r>
        <w:rPr>
          <w:rFonts w:hint="eastAsia" w:ascii="Times New Roman" w:hAnsi="Times New Roman" w:cs="Times New Roman"/>
          <w:color w:val="000000"/>
          <w:sz w:val="21"/>
          <w:szCs w:val="21"/>
          <w:lang w:val="en-US" w:eastAsia="zh-CN"/>
        </w:rPr>
        <w:t>ure S3.</w:t>
      </w:r>
      <w:r>
        <w:rPr>
          <w:rFonts w:hint="default" w:ascii="Times New Roman" w:hAnsi="Times New Roman" w:cs="Times New Roman"/>
          <w:color w:val="000000"/>
          <w:sz w:val="21"/>
          <w:szCs w:val="21"/>
          <w:lang w:val="en-US" w:eastAsia="zh-CN"/>
        </w:rPr>
        <w:t xml:space="preserve"> pCR predicted performance of radiomics model and SMOTE-radiomics model. (</w:t>
      </w:r>
      <w:r>
        <w:rPr>
          <w:rFonts w:hint="eastAsia" w:ascii="Times New Roman" w:hAnsi="Times New Roman" w:cs="Times New Roman"/>
          <w:color w:val="000000"/>
          <w:sz w:val="21"/>
          <w:szCs w:val="21"/>
          <w:lang w:val="en-US" w:eastAsia="zh-CN"/>
        </w:rPr>
        <w:t>A</w:t>
      </w:r>
      <w:r>
        <w:rPr>
          <w:rFonts w:hint="default" w:ascii="Times New Roman" w:hAnsi="Times New Roman" w:cs="Times New Roman"/>
          <w:color w:val="000000"/>
          <w:sz w:val="21"/>
          <w:szCs w:val="21"/>
          <w:lang w:val="en-US" w:eastAsia="zh-CN"/>
        </w:rPr>
        <w:t>) The ROC curves of radiomics and SMOTE-radiomics models in the training set and the SMOTE-training set</w:t>
      </w:r>
      <w:r>
        <w:rPr>
          <w:rFonts w:hint="eastAsia" w:ascii="Times New Roman" w:hAnsi="Times New Roman" w:cs="Times New Roman"/>
          <w:color w:val="000000"/>
          <w:sz w:val="21"/>
          <w:szCs w:val="21"/>
          <w:lang w:val="en-US" w:eastAsia="zh-CN"/>
        </w:rPr>
        <w:t xml:space="preserve"> respectively (AUC: 0.808</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 xml:space="preserve"> 0.889,</w:t>
      </w:r>
      <w:r>
        <w:rPr>
          <w:rFonts w:hint="default" w:ascii="Times New Roman" w:hAnsi="Times New Roman" w:cs="Times New Roman"/>
          <w:color w:val="000000"/>
          <w:sz w:val="21"/>
          <w:szCs w:val="21"/>
          <w:lang w:val="en-US" w:eastAsia="zh-CN"/>
        </w:rPr>
        <w:t xml:space="preserve"> respectively</w:t>
      </w:r>
      <w:r>
        <w:rPr>
          <w:rFonts w:hint="eastAsia" w:ascii="Times New Roman" w:hAnsi="Times New Roman" w:cs="Times New Roman"/>
          <w:color w:val="000000"/>
          <w:sz w:val="21"/>
          <w:szCs w:val="21"/>
          <w:lang w:val="en-US" w:eastAsia="zh-CN"/>
        </w:rPr>
        <w:t>, P = 0.200)</w:t>
      </w:r>
      <w:r>
        <w:rPr>
          <w:rFonts w:hint="default" w:ascii="Times New Roman" w:hAnsi="Times New Roman" w:cs="Times New Roman"/>
          <w:color w:val="000000"/>
          <w:sz w:val="21"/>
          <w:szCs w:val="21"/>
          <w:lang w:val="en-US" w:eastAsia="zh-CN"/>
        </w:rPr>
        <w:t>. (</w:t>
      </w:r>
      <w:r>
        <w:rPr>
          <w:rFonts w:hint="eastAsia" w:ascii="Times New Roman" w:hAnsi="Times New Roman" w:cs="Times New Roman"/>
          <w:color w:val="000000"/>
          <w:sz w:val="21"/>
          <w:szCs w:val="21"/>
          <w:lang w:val="en-US" w:eastAsia="zh-CN"/>
        </w:rPr>
        <w:t>B</w:t>
      </w:r>
      <w:r>
        <w:rPr>
          <w:rFonts w:hint="default" w:ascii="Times New Roman" w:hAnsi="Times New Roman" w:cs="Times New Roman"/>
          <w:color w:val="000000"/>
          <w:sz w:val="21"/>
          <w:szCs w:val="21"/>
          <w:lang w:val="en-US" w:eastAsia="zh-CN"/>
        </w:rPr>
        <w:t>) The ROC curves of radiomics and SMOTE-radiomics model in validation set</w:t>
      </w:r>
      <w:r>
        <w:rPr>
          <w:rFonts w:hint="eastAsia" w:ascii="Times New Roman" w:hAnsi="Times New Roman" w:cs="Times New Roman"/>
          <w:color w:val="000000"/>
          <w:sz w:val="21"/>
          <w:szCs w:val="21"/>
          <w:lang w:val="en-US" w:eastAsia="zh-CN"/>
        </w:rPr>
        <w:t xml:space="preserve"> (AUC: 0.655</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 xml:space="preserve"> 0.843,</w:t>
      </w:r>
      <w:r>
        <w:rPr>
          <w:rFonts w:hint="default" w:ascii="Times New Roman" w:hAnsi="Times New Roman" w:cs="Times New Roman"/>
          <w:color w:val="000000"/>
          <w:sz w:val="21"/>
          <w:szCs w:val="21"/>
          <w:lang w:val="en-US" w:eastAsia="zh-CN"/>
        </w:rPr>
        <w:t xml:space="preserve"> respectively</w:t>
      </w:r>
      <w:r>
        <w:rPr>
          <w:rFonts w:hint="eastAsia" w:ascii="Times New Roman" w:hAnsi="Times New Roman" w:cs="Times New Roman"/>
          <w:color w:val="000000"/>
          <w:sz w:val="21"/>
          <w:szCs w:val="21"/>
          <w:lang w:val="en-US" w:eastAsia="zh-CN"/>
        </w:rPr>
        <w:t>, P = 0.002)</w:t>
      </w:r>
      <w:r>
        <w:rPr>
          <w:rFonts w:hint="default" w:ascii="Times New Roman" w:hAnsi="Times New Roman" w:cs="Times New Roman"/>
          <w:color w:val="000000"/>
          <w:sz w:val="21"/>
          <w:szCs w:val="21"/>
          <w:lang w:val="en-US" w:eastAsia="zh-CN"/>
        </w:rPr>
        <w:t>. AUC</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area under the curve</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SMOTE</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synthetic minority over-sampling technique</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pCR</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pathological complete response</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ROC</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 xml:space="preserve"> receiver operating curve. </w:t>
      </w:r>
    </w:p>
    <w:p w14:paraId="74D28E0F">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br w:type="page"/>
      </w:r>
      <w:bookmarkStart w:id="0" w:name="_GoBack"/>
      <w:bookmarkEnd w:id="0"/>
    </w:p>
    <w:p w14:paraId="08BAF91E">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b/>
          <w:bCs/>
          <w:sz w:val="21"/>
          <w:szCs w:val="21"/>
          <w:lang w:val="en-US"/>
        </w:rPr>
      </w:pPr>
      <w:r>
        <w:rPr>
          <w:rFonts w:hint="eastAsia" w:ascii="Times New Roman" w:hAnsi="Times New Roman"/>
          <w:b/>
          <w:bCs/>
          <w:spacing w:val="8"/>
          <w:sz w:val="21"/>
          <w:szCs w:val="21"/>
          <w:lang w:val="en-US"/>
        </w:rPr>
        <w:t>Supplementary M</w:t>
      </w:r>
      <w:r>
        <w:rPr>
          <w:rFonts w:hint="eastAsia" w:ascii="Times New Roman" w:hAnsi="Times New Roman" w:eastAsia="宋体"/>
          <w:b/>
          <w:bCs/>
          <w:spacing w:val="8"/>
          <w:sz w:val="21"/>
          <w:szCs w:val="21"/>
          <w:lang w:val="en-US" w:eastAsia="zh-CN"/>
        </w:rPr>
        <w:t>ethods</w:t>
      </w:r>
    </w:p>
    <w:p w14:paraId="3228D933">
      <w:pPr>
        <w:keepNext w:val="0"/>
        <w:keepLines w:val="0"/>
        <w:pageBreakBefore w:val="0"/>
        <w:widowControl/>
        <w:kinsoku/>
        <w:wordWrap/>
        <w:overflowPunct/>
        <w:topLinePunct w:val="0"/>
        <w:autoSpaceDE/>
        <w:autoSpaceDN/>
        <w:bidi w:val="0"/>
        <w:adjustRightInd/>
        <w:snapToGrid/>
        <w:spacing w:line="480" w:lineRule="auto"/>
        <w:jc w:val="left"/>
        <w:textAlignment w:val="auto"/>
        <w:rPr>
          <w:rFonts w:ascii="Times New Roman" w:hAnsi="Times New Roman"/>
          <w:b/>
          <w:bCs/>
          <w:spacing w:val="8"/>
          <w:sz w:val="21"/>
          <w:szCs w:val="21"/>
        </w:rPr>
      </w:pPr>
      <w:r>
        <w:rPr>
          <w:rFonts w:hint="eastAsia" w:ascii="Times New Roman" w:hAnsi="Times New Roman"/>
          <w:b/>
          <w:bCs/>
          <w:spacing w:val="8"/>
          <w:sz w:val="21"/>
          <w:szCs w:val="21"/>
        </w:rPr>
        <w:t>Data collection</w:t>
      </w:r>
    </w:p>
    <w:p w14:paraId="0BDB2653">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Times New Roman" w:hAnsi="Times New Roman"/>
          <w:spacing w:val="8"/>
          <w:sz w:val="21"/>
          <w:szCs w:val="21"/>
        </w:rPr>
      </w:pPr>
      <w:r>
        <w:rPr>
          <w:rFonts w:hint="eastAsia" w:ascii="Times New Roman" w:hAnsi="Times New Roman"/>
          <w:spacing w:val="8"/>
          <w:sz w:val="21"/>
          <w:szCs w:val="21"/>
        </w:rPr>
        <w:t xml:space="preserve">The following baseline clinical features were collected through the hospital electronic information system: age, gender, hepatitis, </w:t>
      </w:r>
      <w:r>
        <w:rPr>
          <w:rFonts w:ascii="Times New Roman" w:hAnsi="Times New Roman"/>
          <w:spacing w:val="8"/>
          <w:sz w:val="21"/>
          <w:szCs w:val="21"/>
        </w:rPr>
        <w:t>alanine aminotransferase (ALT), aspartate aminotransferase (AST), albumin (ALB), total bilirubin</w:t>
      </w:r>
      <w:r>
        <w:rPr>
          <w:rFonts w:hint="eastAsia" w:ascii="Times New Roman" w:hAnsi="Times New Roman"/>
          <w:spacing w:val="8"/>
          <w:sz w:val="21"/>
          <w:szCs w:val="21"/>
        </w:rPr>
        <w:t xml:space="preserve"> </w:t>
      </w:r>
      <w:r>
        <w:rPr>
          <w:rFonts w:ascii="Times New Roman" w:hAnsi="Times New Roman"/>
          <w:spacing w:val="8"/>
          <w:sz w:val="21"/>
          <w:szCs w:val="21"/>
        </w:rPr>
        <w:t>(TB), prothrombin time (PT),</w:t>
      </w:r>
      <w:r>
        <w:rPr>
          <w:rFonts w:hint="eastAsia" w:ascii="Times New Roman" w:hAnsi="Times New Roman"/>
          <w:spacing w:val="8"/>
          <w:sz w:val="21"/>
          <w:szCs w:val="21"/>
        </w:rPr>
        <w:t xml:space="preserve"> </w:t>
      </w:r>
      <w:r>
        <w:rPr>
          <w:rFonts w:ascii="Times New Roman" w:hAnsi="Times New Roman"/>
          <w:spacing w:val="8"/>
          <w:sz w:val="21"/>
          <w:szCs w:val="21"/>
        </w:rPr>
        <w:t>γ-Gltamyl</w:t>
      </w:r>
      <w:r>
        <w:rPr>
          <w:rFonts w:hint="eastAsia" w:ascii="Times New Roman" w:hAnsi="Times New Roman"/>
          <w:spacing w:val="8"/>
          <w:sz w:val="21"/>
          <w:szCs w:val="21"/>
        </w:rPr>
        <w:t xml:space="preserve"> </w:t>
      </w:r>
      <w:r>
        <w:rPr>
          <w:rFonts w:ascii="Times New Roman" w:hAnsi="Times New Roman"/>
          <w:spacing w:val="8"/>
          <w:sz w:val="21"/>
          <w:szCs w:val="21"/>
        </w:rPr>
        <w:t>tran</w:t>
      </w:r>
      <w:r>
        <w:rPr>
          <w:rFonts w:hint="eastAsia" w:ascii="Times New Roman" w:hAnsi="Times New Roman"/>
          <w:spacing w:val="8"/>
          <w:sz w:val="21"/>
          <w:szCs w:val="21"/>
        </w:rPr>
        <w:t>sfer</w:t>
      </w:r>
      <w:r>
        <w:rPr>
          <w:rFonts w:ascii="Times New Roman" w:hAnsi="Times New Roman"/>
          <w:spacing w:val="8"/>
          <w:sz w:val="21"/>
          <w:szCs w:val="21"/>
        </w:rPr>
        <w:t>ase</w:t>
      </w:r>
      <w:r>
        <w:rPr>
          <w:rFonts w:hint="eastAsia" w:ascii="Times New Roman" w:hAnsi="Times New Roman"/>
          <w:spacing w:val="8"/>
          <w:sz w:val="21"/>
          <w:szCs w:val="21"/>
        </w:rPr>
        <w:t xml:space="preserve"> (γ-GGT), </w:t>
      </w:r>
      <w:r>
        <w:rPr>
          <w:rFonts w:ascii="Times New Roman" w:hAnsi="Times New Roman"/>
          <w:spacing w:val="8"/>
          <w:sz w:val="21"/>
          <w:szCs w:val="21"/>
        </w:rPr>
        <w:t>alpha-fetoprotein (AFP)</w:t>
      </w:r>
      <w:r>
        <w:rPr>
          <w:rFonts w:hint="eastAsia" w:ascii="Times New Roman" w:hAnsi="Times New Roman"/>
          <w:spacing w:val="8"/>
          <w:sz w:val="21"/>
          <w:szCs w:val="21"/>
        </w:rPr>
        <w:t xml:space="preserve">, </w:t>
      </w:r>
      <w:r>
        <w:rPr>
          <w:rFonts w:ascii="Times New Roman" w:hAnsi="Times New Roman"/>
          <w:spacing w:val="8"/>
          <w:sz w:val="21"/>
          <w:szCs w:val="21"/>
        </w:rPr>
        <w:t>Barcelona Clinic Liver Cancer (BCLC) stage, the Child-Pugh score,</w:t>
      </w:r>
      <w:r>
        <w:rPr>
          <w:rFonts w:hint="eastAsia" w:ascii="Times New Roman" w:hAnsi="Times New Roman"/>
          <w:spacing w:val="8"/>
          <w:sz w:val="21"/>
          <w:szCs w:val="21"/>
        </w:rPr>
        <w:t xml:space="preserve"> tumor number, largest diameter of tumor, vascular invasion, microvascular invasion (MVI) and conversion therapy strategy. The efficacy of </w:t>
      </w:r>
      <w:r>
        <w:rPr>
          <w:rFonts w:hint="eastAsia" w:ascii="Times New Roman" w:hAnsi="Times New Roman"/>
          <w:spacing w:val="8"/>
          <w:sz w:val="21"/>
          <w:szCs w:val="21"/>
          <w:lang w:bidi="ar"/>
        </w:rPr>
        <w:t xml:space="preserve">neoadjuvant </w:t>
      </w:r>
      <w:r>
        <w:rPr>
          <w:rFonts w:hint="eastAsia" w:ascii="Times New Roman" w:hAnsi="Times New Roman"/>
          <w:spacing w:val="8"/>
          <w:sz w:val="21"/>
          <w:szCs w:val="21"/>
        </w:rPr>
        <w:t xml:space="preserve">conversion therapy was evaluated by mRECIST criteria. </w:t>
      </w:r>
    </w:p>
    <w:p w14:paraId="6F07365C">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b/>
          <w:bCs/>
          <w:spacing w:val="8"/>
          <w:sz w:val="21"/>
          <w:szCs w:val="21"/>
        </w:rPr>
      </w:pPr>
      <w:r>
        <w:rPr>
          <w:rFonts w:ascii="Times New Roman" w:hAnsi="Times New Roman"/>
          <w:b/>
          <w:bCs/>
          <w:spacing w:val="8"/>
          <w:sz w:val="21"/>
          <w:szCs w:val="21"/>
        </w:rPr>
        <w:t xml:space="preserve">Clinical </w:t>
      </w:r>
      <w:r>
        <w:rPr>
          <w:rFonts w:hint="eastAsia" w:ascii="Times New Roman" w:hAnsi="Times New Roman"/>
          <w:b/>
          <w:bCs/>
          <w:spacing w:val="8"/>
          <w:sz w:val="21"/>
          <w:szCs w:val="21"/>
          <w:lang w:val="en-US" w:eastAsia="zh-CN"/>
        </w:rPr>
        <w:t>a</w:t>
      </w:r>
      <w:r>
        <w:rPr>
          <w:rFonts w:ascii="Times New Roman" w:hAnsi="Times New Roman"/>
          <w:b/>
          <w:bCs/>
          <w:spacing w:val="8"/>
          <w:sz w:val="21"/>
          <w:szCs w:val="21"/>
        </w:rPr>
        <w:t>ssessments</w:t>
      </w:r>
    </w:p>
    <w:p w14:paraId="3A06A196">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spacing w:val="8"/>
          <w:kern w:val="0"/>
          <w:sz w:val="21"/>
          <w:szCs w:val="21"/>
          <w:lang w:val="en-US" w:eastAsia="zh-CN" w:bidi="ar-SA"/>
        </w:rPr>
      </w:pPr>
      <w:r>
        <w:rPr>
          <w:rFonts w:ascii="Times New Roman" w:hAnsi="Times New Roman" w:cs="Times New Roman" w:eastAsiaTheme="minorEastAsia"/>
          <w:spacing w:val="8"/>
          <w:kern w:val="0"/>
          <w:sz w:val="21"/>
          <w:szCs w:val="21"/>
          <w:lang w:val="en-US" w:eastAsia="zh-CN" w:bidi="ar-SA"/>
        </w:rPr>
        <w:t>Imaging (</w:t>
      </w:r>
      <w:r>
        <w:rPr>
          <w:rFonts w:hint="eastAsia" w:ascii="Times New Roman" w:hAnsi="Times New Roman" w:cs="Times New Roman" w:eastAsiaTheme="minorEastAsia"/>
          <w:spacing w:val="8"/>
          <w:kern w:val="0"/>
          <w:sz w:val="21"/>
          <w:szCs w:val="21"/>
          <w:lang w:val="en-US" w:eastAsia="zh-CN" w:bidi="ar-SA"/>
        </w:rPr>
        <w:t>CE</w:t>
      </w:r>
      <w:r>
        <w:rPr>
          <w:rFonts w:ascii="Times New Roman" w:hAnsi="Times New Roman" w:cs="Times New Roman" w:eastAsiaTheme="minorEastAsia"/>
          <w:spacing w:val="8"/>
          <w:kern w:val="0"/>
          <w:sz w:val="21"/>
          <w:szCs w:val="21"/>
          <w:lang w:val="en-US" w:eastAsia="zh-CN" w:bidi="ar-SA"/>
        </w:rPr>
        <w:t xml:space="preserve">CT or MRI) and hematological tests </w:t>
      </w:r>
      <w:r>
        <w:rPr>
          <w:rFonts w:hint="eastAsia" w:ascii="Times New Roman" w:hAnsi="Times New Roman" w:cs="Times New Roman" w:eastAsiaTheme="minorEastAsia"/>
          <w:spacing w:val="8"/>
          <w:kern w:val="0"/>
          <w:sz w:val="21"/>
          <w:szCs w:val="21"/>
          <w:lang w:val="en-US" w:eastAsia="zh-CN" w:bidi="ar-SA"/>
        </w:rPr>
        <w:t>were</w:t>
      </w:r>
      <w:r>
        <w:rPr>
          <w:rFonts w:ascii="Times New Roman" w:hAnsi="Times New Roman" w:cs="Times New Roman" w:eastAsiaTheme="minorEastAsia"/>
          <w:spacing w:val="8"/>
          <w:kern w:val="0"/>
          <w:sz w:val="21"/>
          <w:szCs w:val="21"/>
          <w:lang w:val="en-US" w:eastAsia="zh-CN" w:bidi="ar-SA"/>
        </w:rPr>
        <w:t xml:space="preserve"> performed before each neoadjuvant</w:t>
      </w:r>
      <w:r>
        <w:rPr>
          <w:rFonts w:hint="eastAsia" w:ascii="Times New Roman" w:hAnsi="Times New Roman" w:cs="Times New Roman" w:eastAsiaTheme="minorEastAsia"/>
          <w:spacing w:val="8"/>
          <w:kern w:val="0"/>
          <w:sz w:val="21"/>
          <w:szCs w:val="21"/>
          <w:lang w:val="en-US" w:eastAsia="zh-CN" w:bidi="ar-SA"/>
        </w:rPr>
        <w:t xml:space="preserve"> </w:t>
      </w:r>
      <w:r>
        <w:rPr>
          <w:rFonts w:ascii="Times New Roman" w:hAnsi="Times New Roman" w:cs="Times New Roman" w:eastAsiaTheme="minorEastAsia"/>
          <w:spacing w:val="8"/>
          <w:kern w:val="0"/>
          <w:sz w:val="21"/>
          <w:szCs w:val="21"/>
          <w:lang w:val="en-US" w:eastAsia="zh-CN" w:bidi="ar-SA"/>
        </w:rPr>
        <w:t>conversion therapy. The neoadjuvant</w:t>
      </w:r>
      <w:r>
        <w:rPr>
          <w:rFonts w:hint="eastAsia" w:ascii="Times New Roman" w:hAnsi="Times New Roman" w:cs="Times New Roman" w:eastAsiaTheme="minorEastAsia"/>
          <w:spacing w:val="8"/>
          <w:kern w:val="0"/>
          <w:sz w:val="21"/>
          <w:szCs w:val="21"/>
          <w:lang w:val="en-US" w:eastAsia="zh-CN" w:bidi="ar-SA"/>
        </w:rPr>
        <w:t xml:space="preserve"> </w:t>
      </w:r>
      <w:r>
        <w:rPr>
          <w:rFonts w:ascii="Times New Roman" w:hAnsi="Times New Roman" w:cs="Times New Roman" w:eastAsiaTheme="minorEastAsia"/>
          <w:spacing w:val="8"/>
          <w:kern w:val="0"/>
          <w:sz w:val="21"/>
          <w:szCs w:val="21"/>
          <w:lang w:val="en-US" w:eastAsia="zh-CN" w:bidi="ar-SA"/>
        </w:rPr>
        <w:t xml:space="preserve">conversion therapy program </w:t>
      </w:r>
      <w:r>
        <w:rPr>
          <w:rFonts w:hint="eastAsia" w:ascii="Times New Roman" w:hAnsi="Times New Roman" w:cs="Times New Roman" w:eastAsiaTheme="minorEastAsia"/>
          <w:spacing w:val="8"/>
          <w:kern w:val="0"/>
          <w:sz w:val="21"/>
          <w:szCs w:val="21"/>
          <w:lang w:val="en-US" w:eastAsia="zh-CN" w:bidi="ar-SA"/>
        </w:rPr>
        <w:t>was</w:t>
      </w:r>
      <w:r>
        <w:rPr>
          <w:rFonts w:ascii="Times New Roman" w:hAnsi="Times New Roman" w:cs="Times New Roman" w:eastAsiaTheme="minorEastAsia"/>
          <w:spacing w:val="8"/>
          <w:kern w:val="0"/>
          <w:sz w:val="21"/>
          <w:szCs w:val="21"/>
          <w:lang w:val="en-US" w:eastAsia="zh-CN" w:bidi="ar-SA"/>
        </w:rPr>
        <w:t xml:space="preserve"> adjusted according to the actual situation in the context of multidisciplinary </w:t>
      </w:r>
      <w:r>
        <w:rPr>
          <w:rFonts w:hint="eastAsia" w:ascii="Times New Roman" w:hAnsi="Times New Roman" w:cs="Times New Roman" w:eastAsiaTheme="minorEastAsia"/>
          <w:spacing w:val="8"/>
          <w:kern w:val="0"/>
          <w:sz w:val="21"/>
          <w:szCs w:val="21"/>
          <w:lang w:val="en-US" w:eastAsia="zh-CN" w:bidi="ar-SA"/>
        </w:rPr>
        <w:t>treatment</w:t>
      </w:r>
      <w:r>
        <w:rPr>
          <w:rFonts w:ascii="Times New Roman" w:hAnsi="Times New Roman" w:cs="Times New Roman" w:eastAsiaTheme="minorEastAsia"/>
          <w:spacing w:val="8"/>
          <w:kern w:val="0"/>
          <w:sz w:val="21"/>
          <w:szCs w:val="21"/>
          <w:lang w:val="en-US" w:eastAsia="zh-CN" w:bidi="ar-SA"/>
        </w:rPr>
        <w:t xml:space="preserve">. </w:t>
      </w:r>
      <w:r>
        <w:rPr>
          <w:rFonts w:hint="eastAsia" w:ascii="Times New Roman" w:hAnsi="Times New Roman" w:cs="Times New Roman" w:eastAsiaTheme="minorEastAsia"/>
          <w:spacing w:val="8"/>
          <w:kern w:val="0"/>
          <w:sz w:val="21"/>
          <w:szCs w:val="21"/>
          <w:lang w:val="en-US" w:eastAsia="zh-CN" w:bidi="ar-SA"/>
        </w:rPr>
        <w:t>CE</w:t>
      </w:r>
      <w:r>
        <w:rPr>
          <w:rFonts w:ascii="Times New Roman" w:hAnsi="Times New Roman" w:cs="Times New Roman" w:eastAsiaTheme="minorEastAsia"/>
          <w:spacing w:val="8"/>
          <w:kern w:val="0"/>
          <w:sz w:val="21"/>
          <w:szCs w:val="21"/>
          <w:lang w:val="en-US" w:eastAsia="zh-CN" w:bidi="ar-SA"/>
        </w:rPr>
        <w:t xml:space="preserve">CT or MRI examinations were performed </w:t>
      </w:r>
      <w:r>
        <w:rPr>
          <w:rFonts w:hint="eastAsia" w:ascii="Times New Roman" w:hAnsi="Times New Roman" w:cs="Times New Roman" w:eastAsiaTheme="minorEastAsia"/>
          <w:spacing w:val="8"/>
          <w:kern w:val="0"/>
          <w:sz w:val="21"/>
          <w:szCs w:val="21"/>
          <w:lang w:val="en-US" w:eastAsia="zh-CN" w:bidi="ar-SA"/>
        </w:rPr>
        <w:t>every 2</w:t>
      </w:r>
      <w:r>
        <w:rPr>
          <w:rFonts w:ascii="Times New Roman" w:hAnsi="Times New Roman" w:cs="Times New Roman" w:eastAsiaTheme="minorEastAsia"/>
          <w:spacing w:val="8"/>
          <w:kern w:val="0"/>
          <w:sz w:val="21"/>
          <w:szCs w:val="21"/>
          <w:lang w:val="en-US" w:eastAsia="zh-CN" w:bidi="ar-SA"/>
        </w:rPr>
        <w:t xml:space="preserve"> months </w:t>
      </w:r>
      <w:r>
        <w:rPr>
          <w:rFonts w:hint="eastAsia" w:ascii="Times New Roman" w:hAnsi="Times New Roman" w:cs="Times New Roman" w:eastAsiaTheme="minorEastAsia"/>
          <w:spacing w:val="8"/>
          <w:kern w:val="0"/>
          <w:sz w:val="21"/>
          <w:szCs w:val="21"/>
          <w:lang w:val="en-US" w:eastAsia="zh-CN" w:bidi="ar-SA"/>
        </w:rPr>
        <w:t>after within 1 year after</w:t>
      </w:r>
      <w:r>
        <w:rPr>
          <w:rFonts w:ascii="Times New Roman" w:hAnsi="Times New Roman" w:cs="Times New Roman" w:eastAsiaTheme="minorEastAsia"/>
          <w:spacing w:val="8"/>
          <w:kern w:val="0"/>
          <w:sz w:val="21"/>
          <w:szCs w:val="21"/>
          <w:lang w:val="en-US" w:eastAsia="zh-CN" w:bidi="ar-SA"/>
        </w:rPr>
        <w:t xml:space="preserve"> hepatectomy, and </w:t>
      </w:r>
      <w:r>
        <w:rPr>
          <w:rFonts w:hint="eastAsia" w:ascii="Times New Roman" w:hAnsi="Times New Roman" w:cs="Times New Roman" w:eastAsiaTheme="minorEastAsia"/>
          <w:spacing w:val="8"/>
          <w:kern w:val="0"/>
          <w:sz w:val="21"/>
          <w:szCs w:val="21"/>
          <w:lang w:val="en-US" w:eastAsia="zh-CN" w:bidi="ar-SA"/>
        </w:rPr>
        <w:t>r</w:t>
      </w:r>
      <w:r>
        <w:rPr>
          <w:rFonts w:ascii="Times New Roman" w:hAnsi="Times New Roman" w:cs="Times New Roman" w:eastAsiaTheme="minorEastAsia"/>
          <w:spacing w:val="8"/>
          <w:kern w:val="0"/>
          <w:sz w:val="21"/>
          <w:szCs w:val="21"/>
          <w:lang w:val="en-US" w:eastAsia="zh-CN" w:bidi="ar-SA"/>
        </w:rPr>
        <w:t>eview</w:t>
      </w:r>
      <w:r>
        <w:rPr>
          <w:rFonts w:hint="eastAsia" w:ascii="Times New Roman" w:hAnsi="Times New Roman" w:cs="Times New Roman" w:eastAsiaTheme="minorEastAsia"/>
          <w:spacing w:val="8"/>
          <w:kern w:val="0"/>
          <w:sz w:val="21"/>
          <w:szCs w:val="21"/>
          <w:lang w:val="en-US" w:eastAsia="zh-CN" w:bidi="ar-SA"/>
        </w:rPr>
        <w:t xml:space="preserve">ed </w:t>
      </w:r>
      <w:r>
        <w:rPr>
          <w:rFonts w:ascii="Times New Roman" w:hAnsi="Times New Roman" w:cs="Times New Roman" w:eastAsiaTheme="minorEastAsia"/>
          <w:spacing w:val="8"/>
          <w:kern w:val="0"/>
          <w:sz w:val="21"/>
          <w:szCs w:val="21"/>
          <w:lang w:val="en-US" w:eastAsia="zh-CN" w:bidi="ar-SA"/>
        </w:rPr>
        <w:t xml:space="preserve">every </w:t>
      </w:r>
      <w:r>
        <w:rPr>
          <w:rFonts w:hint="eastAsia" w:ascii="Times New Roman" w:hAnsi="Times New Roman" w:cs="Times New Roman" w:eastAsiaTheme="minorEastAsia"/>
          <w:spacing w:val="8"/>
          <w:kern w:val="0"/>
          <w:sz w:val="21"/>
          <w:szCs w:val="21"/>
          <w:lang w:val="en-US" w:eastAsia="zh-CN" w:bidi="ar-SA"/>
        </w:rPr>
        <w:t>3-4</w:t>
      </w:r>
      <w:r>
        <w:rPr>
          <w:rFonts w:ascii="Times New Roman" w:hAnsi="Times New Roman" w:cs="Times New Roman" w:eastAsiaTheme="minorEastAsia"/>
          <w:spacing w:val="8"/>
          <w:kern w:val="0"/>
          <w:sz w:val="21"/>
          <w:szCs w:val="21"/>
          <w:lang w:val="en-US" w:eastAsia="zh-CN" w:bidi="ar-SA"/>
        </w:rPr>
        <w:t xml:space="preserve"> months thereafter.</w:t>
      </w:r>
      <w:r>
        <w:rPr>
          <w:rFonts w:hint="eastAsia" w:ascii="Times New Roman" w:hAnsi="Times New Roman" w:cs="Times New Roman" w:eastAsiaTheme="minorEastAsia"/>
          <w:spacing w:val="8"/>
          <w:kern w:val="0"/>
          <w:sz w:val="21"/>
          <w:szCs w:val="21"/>
          <w:lang w:val="en-US" w:eastAsia="zh-CN" w:bidi="ar-SA"/>
        </w:rPr>
        <w:t xml:space="preserve"> </w:t>
      </w:r>
      <w:r>
        <w:rPr>
          <w:rFonts w:ascii="Times New Roman" w:hAnsi="Times New Roman" w:cs="Times New Roman" w:eastAsiaTheme="minorEastAsia"/>
          <w:spacing w:val="8"/>
          <w:kern w:val="0"/>
          <w:sz w:val="21"/>
          <w:szCs w:val="21"/>
          <w:lang w:val="en-US" w:eastAsia="zh-CN" w:bidi="ar-SA"/>
        </w:rPr>
        <w:t>mRE</w:t>
      </w:r>
      <w:r>
        <w:rPr>
          <w:rFonts w:hint="eastAsia" w:ascii="Times New Roman" w:hAnsi="Times New Roman" w:cs="Times New Roman" w:eastAsiaTheme="minorEastAsia"/>
          <w:spacing w:val="8"/>
          <w:kern w:val="0"/>
          <w:sz w:val="21"/>
          <w:szCs w:val="21"/>
          <w:lang w:val="en-US" w:eastAsia="zh-CN" w:bidi="ar-SA"/>
        </w:rPr>
        <w:t>CIST</w:t>
      </w:r>
      <w:r>
        <w:rPr>
          <w:rFonts w:ascii="Times New Roman" w:hAnsi="Times New Roman" w:cs="Times New Roman" w:eastAsiaTheme="minorEastAsia"/>
          <w:spacing w:val="8"/>
          <w:kern w:val="0"/>
          <w:sz w:val="21"/>
          <w:szCs w:val="21"/>
          <w:lang w:val="en-US" w:eastAsia="zh-CN" w:bidi="ar-SA"/>
        </w:rPr>
        <w:t xml:space="preserve"> </w:t>
      </w:r>
      <w:r>
        <w:rPr>
          <w:rFonts w:hint="eastAsia" w:ascii="Times New Roman" w:hAnsi="Times New Roman" w:cs="Times New Roman" w:eastAsiaTheme="minorEastAsia"/>
          <w:spacing w:val="8"/>
          <w:kern w:val="0"/>
          <w:sz w:val="21"/>
          <w:szCs w:val="21"/>
          <w:lang w:val="en-US" w:eastAsia="zh-CN" w:bidi="ar-SA"/>
        </w:rPr>
        <w:t>wa</w:t>
      </w:r>
      <w:r>
        <w:rPr>
          <w:rFonts w:ascii="Times New Roman" w:hAnsi="Times New Roman" w:cs="Times New Roman" w:eastAsiaTheme="minorEastAsia"/>
          <w:spacing w:val="8"/>
          <w:kern w:val="0"/>
          <w:sz w:val="21"/>
          <w:szCs w:val="21"/>
          <w:lang w:val="en-US" w:eastAsia="zh-CN" w:bidi="ar-SA"/>
        </w:rPr>
        <w:t>s used for tumor assessment.</w:t>
      </w:r>
      <w:r>
        <w:rPr>
          <w:rFonts w:hint="eastAsia" w:ascii="Times New Roman" w:hAnsi="Times New Roman" w:cs="Times New Roman" w:eastAsiaTheme="minorEastAsia"/>
          <w:spacing w:val="8"/>
          <w:kern w:val="0"/>
          <w:sz w:val="21"/>
          <w:szCs w:val="21"/>
          <w:lang w:val="en-US" w:eastAsia="zh-CN" w:bidi="ar-SA"/>
        </w:rPr>
        <w:t xml:space="preserve"> </w:t>
      </w:r>
    </w:p>
    <w:p w14:paraId="147DE31A">
      <w:pPr>
        <w:keepNext w:val="0"/>
        <w:keepLines w:val="0"/>
        <w:pageBreakBefore w:val="0"/>
        <w:kinsoku/>
        <w:wordWrap/>
        <w:overflowPunct/>
        <w:topLinePunct w:val="0"/>
        <w:autoSpaceDE/>
        <w:autoSpaceDN/>
        <w:bidi w:val="0"/>
        <w:adjustRightInd/>
        <w:snapToGrid/>
        <w:spacing w:line="480" w:lineRule="auto"/>
        <w:textAlignment w:val="auto"/>
        <w:rPr>
          <w:rFonts w:hint="default" w:ascii="Times New Roman" w:hAnsi="Times New Roman"/>
          <w:b/>
          <w:bCs/>
          <w:spacing w:val="8"/>
          <w:sz w:val="21"/>
          <w:szCs w:val="21"/>
          <w:lang w:val="en-US" w:eastAsia="zh-CN"/>
        </w:rPr>
      </w:pPr>
      <w:r>
        <w:rPr>
          <w:rFonts w:hint="eastAsia" w:ascii="Times New Roman" w:hAnsi="Times New Roman"/>
          <w:b/>
          <w:bCs/>
          <w:spacing w:val="8"/>
          <w:sz w:val="21"/>
          <w:szCs w:val="21"/>
          <w:lang w:val="en-US" w:eastAsia="zh-CN" w:bidi="ar"/>
        </w:rPr>
        <w:t>N</w:t>
      </w:r>
      <w:r>
        <w:rPr>
          <w:rFonts w:ascii="Times New Roman" w:hAnsi="Times New Roman"/>
          <w:b/>
          <w:bCs/>
          <w:spacing w:val="8"/>
          <w:sz w:val="21"/>
          <w:szCs w:val="21"/>
          <w:lang w:bidi="ar"/>
        </w:rPr>
        <w:t>eoadjuvant</w:t>
      </w:r>
      <w:r>
        <w:rPr>
          <w:rFonts w:hint="eastAsia" w:ascii="Times New Roman" w:hAnsi="Times New Roman"/>
          <w:b/>
          <w:bCs/>
          <w:spacing w:val="8"/>
          <w:sz w:val="21"/>
          <w:szCs w:val="21"/>
          <w:lang w:val="en-US" w:eastAsia="zh-CN" w:bidi="ar"/>
        </w:rPr>
        <w:t xml:space="preserve"> c</w:t>
      </w:r>
      <w:r>
        <w:rPr>
          <w:rFonts w:hint="eastAsia" w:ascii="Times New Roman" w:hAnsi="Times New Roman"/>
          <w:b/>
          <w:bCs/>
          <w:spacing w:val="8"/>
          <w:sz w:val="21"/>
          <w:szCs w:val="21"/>
          <w:lang w:val="en-US" w:eastAsia="zh-CN"/>
        </w:rPr>
        <w:t>onversion therapy protocols</w:t>
      </w:r>
    </w:p>
    <w:p w14:paraId="4C4E3C41">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b/>
          <w:bCs/>
          <w:spacing w:val="8"/>
          <w:sz w:val="21"/>
          <w:szCs w:val="21"/>
        </w:rPr>
      </w:pPr>
      <w:r>
        <w:rPr>
          <w:rFonts w:hint="eastAsia" w:ascii="Times New Roman" w:hAnsi="Times New Roman"/>
          <w:b/>
          <w:bCs/>
          <w:spacing w:val="8"/>
          <w:sz w:val="21"/>
          <w:szCs w:val="21"/>
        </w:rPr>
        <w:t>TACE</w:t>
      </w:r>
    </w:p>
    <w:p w14:paraId="5AEE1C20">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spacing w:val="8"/>
          <w:sz w:val="21"/>
          <w:szCs w:val="21"/>
        </w:rPr>
      </w:pPr>
      <w:r>
        <w:rPr>
          <w:rFonts w:hint="eastAsia" w:ascii="Times New Roman" w:hAnsi="Times New Roman"/>
          <w:spacing w:val="8"/>
          <w:sz w:val="21"/>
          <w:szCs w:val="21"/>
        </w:rPr>
        <w:t>TACE was performed by interventional radiologists with 8 years of relevant experience. With a comprehensive assessment of the hepatic artery blood supply, a catheter was selectively introduced into the segmentary artery supplying the tumor. A mixture of lipiodol (5-30 ml) and chemotherapy drugs was injected. Carboplatin (200-300 mg), cisplatin (10-120 mg), mitomycin C (8 mg), epirubicin (10-50 mg) or oxaliplatin (100-200 mg) were selected as chemotherapy agents according to the actual situation. Subsequently, polyvinyl alcohol particles or gelatine sponge were used to selectively embolized the tumor supplying blood vessels, and vascular embolization was assessed according to angiography.</w:t>
      </w:r>
    </w:p>
    <w:p w14:paraId="290BC0A5">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b/>
          <w:bCs/>
          <w:spacing w:val="8"/>
          <w:sz w:val="21"/>
          <w:szCs w:val="21"/>
        </w:rPr>
      </w:pPr>
      <w:r>
        <w:rPr>
          <w:rFonts w:hint="eastAsia" w:ascii="Times New Roman" w:hAnsi="Times New Roman"/>
          <w:b/>
          <w:bCs/>
          <w:spacing w:val="8"/>
          <w:sz w:val="21"/>
          <w:szCs w:val="21"/>
        </w:rPr>
        <w:t>HAIC</w:t>
      </w:r>
    </w:p>
    <w:p w14:paraId="6551D33C">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spacing w:val="8"/>
          <w:sz w:val="21"/>
          <w:szCs w:val="21"/>
        </w:rPr>
      </w:pPr>
      <w:r>
        <w:rPr>
          <w:rFonts w:hint="eastAsia" w:ascii="Times New Roman" w:hAnsi="Times New Roman"/>
          <w:spacing w:val="8"/>
          <w:sz w:val="21"/>
          <w:szCs w:val="21"/>
        </w:rPr>
        <w:t>HAIC is performed by interventional radiologists or interventional oncologists with more than 8 years of relevant experience using digital subtraction angiography equipment. First, the arterial sheath catheter was inserted into the femoral artery. The 5-Fr Yashiro catheter (Terumo, Tokyo, Japan) was placed in the celiac trunk and the superior mesenteric artery to assess the supplying hepatic artery. A 2.7-fr microcatheter (Terumo, Tokyo, Japan) was inserted into the supplying artery. The peripheral end of the microcatheter was locked with a heparin lock to prevent the catheter from clotting. The exposed part of the catheter was covered with sterile medical gauze and secured to the skin of the thigh with medical tape and bandages. FOLFOX6 was the main chemotherapy regimen, including oxaliplatin (130 mg/m</w:t>
      </w:r>
      <w:r>
        <w:rPr>
          <w:rFonts w:hint="eastAsia" w:ascii="Times New Roman" w:hAnsi="Times New Roman"/>
          <w:spacing w:val="8"/>
          <w:sz w:val="21"/>
          <w:szCs w:val="21"/>
          <w:vertAlign w:val="superscript"/>
        </w:rPr>
        <w:t>2</w:t>
      </w:r>
      <w:r>
        <w:rPr>
          <w:rFonts w:hint="eastAsia" w:ascii="Times New Roman" w:hAnsi="Times New Roman"/>
          <w:spacing w:val="8"/>
          <w:sz w:val="21"/>
          <w:szCs w:val="21"/>
        </w:rPr>
        <w:t xml:space="preserve"> infusion for 3 h on day 1), leucovorin (200 mg/m</w:t>
      </w:r>
      <w:r>
        <w:rPr>
          <w:rFonts w:hint="eastAsia" w:ascii="Times New Roman" w:hAnsi="Times New Roman"/>
          <w:spacing w:val="8"/>
          <w:sz w:val="21"/>
          <w:szCs w:val="21"/>
          <w:vertAlign w:val="superscript"/>
        </w:rPr>
        <w:t>2</w:t>
      </w:r>
      <w:r>
        <w:rPr>
          <w:rFonts w:hint="eastAsia" w:ascii="Times New Roman" w:hAnsi="Times New Roman"/>
          <w:spacing w:val="8"/>
          <w:sz w:val="21"/>
          <w:szCs w:val="21"/>
        </w:rPr>
        <w:t xml:space="preserve"> for 3-5 hours on day 1), and Fluorouracil (400 mg/m</w:t>
      </w:r>
      <w:r>
        <w:rPr>
          <w:rFonts w:hint="eastAsia" w:ascii="Times New Roman" w:hAnsi="Times New Roman"/>
          <w:spacing w:val="8"/>
          <w:sz w:val="21"/>
          <w:szCs w:val="21"/>
          <w:vertAlign w:val="superscript"/>
        </w:rPr>
        <w:t>2</w:t>
      </w:r>
      <w:r>
        <w:rPr>
          <w:rFonts w:hint="eastAsia" w:ascii="Times New Roman" w:hAnsi="Times New Roman"/>
          <w:spacing w:val="8"/>
          <w:sz w:val="21"/>
          <w:szCs w:val="21"/>
        </w:rPr>
        <w:t xml:space="preserve"> in bolus, and then 2400 mg/m</w:t>
      </w:r>
      <w:r>
        <w:rPr>
          <w:rFonts w:hint="eastAsia" w:ascii="Times New Roman" w:hAnsi="Times New Roman"/>
          <w:spacing w:val="8"/>
          <w:sz w:val="21"/>
          <w:szCs w:val="21"/>
          <w:vertAlign w:val="superscript"/>
        </w:rPr>
        <w:t>2</w:t>
      </w:r>
      <w:r>
        <w:rPr>
          <w:rFonts w:hint="eastAsia" w:ascii="Times New Roman" w:hAnsi="Times New Roman"/>
          <w:spacing w:val="8"/>
          <w:sz w:val="21"/>
          <w:szCs w:val="21"/>
        </w:rPr>
        <w:t xml:space="preserve"> continuous infusion 46 h), which were given by hepatic arterial infusion through the micro-catheter.</w:t>
      </w:r>
    </w:p>
    <w:p w14:paraId="31D32061">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b/>
          <w:bCs/>
          <w:spacing w:val="8"/>
          <w:sz w:val="21"/>
          <w:szCs w:val="21"/>
        </w:rPr>
      </w:pPr>
      <w:r>
        <w:rPr>
          <w:rFonts w:hint="eastAsia" w:ascii="Times New Roman" w:hAnsi="Times New Roman"/>
          <w:b/>
          <w:bCs/>
          <w:spacing w:val="8"/>
          <w:sz w:val="21"/>
          <w:szCs w:val="21"/>
        </w:rPr>
        <w:t>TKI and ICI therapy</w:t>
      </w:r>
    </w:p>
    <w:p w14:paraId="711ED90E">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spacing w:val="8"/>
          <w:sz w:val="21"/>
          <w:szCs w:val="21"/>
        </w:rPr>
      </w:pPr>
      <w:r>
        <w:rPr>
          <w:rFonts w:ascii="Times New Roman" w:hAnsi="Times New Roman"/>
          <w:spacing w:val="8"/>
          <w:sz w:val="21"/>
          <w:szCs w:val="21"/>
        </w:rPr>
        <w:t xml:space="preserve">Some patients in </w:t>
      </w:r>
      <w:r>
        <w:rPr>
          <w:rFonts w:hint="eastAsia" w:ascii="Times New Roman" w:hAnsi="Times New Roman"/>
          <w:spacing w:val="8"/>
          <w:sz w:val="21"/>
          <w:szCs w:val="21"/>
        </w:rPr>
        <w:t>this</w:t>
      </w:r>
      <w:r>
        <w:rPr>
          <w:rFonts w:ascii="Times New Roman" w:hAnsi="Times New Roman"/>
          <w:spacing w:val="8"/>
          <w:sz w:val="21"/>
          <w:szCs w:val="21"/>
        </w:rPr>
        <w:t xml:space="preserve"> study received a variety of TKI</w:t>
      </w:r>
      <w:r>
        <w:rPr>
          <w:rFonts w:hint="eastAsia" w:ascii="Times New Roman" w:hAnsi="Times New Roman"/>
          <w:spacing w:val="8"/>
          <w:sz w:val="21"/>
          <w:szCs w:val="21"/>
        </w:rPr>
        <w:t>s</w:t>
      </w:r>
      <w:r>
        <w:rPr>
          <w:rFonts w:ascii="Times New Roman" w:hAnsi="Times New Roman"/>
          <w:spacing w:val="8"/>
          <w:sz w:val="21"/>
          <w:szCs w:val="21"/>
        </w:rPr>
        <w:t>, including lenvatinib</w:t>
      </w:r>
      <w:r>
        <w:rPr>
          <w:rFonts w:hint="eastAsia" w:ascii="Times New Roman" w:hAnsi="Times New Roman"/>
          <w:spacing w:val="8"/>
          <w:sz w:val="21"/>
          <w:szCs w:val="21"/>
        </w:rPr>
        <w:t xml:space="preserve"> </w:t>
      </w:r>
      <w:r>
        <w:rPr>
          <w:rFonts w:ascii="Times New Roman" w:hAnsi="Times New Roman"/>
          <w:spacing w:val="8"/>
          <w:sz w:val="21"/>
          <w:szCs w:val="21"/>
        </w:rPr>
        <w:t>(8 mg</w:t>
      </w:r>
      <w:r>
        <w:rPr>
          <w:rFonts w:hint="eastAsia" w:ascii="Times New Roman" w:hAnsi="Times New Roman"/>
          <w:spacing w:val="8"/>
          <w:sz w:val="21"/>
          <w:szCs w:val="21"/>
        </w:rPr>
        <w:t>/</w:t>
      </w:r>
      <w:r>
        <w:rPr>
          <w:rFonts w:ascii="Times New Roman" w:hAnsi="Times New Roman"/>
          <w:spacing w:val="8"/>
          <w:sz w:val="21"/>
          <w:szCs w:val="21"/>
        </w:rPr>
        <w:t xml:space="preserve">day) and sorafenib (800 mg/day). The anti-PD-1 antibodies used in this study included </w:t>
      </w:r>
      <w:r>
        <w:rPr>
          <w:rFonts w:hint="eastAsia" w:ascii="Times New Roman" w:hAnsi="Times New Roman"/>
          <w:spacing w:val="8"/>
          <w:sz w:val="21"/>
          <w:szCs w:val="21"/>
        </w:rPr>
        <w:t>t</w:t>
      </w:r>
      <w:r>
        <w:rPr>
          <w:rFonts w:ascii="Times New Roman" w:hAnsi="Times New Roman"/>
          <w:spacing w:val="8"/>
          <w:sz w:val="21"/>
          <w:szCs w:val="21"/>
        </w:rPr>
        <w:t>islelizumab (200</w:t>
      </w:r>
      <w:r>
        <w:rPr>
          <w:rFonts w:hint="eastAsia" w:ascii="Times New Roman" w:hAnsi="Times New Roman"/>
          <w:spacing w:val="8"/>
          <w:sz w:val="21"/>
          <w:szCs w:val="21"/>
        </w:rPr>
        <w:t xml:space="preserve"> </w:t>
      </w:r>
      <w:r>
        <w:rPr>
          <w:rFonts w:ascii="Times New Roman" w:hAnsi="Times New Roman"/>
          <w:spacing w:val="8"/>
          <w:sz w:val="21"/>
          <w:szCs w:val="21"/>
        </w:rPr>
        <w:t>mg Q3</w:t>
      </w:r>
      <w:r>
        <w:rPr>
          <w:rFonts w:hint="eastAsia" w:ascii="Times New Roman" w:hAnsi="Times New Roman"/>
          <w:spacing w:val="8"/>
          <w:sz w:val="21"/>
          <w:szCs w:val="21"/>
        </w:rPr>
        <w:t>w</w:t>
      </w:r>
      <w:r>
        <w:rPr>
          <w:rFonts w:ascii="Times New Roman" w:hAnsi="Times New Roman"/>
          <w:spacing w:val="8"/>
          <w:sz w:val="21"/>
          <w:szCs w:val="21"/>
        </w:rPr>
        <w:t>), pembrolizumab</w:t>
      </w:r>
      <w:r>
        <w:rPr>
          <w:rFonts w:hint="eastAsia" w:ascii="Times New Roman" w:hAnsi="Times New Roman"/>
          <w:spacing w:val="8"/>
          <w:sz w:val="21"/>
          <w:szCs w:val="21"/>
        </w:rPr>
        <w:t xml:space="preserve"> </w:t>
      </w:r>
      <w:r>
        <w:rPr>
          <w:rFonts w:ascii="Times New Roman" w:hAnsi="Times New Roman"/>
          <w:spacing w:val="8"/>
          <w:sz w:val="21"/>
          <w:szCs w:val="21"/>
        </w:rPr>
        <w:t>(200</w:t>
      </w:r>
      <w:r>
        <w:rPr>
          <w:rFonts w:hint="eastAsia" w:ascii="Times New Roman" w:hAnsi="Times New Roman"/>
          <w:spacing w:val="8"/>
          <w:sz w:val="21"/>
          <w:szCs w:val="21"/>
        </w:rPr>
        <w:t xml:space="preserve"> m</w:t>
      </w:r>
      <w:r>
        <w:rPr>
          <w:rFonts w:ascii="Times New Roman" w:hAnsi="Times New Roman"/>
          <w:spacing w:val="8"/>
          <w:sz w:val="21"/>
          <w:szCs w:val="21"/>
        </w:rPr>
        <w:t>g Q3w), camrelizumab</w:t>
      </w:r>
      <w:r>
        <w:rPr>
          <w:rFonts w:hint="eastAsia" w:ascii="Times New Roman" w:hAnsi="Times New Roman"/>
          <w:spacing w:val="8"/>
          <w:sz w:val="21"/>
          <w:szCs w:val="21"/>
        </w:rPr>
        <w:t xml:space="preserve"> </w:t>
      </w:r>
      <w:r>
        <w:rPr>
          <w:rFonts w:ascii="Times New Roman" w:hAnsi="Times New Roman"/>
          <w:spacing w:val="8"/>
          <w:sz w:val="21"/>
          <w:szCs w:val="21"/>
        </w:rPr>
        <w:t>(200</w:t>
      </w:r>
      <w:r>
        <w:rPr>
          <w:rFonts w:hint="eastAsia" w:ascii="Times New Roman" w:hAnsi="Times New Roman"/>
          <w:spacing w:val="8"/>
          <w:sz w:val="21"/>
          <w:szCs w:val="21"/>
        </w:rPr>
        <w:t xml:space="preserve"> m</w:t>
      </w:r>
      <w:r>
        <w:rPr>
          <w:rFonts w:ascii="Times New Roman" w:hAnsi="Times New Roman"/>
          <w:spacing w:val="8"/>
          <w:sz w:val="21"/>
          <w:szCs w:val="21"/>
        </w:rPr>
        <w:t>g Q2w), and toripalimab</w:t>
      </w:r>
      <w:r>
        <w:rPr>
          <w:rFonts w:hint="eastAsia" w:ascii="Times New Roman" w:hAnsi="Times New Roman"/>
          <w:spacing w:val="8"/>
          <w:sz w:val="21"/>
          <w:szCs w:val="21"/>
        </w:rPr>
        <w:t xml:space="preserve"> </w:t>
      </w:r>
      <w:r>
        <w:rPr>
          <w:rFonts w:ascii="Times New Roman" w:hAnsi="Times New Roman"/>
          <w:spacing w:val="8"/>
          <w:sz w:val="21"/>
          <w:szCs w:val="21"/>
        </w:rPr>
        <w:t>(240</w:t>
      </w:r>
      <w:r>
        <w:rPr>
          <w:rFonts w:hint="eastAsia" w:ascii="Times New Roman" w:hAnsi="Times New Roman"/>
          <w:spacing w:val="8"/>
          <w:sz w:val="21"/>
          <w:szCs w:val="21"/>
        </w:rPr>
        <w:t xml:space="preserve"> m</w:t>
      </w:r>
      <w:r>
        <w:rPr>
          <w:rFonts w:ascii="Times New Roman" w:hAnsi="Times New Roman"/>
          <w:spacing w:val="8"/>
          <w:sz w:val="21"/>
          <w:szCs w:val="21"/>
        </w:rPr>
        <w:t>g Q3w). lenvatinib is the preferred TKI</w:t>
      </w:r>
      <w:r>
        <w:rPr>
          <w:rFonts w:hint="eastAsia" w:ascii="Times New Roman" w:hAnsi="Times New Roman"/>
          <w:spacing w:val="8"/>
          <w:sz w:val="21"/>
          <w:szCs w:val="21"/>
        </w:rPr>
        <w:t>.</w:t>
      </w:r>
      <w:r>
        <w:rPr>
          <w:rFonts w:ascii="Times New Roman" w:hAnsi="Times New Roman"/>
          <w:spacing w:val="8"/>
          <w:sz w:val="21"/>
          <w:szCs w:val="21"/>
        </w:rPr>
        <w:t xml:space="preserve"> Anti-</w:t>
      </w:r>
      <w:r>
        <w:rPr>
          <w:rFonts w:hint="eastAsia" w:ascii="Times New Roman" w:hAnsi="Times New Roman"/>
          <w:spacing w:val="8"/>
          <w:sz w:val="21"/>
          <w:szCs w:val="21"/>
        </w:rPr>
        <w:t>PD</w:t>
      </w:r>
      <w:r>
        <w:rPr>
          <w:rFonts w:ascii="Times New Roman" w:hAnsi="Times New Roman"/>
          <w:spacing w:val="8"/>
          <w:sz w:val="21"/>
          <w:szCs w:val="21"/>
        </w:rPr>
        <w:t xml:space="preserve">-1 antibody selection </w:t>
      </w:r>
      <w:r>
        <w:rPr>
          <w:rFonts w:hint="eastAsia" w:ascii="Times New Roman" w:hAnsi="Times New Roman"/>
          <w:spacing w:val="8"/>
          <w:sz w:val="21"/>
          <w:szCs w:val="21"/>
        </w:rPr>
        <w:t>was</w:t>
      </w:r>
      <w:r>
        <w:rPr>
          <w:rFonts w:ascii="Times New Roman" w:hAnsi="Times New Roman"/>
          <w:spacing w:val="8"/>
          <w:sz w:val="21"/>
          <w:szCs w:val="21"/>
        </w:rPr>
        <w:t xml:space="preserve"> based on factors such as drug efficacy, safety data, treatment cycle, economic cost, and individual patient choice. The most commonly used </w:t>
      </w:r>
      <w:r>
        <w:rPr>
          <w:rFonts w:hint="eastAsia" w:ascii="Times New Roman" w:hAnsi="Times New Roman"/>
          <w:spacing w:val="8"/>
          <w:sz w:val="21"/>
          <w:szCs w:val="21"/>
        </w:rPr>
        <w:t>was</w:t>
      </w:r>
      <w:r>
        <w:rPr>
          <w:rFonts w:ascii="Times New Roman" w:hAnsi="Times New Roman"/>
          <w:spacing w:val="8"/>
          <w:sz w:val="21"/>
          <w:szCs w:val="21"/>
        </w:rPr>
        <w:t xml:space="preserve"> Tislelizumab.</w:t>
      </w:r>
      <w:r>
        <w:rPr>
          <w:rFonts w:hint="eastAsia" w:ascii="Times New Roman" w:hAnsi="Times New Roman"/>
          <w:spacing w:val="8"/>
          <w:sz w:val="21"/>
          <w:szCs w:val="21"/>
        </w:rPr>
        <w:t xml:space="preserve"> </w:t>
      </w:r>
      <w:r>
        <w:rPr>
          <w:rFonts w:ascii="Times New Roman" w:hAnsi="Times New Roman"/>
          <w:spacing w:val="8"/>
          <w:sz w:val="21"/>
          <w:szCs w:val="21"/>
        </w:rPr>
        <w:t xml:space="preserve">In order to manage adverse events during treatment, it </w:t>
      </w:r>
      <w:r>
        <w:rPr>
          <w:rFonts w:hint="eastAsia" w:ascii="Times New Roman" w:hAnsi="Times New Roman"/>
          <w:spacing w:val="8"/>
          <w:sz w:val="21"/>
          <w:szCs w:val="21"/>
        </w:rPr>
        <w:t>was</w:t>
      </w:r>
      <w:r>
        <w:rPr>
          <w:rFonts w:ascii="Times New Roman" w:hAnsi="Times New Roman"/>
          <w:spacing w:val="8"/>
          <w:sz w:val="21"/>
          <w:szCs w:val="21"/>
        </w:rPr>
        <w:t xml:space="preserve"> permissible to modify the dose or discontinue use of the drug. For patients with hepatitis B virus infection, antiviral drugs </w:t>
      </w:r>
      <w:r>
        <w:rPr>
          <w:rFonts w:hint="eastAsia" w:ascii="Times New Roman" w:hAnsi="Times New Roman"/>
          <w:spacing w:val="8"/>
          <w:sz w:val="21"/>
          <w:szCs w:val="21"/>
        </w:rPr>
        <w:t>were</w:t>
      </w:r>
      <w:r>
        <w:rPr>
          <w:rFonts w:ascii="Times New Roman" w:hAnsi="Times New Roman"/>
          <w:spacing w:val="8"/>
          <w:sz w:val="21"/>
          <w:szCs w:val="21"/>
        </w:rPr>
        <w:t xml:space="preserve"> used continuously throughout the course of anti-cancer treatment. Systemic therapy </w:t>
      </w:r>
      <w:r>
        <w:rPr>
          <w:rFonts w:hint="eastAsia" w:ascii="Times New Roman" w:hAnsi="Times New Roman"/>
          <w:spacing w:val="8"/>
          <w:sz w:val="21"/>
          <w:szCs w:val="21"/>
        </w:rPr>
        <w:t>was</w:t>
      </w:r>
      <w:r>
        <w:rPr>
          <w:rFonts w:ascii="Times New Roman" w:hAnsi="Times New Roman"/>
          <w:spacing w:val="8"/>
          <w:sz w:val="21"/>
          <w:szCs w:val="21"/>
        </w:rPr>
        <w:t xml:space="preserve"> interrupted in the presence of tumor progression, unacceptable toxicity</w:t>
      </w:r>
      <w:r>
        <w:rPr>
          <w:rFonts w:hint="eastAsia" w:ascii="Times New Roman" w:hAnsi="Times New Roman"/>
          <w:spacing w:val="8"/>
          <w:sz w:val="21"/>
          <w:szCs w:val="21"/>
        </w:rPr>
        <w:t xml:space="preserve"> </w:t>
      </w:r>
      <w:r>
        <w:rPr>
          <w:rFonts w:ascii="Times New Roman" w:hAnsi="Times New Roman"/>
          <w:spacing w:val="8"/>
          <w:sz w:val="21"/>
          <w:szCs w:val="21"/>
        </w:rPr>
        <w:t>or</w:t>
      </w:r>
      <w:r>
        <w:rPr>
          <w:rFonts w:hint="eastAsia" w:ascii="Times New Roman" w:hAnsi="Times New Roman"/>
          <w:spacing w:val="8"/>
          <w:sz w:val="21"/>
          <w:szCs w:val="21"/>
        </w:rPr>
        <w:t xml:space="preserve"> </w:t>
      </w:r>
      <w:r>
        <w:rPr>
          <w:rFonts w:ascii="Times New Roman" w:hAnsi="Times New Roman"/>
          <w:spacing w:val="8"/>
          <w:sz w:val="21"/>
          <w:szCs w:val="21"/>
        </w:rPr>
        <w:t>hepatectomy.</w:t>
      </w:r>
    </w:p>
    <w:p w14:paraId="5DE4A278">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b/>
          <w:bCs/>
          <w:spacing w:val="8"/>
          <w:sz w:val="21"/>
          <w:szCs w:val="21"/>
        </w:rPr>
      </w:pPr>
      <w:r>
        <w:rPr>
          <w:rFonts w:ascii="Times New Roman" w:hAnsi="Times New Roman"/>
          <w:b/>
          <w:bCs/>
          <w:spacing w:val="8"/>
          <w:sz w:val="21"/>
          <w:szCs w:val="21"/>
        </w:rPr>
        <w:t xml:space="preserve">Indication and </w:t>
      </w:r>
      <w:r>
        <w:rPr>
          <w:rFonts w:hint="eastAsia" w:ascii="Times New Roman" w:hAnsi="Times New Roman"/>
          <w:b/>
          <w:bCs/>
          <w:spacing w:val="8"/>
          <w:sz w:val="21"/>
          <w:szCs w:val="21"/>
        </w:rPr>
        <w:t>p</w:t>
      </w:r>
      <w:r>
        <w:rPr>
          <w:rFonts w:ascii="Times New Roman" w:hAnsi="Times New Roman"/>
          <w:b/>
          <w:bCs/>
          <w:spacing w:val="8"/>
          <w:sz w:val="21"/>
          <w:szCs w:val="21"/>
        </w:rPr>
        <w:t xml:space="preserve">rocedures of </w:t>
      </w:r>
      <w:r>
        <w:rPr>
          <w:rFonts w:hint="eastAsia" w:ascii="Times New Roman" w:hAnsi="Times New Roman"/>
          <w:b/>
          <w:bCs/>
          <w:spacing w:val="8"/>
          <w:sz w:val="21"/>
          <w:szCs w:val="21"/>
        </w:rPr>
        <w:t>h</w:t>
      </w:r>
      <w:r>
        <w:rPr>
          <w:rFonts w:ascii="Times New Roman" w:hAnsi="Times New Roman"/>
          <w:b/>
          <w:bCs/>
          <w:spacing w:val="8"/>
          <w:sz w:val="21"/>
          <w:szCs w:val="21"/>
        </w:rPr>
        <w:t>epatectomy</w:t>
      </w:r>
    </w:p>
    <w:p w14:paraId="3BE89C45">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ascii="Times New Roman" w:hAnsi="Times New Roman"/>
          <w:spacing w:val="8"/>
          <w:sz w:val="21"/>
          <w:szCs w:val="21"/>
        </w:rPr>
      </w:pPr>
      <w:r>
        <w:rPr>
          <w:rFonts w:ascii="Times New Roman" w:hAnsi="Times New Roman"/>
          <w:spacing w:val="8"/>
          <w:sz w:val="21"/>
          <w:szCs w:val="21"/>
        </w:rPr>
        <w:t xml:space="preserve">The criteria for evaluating feasible hepatectomy after conversion therapy </w:t>
      </w:r>
      <w:r>
        <w:rPr>
          <w:rFonts w:hint="eastAsia" w:ascii="Times New Roman" w:hAnsi="Times New Roman"/>
          <w:spacing w:val="8"/>
          <w:sz w:val="21"/>
          <w:szCs w:val="21"/>
        </w:rPr>
        <w:t>were</w:t>
      </w:r>
      <w:r>
        <w:rPr>
          <w:rFonts w:ascii="Times New Roman" w:hAnsi="Times New Roman"/>
          <w:spacing w:val="8"/>
          <w:sz w:val="21"/>
          <w:szCs w:val="21"/>
        </w:rPr>
        <w:t xml:space="preserve"> as follow</w:t>
      </w:r>
      <w:r>
        <w:rPr>
          <w:rFonts w:hint="eastAsia" w:ascii="Times New Roman" w:hAnsi="Times New Roman"/>
          <w:spacing w:val="8"/>
          <w:sz w:val="21"/>
          <w:szCs w:val="21"/>
        </w:rPr>
        <w:t xml:space="preserve">: </w:t>
      </w:r>
      <w:r>
        <w:rPr>
          <w:rFonts w:ascii="Times New Roman" w:hAnsi="Times New Roman"/>
          <w:spacing w:val="8"/>
          <w:sz w:val="21"/>
          <w:szCs w:val="21"/>
        </w:rPr>
        <w:t>(1) Intrahepatic tumor lesions lasting at least 2 months were evaluated as partial response (PR) or stable</w:t>
      </w:r>
      <w:r>
        <w:rPr>
          <w:rFonts w:hint="eastAsia" w:ascii="Times New Roman" w:hAnsi="Times New Roman"/>
          <w:spacing w:val="8"/>
          <w:sz w:val="21"/>
          <w:szCs w:val="21"/>
        </w:rPr>
        <w:t xml:space="preserve"> disease </w:t>
      </w:r>
      <w:r>
        <w:rPr>
          <w:rFonts w:ascii="Times New Roman" w:hAnsi="Times New Roman"/>
          <w:spacing w:val="8"/>
          <w:sz w:val="21"/>
          <w:szCs w:val="21"/>
        </w:rPr>
        <w:t xml:space="preserve">(SD). (2) Technically resectable extra-hepatic lesions and thrombus. (3) Residual liver volume after R0 resection </w:t>
      </w:r>
      <w:r>
        <w:rPr>
          <w:rFonts w:hint="eastAsia" w:ascii="Times New Roman" w:hAnsi="Times New Roman"/>
          <w:spacing w:val="8"/>
          <w:sz w:val="21"/>
          <w:szCs w:val="21"/>
        </w:rPr>
        <w:t>wa</w:t>
      </w:r>
      <w:r>
        <w:rPr>
          <w:rFonts w:ascii="Times New Roman" w:hAnsi="Times New Roman"/>
          <w:spacing w:val="8"/>
          <w:sz w:val="21"/>
          <w:szCs w:val="21"/>
        </w:rPr>
        <w:t xml:space="preserve">s sufficient (residual liver volume ≥ 40% of standard liver volume in patients with cirrhosis and ≥ 30% of standard liver volume in patients without </w:t>
      </w:r>
      <w:r>
        <w:rPr>
          <w:rFonts w:hint="eastAsia" w:ascii="Times New Roman" w:hAnsi="Times New Roman"/>
          <w:spacing w:val="8"/>
          <w:sz w:val="21"/>
          <w:szCs w:val="21"/>
        </w:rPr>
        <w:t xml:space="preserve">liver </w:t>
      </w:r>
      <w:r>
        <w:rPr>
          <w:rFonts w:ascii="Times New Roman" w:hAnsi="Times New Roman"/>
          <w:spacing w:val="8"/>
          <w:sz w:val="21"/>
          <w:szCs w:val="21"/>
        </w:rPr>
        <w:t>cirrhosis).(4) No serious adverse events occurred during conversion therapy. (5) No contraindications for hepatectomy.</w:t>
      </w:r>
    </w:p>
    <w:p w14:paraId="794BA775">
      <w:pPr>
        <w:pStyle w:val="6"/>
        <w:keepNext w:val="0"/>
        <w:keepLines w:val="0"/>
        <w:pageBreakBefore w:val="0"/>
        <w:widowControl/>
        <w:kinsoku/>
        <w:wordWrap/>
        <w:overflowPunct/>
        <w:topLinePunct w:val="0"/>
        <w:autoSpaceDE/>
        <w:autoSpaceDN/>
        <w:bidi w:val="0"/>
        <w:adjustRightInd/>
        <w:snapToGrid/>
        <w:spacing w:beforeAutospacing="0" w:afterAutospacing="0" w:line="480" w:lineRule="auto"/>
        <w:ind w:firstLine="452" w:firstLineChars="200"/>
        <w:jc w:val="both"/>
        <w:textAlignment w:val="auto"/>
        <w:rPr>
          <w:rFonts w:ascii="Times New Roman" w:hAnsi="Times New Roman"/>
          <w:spacing w:val="8"/>
          <w:sz w:val="21"/>
          <w:szCs w:val="21"/>
        </w:rPr>
      </w:pPr>
      <w:r>
        <w:rPr>
          <w:rFonts w:ascii="Times New Roman" w:hAnsi="Times New Roman"/>
          <w:spacing w:val="8"/>
          <w:sz w:val="21"/>
          <w:szCs w:val="21"/>
        </w:rPr>
        <w:t xml:space="preserve">TKIs should be discontinued for at least 1 week and anti-PD-1 antibodies should be discontinued for at least 3 weeks before hepatectomy. At </w:t>
      </w:r>
      <w:r>
        <w:rPr>
          <w:rFonts w:hint="eastAsia" w:ascii="Times New Roman" w:hAnsi="Times New Roman"/>
          <w:spacing w:val="8"/>
          <w:sz w:val="21"/>
          <w:szCs w:val="21"/>
        </w:rPr>
        <w:t>4 weeks</w:t>
      </w:r>
      <w:r>
        <w:rPr>
          <w:rFonts w:ascii="Times New Roman" w:hAnsi="Times New Roman"/>
          <w:spacing w:val="8"/>
          <w:sz w:val="21"/>
          <w:szCs w:val="21"/>
        </w:rPr>
        <w:t xml:space="preserve"> after surgery, TKI</w:t>
      </w:r>
      <w:r>
        <w:rPr>
          <w:rFonts w:hint="eastAsia" w:ascii="Times New Roman" w:hAnsi="Times New Roman"/>
          <w:spacing w:val="8"/>
          <w:sz w:val="21"/>
          <w:szCs w:val="21"/>
        </w:rPr>
        <w:t>s</w:t>
      </w:r>
      <w:r>
        <w:rPr>
          <w:rFonts w:ascii="Times New Roman" w:hAnsi="Times New Roman"/>
          <w:spacing w:val="8"/>
          <w:sz w:val="21"/>
          <w:szCs w:val="21"/>
        </w:rPr>
        <w:t xml:space="preserve"> and anti-PD-1 antibodies continued to be used according to the preoperative protocol. Radiological evaluation w</w:t>
      </w:r>
      <w:r>
        <w:rPr>
          <w:rFonts w:hint="eastAsia" w:ascii="Times New Roman" w:hAnsi="Times New Roman"/>
          <w:spacing w:val="8"/>
          <w:sz w:val="21"/>
          <w:szCs w:val="21"/>
        </w:rPr>
        <w:t>as</w:t>
      </w:r>
      <w:r>
        <w:rPr>
          <w:rFonts w:ascii="Times New Roman" w:hAnsi="Times New Roman"/>
          <w:spacing w:val="8"/>
          <w:sz w:val="21"/>
          <w:szCs w:val="21"/>
        </w:rPr>
        <w:t xml:space="preserve"> performed every 2 months in the first year</w:t>
      </w:r>
      <w:r>
        <w:rPr>
          <w:rFonts w:hint="eastAsia" w:ascii="Times New Roman" w:hAnsi="Times New Roman"/>
          <w:spacing w:val="8"/>
          <w:sz w:val="21"/>
          <w:szCs w:val="21"/>
        </w:rPr>
        <w:t xml:space="preserve"> after </w:t>
      </w:r>
      <w:r>
        <w:rPr>
          <w:rFonts w:ascii="Times New Roman" w:hAnsi="Times New Roman"/>
          <w:spacing w:val="8"/>
          <w:sz w:val="21"/>
          <w:szCs w:val="21"/>
        </w:rPr>
        <w:t>hepatectomy</w:t>
      </w:r>
      <w:r>
        <w:rPr>
          <w:rFonts w:hint="eastAsia" w:ascii="Times New Roman" w:hAnsi="Times New Roman"/>
          <w:spacing w:val="8"/>
          <w:sz w:val="21"/>
          <w:szCs w:val="21"/>
        </w:rPr>
        <w:t xml:space="preserve"> </w:t>
      </w:r>
      <w:r>
        <w:rPr>
          <w:rFonts w:ascii="Times New Roman" w:hAnsi="Times New Roman"/>
          <w:spacing w:val="8"/>
          <w:sz w:val="21"/>
          <w:szCs w:val="21"/>
        </w:rPr>
        <w:t xml:space="preserve"> and every 3-4 months in the second year. If no evidence of tumor recurrence </w:t>
      </w:r>
      <w:r>
        <w:rPr>
          <w:rFonts w:hint="eastAsia" w:ascii="Times New Roman" w:hAnsi="Times New Roman"/>
          <w:spacing w:val="8"/>
          <w:sz w:val="21"/>
          <w:szCs w:val="21"/>
        </w:rPr>
        <w:t>was</w:t>
      </w:r>
      <w:r>
        <w:rPr>
          <w:rFonts w:ascii="Times New Roman" w:hAnsi="Times New Roman"/>
          <w:spacing w:val="8"/>
          <w:sz w:val="21"/>
          <w:szCs w:val="21"/>
        </w:rPr>
        <w:t xml:space="preserve"> found, TKIs or anti-PD-1 antibodies </w:t>
      </w:r>
      <w:r>
        <w:rPr>
          <w:rFonts w:hint="eastAsia" w:ascii="Times New Roman" w:hAnsi="Times New Roman"/>
          <w:spacing w:val="8"/>
          <w:sz w:val="21"/>
          <w:szCs w:val="21"/>
        </w:rPr>
        <w:t>were</w:t>
      </w:r>
      <w:r>
        <w:rPr>
          <w:rFonts w:ascii="Times New Roman" w:hAnsi="Times New Roman"/>
          <w:spacing w:val="8"/>
          <w:sz w:val="21"/>
          <w:szCs w:val="21"/>
        </w:rPr>
        <w:t xml:space="preserve"> discontinued about 10 months after surgery. When tumor recurrence was diagnosed, according to the actual situation to develop follow-up treatment plan.</w:t>
      </w:r>
    </w:p>
    <w:p w14:paraId="3AA0A6AD">
      <w:pPr>
        <w:widowControl/>
        <w:jc w:val="left"/>
        <w:rPr>
          <w:rFonts w:hint="default" w:ascii="Times New Roman" w:hAnsi="Times New Roman" w:cs="Times New Roman"/>
          <w:color w:val="000000"/>
          <w:szCs w:val="21"/>
          <w:lang w:val="en-US" w:eastAsia="zh-CN"/>
        </w:rPr>
      </w:pPr>
    </w:p>
    <w:p w14:paraId="46717257">
      <w:pPr>
        <w:widowControl/>
        <w:jc w:val="left"/>
        <w:rPr>
          <w:rFonts w:hint="default" w:ascii="Times New Roman" w:hAnsi="Times New Roman" w:cs="Times New Roman"/>
          <w:color w:val="000000"/>
          <w:szCs w:val="21"/>
          <w:lang w:val="en-US" w:eastAsia="zh-CN"/>
        </w:rPr>
      </w:pPr>
    </w:p>
    <w:p w14:paraId="12A08346">
      <w:pPr>
        <w:widowControl/>
        <w:jc w:val="left"/>
        <w:rPr>
          <w:rFonts w:hint="default" w:ascii="Times New Roman" w:hAnsi="Times New Roman" w:cs="Times New Roman"/>
          <w:color w:val="000000"/>
          <w:szCs w:val="21"/>
          <w:lang w:val="en-US" w:eastAsia="zh-CN"/>
        </w:rPr>
      </w:pPr>
    </w:p>
    <w:p w14:paraId="2E07217F">
      <w:pPr>
        <w:widowControl/>
        <w:jc w:val="left"/>
        <w:rPr>
          <w:rFonts w:hint="default" w:ascii="Times New Roman" w:hAnsi="Times New Roman" w:cs="Times New Roman"/>
          <w:color w:val="000000"/>
          <w:szCs w:val="21"/>
          <w:lang w:val="en-US" w:eastAsia="zh-CN"/>
        </w:rPr>
      </w:pPr>
    </w:p>
    <w:p w14:paraId="47968E90">
      <w:pPr>
        <w:widowControl/>
        <w:jc w:val="left"/>
        <w:rPr>
          <w:rFonts w:hint="default" w:ascii="Times New Roman" w:hAnsi="Times New Roman" w:cs="Times New Roman"/>
          <w:color w:val="000000"/>
          <w:szCs w:val="21"/>
          <w:lang w:val="en-US" w:eastAsia="zh-CN"/>
        </w:rPr>
      </w:pPr>
    </w:p>
    <w:p w14:paraId="358A311B">
      <w:pPr>
        <w:widowControl/>
        <w:jc w:val="left"/>
        <w:rPr>
          <w:rFonts w:hint="default" w:ascii="Times New Roman" w:hAnsi="Times New Roman" w:cs="Times New Roman"/>
          <w:color w:val="000000"/>
          <w:szCs w:val="21"/>
          <w:lang w:val="en-US" w:eastAsia="zh-CN"/>
        </w:rPr>
      </w:pPr>
    </w:p>
    <w:p w14:paraId="2770E46F">
      <w:pPr>
        <w:widowControl/>
        <w:jc w:val="left"/>
        <w:rPr>
          <w:rFonts w:hint="default" w:ascii="Times New Roman" w:hAnsi="Times New Roman" w:cs="Times New Roman"/>
          <w:color w:val="000000"/>
          <w:szCs w:val="21"/>
          <w:lang w:val="en-US" w:eastAsia="zh-CN"/>
        </w:rPr>
      </w:pPr>
    </w:p>
    <w:p w14:paraId="117694EB">
      <w:pPr>
        <w:widowControl/>
        <w:jc w:val="left"/>
        <w:rPr>
          <w:rFonts w:hint="default" w:ascii="Times New Roman" w:hAnsi="Times New Roman" w:cs="Times New Roman"/>
          <w:color w:val="000000"/>
          <w:szCs w:val="21"/>
          <w:lang w:val="en-US" w:eastAsia="zh-CN"/>
        </w:rPr>
      </w:pPr>
    </w:p>
    <w:p w14:paraId="69127995">
      <w:pPr>
        <w:widowControl/>
        <w:jc w:val="left"/>
        <w:rPr>
          <w:rFonts w:hint="default" w:ascii="Times New Roman" w:hAnsi="Times New Roman" w:cs="Times New Roman"/>
          <w:color w:val="000000"/>
          <w:szCs w:val="21"/>
          <w:lang w:val="en-US" w:eastAsia="zh-CN"/>
        </w:rPr>
      </w:pPr>
    </w:p>
    <w:p w14:paraId="55516018">
      <w:pPr>
        <w:widowControl/>
        <w:jc w:val="left"/>
        <w:rPr>
          <w:rFonts w:hint="default" w:ascii="Times New Roman" w:hAnsi="Times New Roman" w:cs="Times New Roman"/>
          <w:color w:val="000000"/>
          <w:szCs w:val="21"/>
          <w:lang w:val="en-US" w:eastAsia="zh-CN"/>
        </w:rPr>
      </w:pPr>
    </w:p>
    <w:p w14:paraId="55FDAF77">
      <w:pPr>
        <w:widowControl/>
        <w:jc w:val="left"/>
        <w:rPr>
          <w:rFonts w:hint="default" w:ascii="Times New Roman" w:hAnsi="Times New Roman" w:cs="Times New Roman"/>
          <w:color w:val="000000"/>
          <w:szCs w:val="21"/>
          <w:lang w:val="en-US" w:eastAsia="zh-CN"/>
        </w:rPr>
      </w:pPr>
    </w:p>
    <w:p w14:paraId="2D89C044">
      <w:pPr>
        <w:rPr>
          <w:b/>
          <w:bCs/>
          <w:sz w:val="22"/>
          <w:szCs w:val="22"/>
          <w:lang w:val="en-US"/>
        </w:rPr>
      </w:pPr>
    </w:p>
    <w:sectPr>
      <w:headerReference r:id="rId4" w:type="first"/>
      <w:footerReference r:id="rId7" w:type="first"/>
      <w:footerReference r:id="rId5" w:type="default"/>
      <w:headerReference r:id="rId3" w:type="even"/>
      <w:footerReference r:id="rId6" w:type="even"/>
      <w:pgSz w:w="11906" w:h="16838"/>
      <w:pgMar w:top="1440" w:right="1440" w:bottom="1440" w:left="101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966BB">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1"/>
      </w:rPr>
      <w:id w:val="-1290267783"/>
      <w:docPartObj>
        <w:docPartGallery w:val="autotext"/>
      </w:docPartObj>
    </w:sdtPr>
    <w:sdtEndPr>
      <w:rPr>
        <w:rStyle w:val="11"/>
      </w:rPr>
    </w:sdtEndPr>
    <w:sdtContent>
      <w:p w14:paraId="3B43B1FD">
        <w:pPr>
          <w:pStyle w:val="4"/>
          <w:framePr w:wrap="auto" w:vAnchor="text" w:hAnchor="margin" w:xAlign="right" w:y="1"/>
          <w:rPr>
            <w:rStyle w:val="11"/>
          </w:rPr>
        </w:pPr>
        <w:r>
          <w:rPr>
            <w:rStyle w:val="11"/>
          </w:rPr>
          <w:fldChar w:fldCharType="begin"/>
        </w:r>
        <w:r>
          <w:rPr>
            <w:rStyle w:val="11"/>
          </w:rPr>
          <w:instrText xml:space="preserve"> PAGE </w:instrText>
        </w:r>
        <w:r>
          <w:rPr>
            <w:rStyle w:val="11"/>
          </w:rPr>
          <w:fldChar w:fldCharType="end"/>
        </w:r>
      </w:p>
    </w:sdtContent>
  </w:sdt>
  <w:p w14:paraId="03ABFC2B">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45270">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EFE18">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BF8D3">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cumentProtection w:enforcement="0"/>
  <w:defaultTabStop w:val="720"/>
  <w:hyphenationZone w:val="28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2YWM3MzZlY2VlODQ0OTQwNDc1N2I4OThmYjcwYjgifQ=="/>
  </w:docVars>
  <w:rsids>
    <w:rsidRoot w:val="00715470"/>
    <w:rsid w:val="00014489"/>
    <w:rsid w:val="00083A4A"/>
    <w:rsid w:val="00097D47"/>
    <w:rsid w:val="000A20E9"/>
    <w:rsid w:val="00106F29"/>
    <w:rsid w:val="0012077C"/>
    <w:rsid w:val="00151172"/>
    <w:rsid w:val="00166F29"/>
    <w:rsid w:val="00172010"/>
    <w:rsid w:val="00180DDE"/>
    <w:rsid w:val="001C1B66"/>
    <w:rsid w:val="001F47C8"/>
    <w:rsid w:val="00220515"/>
    <w:rsid w:val="00226591"/>
    <w:rsid w:val="00226BA6"/>
    <w:rsid w:val="00230B86"/>
    <w:rsid w:val="00262812"/>
    <w:rsid w:val="002746B0"/>
    <w:rsid w:val="0027752A"/>
    <w:rsid w:val="002837F7"/>
    <w:rsid w:val="002B58D2"/>
    <w:rsid w:val="002C6388"/>
    <w:rsid w:val="002D6814"/>
    <w:rsid w:val="002F5710"/>
    <w:rsid w:val="00333333"/>
    <w:rsid w:val="0033381E"/>
    <w:rsid w:val="003765BC"/>
    <w:rsid w:val="003855F9"/>
    <w:rsid w:val="00396788"/>
    <w:rsid w:val="003B40DC"/>
    <w:rsid w:val="003C45EF"/>
    <w:rsid w:val="003D7562"/>
    <w:rsid w:val="003F59DC"/>
    <w:rsid w:val="00410092"/>
    <w:rsid w:val="0042322F"/>
    <w:rsid w:val="00451A39"/>
    <w:rsid w:val="00455904"/>
    <w:rsid w:val="00462F61"/>
    <w:rsid w:val="0046713F"/>
    <w:rsid w:val="0049724B"/>
    <w:rsid w:val="004E0C60"/>
    <w:rsid w:val="005006D5"/>
    <w:rsid w:val="0052202A"/>
    <w:rsid w:val="00525501"/>
    <w:rsid w:val="00536261"/>
    <w:rsid w:val="005460AE"/>
    <w:rsid w:val="005471CA"/>
    <w:rsid w:val="005532CF"/>
    <w:rsid w:val="00562A28"/>
    <w:rsid w:val="005E335C"/>
    <w:rsid w:val="006407ED"/>
    <w:rsid w:val="00661FF7"/>
    <w:rsid w:val="00675020"/>
    <w:rsid w:val="006758E8"/>
    <w:rsid w:val="00677EDA"/>
    <w:rsid w:val="006932FE"/>
    <w:rsid w:val="006A1F9F"/>
    <w:rsid w:val="006A69CC"/>
    <w:rsid w:val="006F4EA4"/>
    <w:rsid w:val="006F55AB"/>
    <w:rsid w:val="00715470"/>
    <w:rsid w:val="007173D9"/>
    <w:rsid w:val="00722B4C"/>
    <w:rsid w:val="007357B8"/>
    <w:rsid w:val="0073633C"/>
    <w:rsid w:val="0074022E"/>
    <w:rsid w:val="007677E1"/>
    <w:rsid w:val="00772374"/>
    <w:rsid w:val="007D5290"/>
    <w:rsid w:val="007D6929"/>
    <w:rsid w:val="008101FE"/>
    <w:rsid w:val="00811DFE"/>
    <w:rsid w:val="008404CF"/>
    <w:rsid w:val="008518FA"/>
    <w:rsid w:val="008615B6"/>
    <w:rsid w:val="00862305"/>
    <w:rsid w:val="0087497B"/>
    <w:rsid w:val="008A26E1"/>
    <w:rsid w:val="008E6BBE"/>
    <w:rsid w:val="009455F0"/>
    <w:rsid w:val="009564DE"/>
    <w:rsid w:val="00965B4D"/>
    <w:rsid w:val="00971FD0"/>
    <w:rsid w:val="009804EA"/>
    <w:rsid w:val="009824A8"/>
    <w:rsid w:val="00990A47"/>
    <w:rsid w:val="00A04F3A"/>
    <w:rsid w:val="00A050C3"/>
    <w:rsid w:val="00A079E0"/>
    <w:rsid w:val="00A105FD"/>
    <w:rsid w:val="00A10F92"/>
    <w:rsid w:val="00A42E2F"/>
    <w:rsid w:val="00A50934"/>
    <w:rsid w:val="00A52EDE"/>
    <w:rsid w:val="00A65B53"/>
    <w:rsid w:val="00A870C7"/>
    <w:rsid w:val="00A90676"/>
    <w:rsid w:val="00AA260D"/>
    <w:rsid w:val="00AD50B4"/>
    <w:rsid w:val="00AE2C56"/>
    <w:rsid w:val="00B07CF2"/>
    <w:rsid w:val="00B11347"/>
    <w:rsid w:val="00B20B36"/>
    <w:rsid w:val="00B31308"/>
    <w:rsid w:val="00B50508"/>
    <w:rsid w:val="00B52062"/>
    <w:rsid w:val="00B64D09"/>
    <w:rsid w:val="00B74171"/>
    <w:rsid w:val="00B81F51"/>
    <w:rsid w:val="00B84732"/>
    <w:rsid w:val="00B978BD"/>
    <w:rsid w:val="00BA555E"/>
    <w:rsid w:val="00BA5610"/>
    <w:rsid w:val="00BA67BD"/>
    <w:rsid w:val="00BC1C35"/>
    <w:rsid w:val="00BE5B33"/>
    <w:rsid w:val="00BE61B6"/>
    <w:rsid w:val="00C00960"/>
    <w:rsid w:val="00C153D2"/>
    <w:rsid w:val="00C31116"/>
    <w:rsid w:val="00C833A3"/>
    <w:rsid w:val="00CC7F5A"/>
    <w:rsid w:val="00D05C84"/>
    <w:rsid w:val="00D31C0D"/>
    <w:rsid w:val="00D40CFD"/>
    <w:rsid w:val="00D53AED"/>
    <w:rsid w:val="00D556E6"/>
    <w:rsid w:val="00D70EFF"/>
    <w:rsid w:val="00D774EE"/>
    <w:rsid w:val="00E01251"/>
    <w:rsid w:val="00E34550"/>
    <w:rsid w:val="00E568DA"/>
    <w:rsid w:val="00E7177E"/>
    <w:rsid w:val="00E74699"/>
    <w:rsid w:val="00E93849"/>
    <w:rsid w:val="00EA535F"/>
    <w:rsid w:val="00EA68D9"/>
    <w:rsid w:val="00EA6A84"/>
    <w:rsid w:val="00EB647D"/>
    <w:rsid w:val="00EB6DCD"/>
    <w:rsid w:val="00EC7F89"/>
    <w:rsid w:val="00EF1EAB"/>
    <w:rsid w:val="00F0403A"/>
    <w:rsid w:val="00F15C84"/>
    <w:rsid w:val="00F51A6D"/>
    <w:rsid w:val="00F57E4B"/>
    <w:rsid w:val="00F87A59"/>
    <w:rsid w:val="00FA2403"/>
    <w:rsid w:val="00FA4A5E"/>
    <w:rsid w:val="00FA6FF5"/>
    <w:rsid w:val="00FC095D"/>
    <w:rsid w:val="02963D78"/>
    <w:rsid w:val="02C848FD"/>
    <w:rsid w:val="08EE7A25"/>
    <w:rsid w:val="17670311"/>
    <w:rsid w:val="1A180D4F"/>
    <w:rsid w:val="22E8424A"/>
    <w:rsid w:val="259C0D76"/>
    <w:rsid w:val="2D406CBA"/>
    <w:rsid w:val="37E9138F"/>
    <w:rsid w:val="4DA1035E"/>
    <w:rsid w:val="501705A1"/>
    <w:rsid w:val="61543F8D"/>
    <w:rsid w:val="6210774E"/>
    <w:rsid w:val="6AC8363C"/>
    <w:rsid w:val="70D73655"/>
    <w:rsid w:val="7F9A778C"/>
    <w:rsid w:val="7FC948E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it-IT" w:eastAsia="en-US" w:bidi="ar-SA"/>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6"/>
    <w:autoRedefine/>
    <w:unhideWhenUsed/>
    <w:qFormat/>
    <w:uiPriority w:val="99"/>
    <w:rPr>
      <w:sz w:val="20"/>
      <w:szCs w:val="20"/>
    </w:rPr>
  </w:style>
  <w:style w:type="paragraph" w:styleId="3">
    <w:name w:val="Balloon Text"/>
    <w:basedOn w:val="1"/>
    <w:link w:val="24"/>
    <w:autoRedefine/>
    <w:semiHidden/>
    <w:unhideWhenUsed/>
    <w:qFormat/>
    <w:uiPriority w:val="99"/>
    <w:rPr>
      <w:rFonts w:ascii="Segoe UI" w:hAnsi="Segoe UI" w:cs="Segoe UI"/>
      <w:sz w:val="18"/>
      <w:szCs w:val="18"/>
    </w:rPr>
  </w:style>
  <w:style w:type="paragraph" w:styleId="4">
    <w:name w:val="footer"/>
    <w:basedOn w:val="1"/>
    <w:link w:val="14"/>
    <w:autoRedefine/>
    <w:unhideWhenUsed/>
    <w:qFormat/>
    <w:uiPriority w:val="99"/>
    <w:pPr>
      <w:tabs>
        <w:tab w:val="center" w:pos="4513"/>
        <w:tab w:val="right" w:pos="9026"/>
      </w:tabs>
    </w:pPr>
  </w:style>
  <w:style w:type="paragraph" w:styleId="5">
    <w:name w:val="header"/>
    <w:basedOn w:val="1"/>
    <w:link w:val="25"/>
    <w:autoRedefine/>
    <w:unhideWhenUsed/>
    <w:qFormat/>
    <w:uiPriority w:val="99"/>
    <w:pPr>
      <w:tabs>
        <w:tab w:val="center" w:pos="4819"/>
        <w:tab w:val="right" w:pos="9638"/>
      </w:tabs>
    </w:pPr>
  </w:style>
  <w:style w:type="paragraph" w:styleId="6">
    <w:name w:val="Normal (Web)"/>
    <w:basedOn w:val="1"/>
    <w:autoRedefine/>
    <w:unhideWhenUsed/>
    <w:qFormat/>
    <w:uiPriority w:val="99"/>
    <w:pPr>
      <w:spacing w:before="100" w:beforeAutospacing="1" w:after="100" w:afterAutospacing="1"/>
    </w:pPr>
    <w:rPr>
      <w:rFonts w:ascii="Times New Roman" w:hAnsi="Times New Roman" w:eastAsia="Times New Roman" w:cs="Times New Roman"/>
      <w:lang w:eastAsia="en-GB"/>
    </w:rPr>
  </w:style>
  <w:style w:type="paragraph" w:styleId="7">
    <w:name w:val="annotation subject"/>
    <w:basedOn w:val="2"/>
    <w:next w:val="2"/>
    <w:link w:val="17"/>
    <w:autoRedefine/>
    <w:semiHidden/>
    <w:unhideWhenUsed/>
    <w:qFormat/>
    <w:uiPriority w:val="99"/>
    <w:rPr>
      <w:b/>
      <w:bCs/>
    </w:rPr>
  </w:style>
  <w:style w:type="table" w:styleId="9">
    <w:name w:val="Table Grid"/>
    <w:basedOn w:val="8"/>
    <w:autoRedefine/>
    <w:qFormat/>
    <w:uiPriority w:val="3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autoRedefine/>
    <w:semiHidden/>
    <w:unhideWhenUsed/>
    <w:qFormat/>
    <w:uiPriority w:val="99"/>
  </w:style>
  <w:style w:type="character" w:styleId="12">
    <w:name w:val="Hyperlink"/>
    <w:basedOn w:val="10"/>
    <w:autoRedefine/>
    <w:unhideWhenUsed/>
    <w:qFormat/>
    <w:uiPriority w:val="99"/>
    <w:rPr>
      <w:color w:val="0563C1" w:themeColor="hyperlink"/>
      <w:u w:val="single"/>
      <w14:textFill>
        <w14:solidFill>
          <w14:schemeClr w14:val="hlink"/>
        </w14:solidFill>
      </w14:textFill>
    </w:rPr>
  </w:style>
  <w:style w:type="character" w:styleId="13">
    <w:name w:val="annotation reference"/>
    <w:basedOn w:val="10"/>
    <w:autoRedefine/>
    <w:semiHidden/>
    <w:unhideWhenUsed/>
    <w:qFormat/>
    <w:uiPriority w:val="99"/>
    <w:rPr>
      <w:sz w:val="16"/>
      <w:szCs w:val="16"/>
    </w:rPr>
  </w:style>
  <w:style w:type="character" w:customStyle="1" w:styleId="14">
    <w:name w:val="Footer Char"/>
    <w:basedOn w:val="10"/>
    <w:link w:val="4"/>
    <w:autoRedefine/>
    <w:qFormat/>
    <w:uiPriority w:val="99"/>
  </w:style>
  <w:style w:type="paragraph" w:styleId="15">
    <w:name w:val="List Paragraph"/>
    <w:basedOn w:val="1"/>
    <w:autoRedefine/>
    <w:qFormat/>
    <w:uiPriority w:val="34"/>
    <w:pPr>
      <w:spacing w:after="160" w:line="259" w:lineRule="auto"/>
      <w:ind w:left="720"/>
      <w:contextualSpacing/>
    </w:pPr>
    <w:rPr>
      <w:sz w:val="22"/>
      <w:szCs w:val="22"/>
    </w:rPr>
  </w:style>
  <w:style w:type="character" w:customStyle="1" w:styleId="16">
    <w:name w:val="Comment Text Char"/>
    <w:basedOn w:val="10"/>
    <w:link w:val="2"/>
    <w:autoRedefine/>
    <w:qFormat/>
    <w:uiPriority w:val="99"/>
    <w:rPr>
      <w:sz w:val="20"/>
      <w:szCs w:val="20"/>
    </w:rPr>
  </w:style>
  <w:style w:type="character" w:customStyle="1" w:styleId="17">
    <w:name w:val="Comment Subject Char"/>
    <w:basedOn w:val="16"/>
    <w:link w:val="7"/>
    <w:autoRedefine/>
    <w:semiHidden/>
    <w:qFormat/>
    <w:uiPriority w:val="99"/>
    <w:rPr>
      <w:b/>
      <w:bCs/>
      <w:sz w:val="20"/>
      <w:szCs w:val="20"/>
    </w:rPr>
  </w:style>
  <w:style w:type="paragraph" w:styleId="18">
    <w:name w:val="No Spacing"/>
    <w:autoRedefine/>
    <w:qFormat/>
    <w:uiPriority w:val="1"/>
    <w:rPr>
      <w:rFonts w:asciiTheme="minorHAnsi" w:hAnsiTheme="minorHAnsi" w:eastAsiaTheme="minorHAnsi" w:cstheme="minorBidi"/>
      <w:sz w:val="24"/>
      <w:szCs w:val="24"/>
      <w:lang w:val="it-IT" w:eastAsia="en-US" w:bidi="ar-SA"/>
    </w:rPr>
  </w:style>
  <w:style w:type="table" w:customStyle="1" w:styleId="19">
    <w:name w:val="Grid Table 3"/>
    <w:basedOn w:val="8"/>
    <w:autoRedefine/>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20">
    <w:name w:val="Grid Table 7 Colorful"/>
    <w:basedOn w:val="8"/>
    <w:autoRedefine/>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21">
    <w:name w:val="Plain Table 2"/>
    <w:basedOn w:val="8"/>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22">
    <w:name w:val="Grid Table 5 Dark Accent 3"/>
    <w:basedOn w:val="8"/>
    <w:autoRedefine/>
    <w:qFormat/>
    <w:uiPriority w:val="50"/>
    <w:rPr>
      <w:sz w:val="22"/>
      <w:szCs w:val="22"/>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character" w:customStyle="1" w:styleId="23">
    <w:name w:val="apple-converted-space"/>
    <w:basedOn w:val="10"/>
    <w:autoRedefine/>
    <w:qFormat/>
    <w:uiPriority w:val="0"/>
  </w:style>
  <w:style w:type="character" w:customStyle="1" w:styleId="24">
    <w:name w:val="Balloon Text Char"/>
    <w:basedOn w:val="10"/>
    <w:link w:val="3"/>
    <w:autoRedefine/>
    <w:semiHidden/>
    <w:qFormat/>
    <w:uiPriority w:val="99"/>
    <w:rPr>
      <w:rFonts w:ascii="Segoe UI" w:hAnsi="Segoe UI" w:cs="Segoe UI"/>
      <w:sz w:val="18"/>
      <w:szCs w:val="18"/>
    </w:rPr>
  </w:style>
  <w:style w:type="character" w:customStyle="1" w:styleId="25">
    <w:name w:val="Header Char"/>
    <w:basedOn w:val="10"/>
    <w:link w:val="5"/>
    <w:autoRedefine/>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1326</Words>
  <Characters>8961</Characters>
  <Lines>3</Lines>
  <Paragraphs>1</Paragraphs>
  <TotalTime>0</TotalTime>
  <ScaleCrop>false</ScaleCrop>
  <LinksUpToDate>false</LinksUpToDate>
  <CharactersWithSpaces>9925</CharactersWithSpaces>
  <Application>WPS Office_12.1.0.18240_F1E327BC-269C-435d-A152-05C5408002CA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2022-06-27T13:25:00Z</dcterms:created>
  <dc:creator>Laura Lorenzon</dc:creator>
  <cp:lastModifiedBy>Hoxious When</cp:lastModifiedBy>
  <dcterms:modified xsi:type="dcterms:W3CDTF">2024-09-13T16:02:28Z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2022-06-27T13:25:36Z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1f9d2863-bbf9-4942-adae-e903809cef95</vt:lpwstr>
  </property>
  <property fmtid="{D5CDD505-2E9C-101B-9397-08002B2CF9AE}" pid="8" name="MSIP_Label_be5cb09a-2992-49d6-8ac9-5f63e7b1ad2f_ContentBits">
    <vt:lpwstr>0</vt:lpwstr>
  </property>
  <property fmtid="{D5CDD505-2E9C-101B-9397-08002B2CF9AE}" pid="9" name="KSOProductBuildVer">
    <vt:lpwstr>2052-12.1.0.18240</vt:lpwstr>
  </property>
  <property fmtid="{D5CDD505-2E9C-101B-9397-08002B2CF9AE}" pid="10" name="ICV">
    <vt:lpwstr>37215DE267704F4394D709D4E4D1A1D8_12</vt:lpwstr>
  </property>
</Properties>
</file>