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A1714">
      <w:pPr>
        <w:adjustRightInd w:val="0"/>
        <w:snapToGrid w:val="0"/>
        <w:rPr>
          <w:rFonts w:ascii="Arial" w:hAnsi="Arial" w:eastAsia="华文中宋" w:cs="Arial"/>
          <w:b/>
          <w:bCs/>
          <w:kern w:val="0"/>
          <w:sz w:val="24"/>
          <w:szCs w:val="24"/>
        </w:rPr>
      </w:pPr>
      <w:bookmarkStart w:id="3" w:name="_GoBack"/>
      <w:bookmarkEnd w:id="3"/>
      <w:r>
        <w:rPr>
          <w:rFonts w:ascii="Arial" w:hAnsi="Arial" w:cs="Arial"/>
          <w:b/>
          <w:bCs/>
          <w:sz w:val="24"/>
          <w:szCs w:val="24"/>
        </w:rPr>
        <w:t>Supplementary</w:t>
      </w:r>
      <w:r>
        <w:rPr>
          <w:rFonts w:ascii="Arial" w:hAnsi="Arial" w:eastAsia="华文中宋" w:cs="Arial"/>
          <w:b/>
          <w:bCs/>
          <w:sz w:val="24"/>
          <w:szCs w:val="24"/>
        </w:rPr>
        <w:t xml:space="preserve"> Table 1 </w:t>
      </w:r>
      <w:r>
        <w:rPr>
          <w:rFonts w:ascii="Arial" w:hAnsi="Arial" w:eastAsia="华文中宋" w:cs="Arial"/>
          <w:b/>
          <w:bCs/>
          <w:kern w:val="0"/>
          <w:sz w:val="24"/>
          <w:szCs w:val="24"/>
        </w:rPr>
        <w:t>RTOG/EORTC Classification criteria for late radiation injury</w:t>
      </w:r>
    </w:p>
    <w:tbl>
      <w:tblPr>
        <w:tblStyle w:val="3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720"/>
        <w:gridCol w:w="1360"/>
        <w:gridCol w:w="1941"/>
        <w:gridCol w:w="1716"/>
        <w:gridCol w:w="1502"/>
      </w:tblGrid>
      <w:tr w14:paraId="32EF4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0" w:type="dxa"/>
          <w:jc w:val="center"/>
        </w:trPr>
        <w:tc>
          <w:tcPr>
            <w:tcW w:w="0" w:type="auto"/>
          </w:tcPr>
          <w:p w14:paraId="648E7602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华文中宋" w:cs="Arial"/>
                <w:kern w:val="0"/>
                <w:sz w:val="20"/>
                <w:szCs w:val="20"/>
              </w:rPr>
              <w:t>Organ/Tissue</w:t>
            </w:r>
          </w:p>
        </w:tc>
        <w:tc>
          <w:tcPr>
            <w:tcW w:w="0" w:type="auto"/>
            <w:vAlign w:val="center"/>
          </w:tcPr>
          <w:p w14:paraId="159B9B41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华文中宋" w:cs="Arial"/>
                <w:kern w:val="0"/>
                <w:sz w:val="20"/>
                <w:szCs w:val="20"/>
              </w:rPr>
              <w:t>Level 0</w:t>
            </w:r>
          </w:p>
        </w:tc>
        <w:tc>
          <w:tcPr>
            <w:tcW w:w="0" w:type="auto"/>
            <w:vAlign w:val="center"/>
          </w:tcPr>
          <w:p w14:paraId="4A4B563A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华文中宋" w:cs="Arial"/>
                <w:kern w:val="0"/>
                <w:sz w:val="20"/>
                <w:szCs w:val="20"/>
              </w:rPr>
              <w:t>Level 1</w:t>
            </w:r>
          </w:p>
        </w:tc>
        <w:tc>
          <w:tcPr>
            <w:tcW w:w="0" w:type="auto"/>
            <w:vAlign w:val="center"/>
          </w:tcPr>
          <w:p w14:paraId="417F2682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华文中宋" w:cs="Arial"/>
                <w:kern w:val="0"/>
                <w:sz w:val="20"/>
                <w:szCs w:val="20"/>
              </w:rPr>
              <w:t>Level 2</w:t>
            </w:r>
          </w:p>
        </w:tc>
        <w:tc>
          <w:tcPr>
            <w:tcW w:w="0" w:type="auto"/>
            <w:vAlign w:val="center"/>
          </w:tcPr>
          <w:p w14:paraId="39BA3D05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华文中宋" w:cs="Arial"/>
                <w:kern w:val="0"/>
                <w:sz w:val="20"/>
                <w:szCs w:val="20"/>
              </w:rPr>
              <w:t>Level 3</w:t>
            </w:r>
          </w:p>
        </w:tc>
        <w:tc>
          <w:tcPr>
            <w:tcW w:w="0" w:type="auto"/>
            <w:vAlign w:val="center"/>
          </w:tcPr>
          <w:p w14:paraId="7D8F6011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华文中宋" w:cs="Arial"/>
                <w:kern w:val="0"/>
                <w:sz w:val="20"/>
                <w:szCs w:val="20"/>
              </w:rPr>
              <w:t>Level 4</w:t>
            </w:r>
          </w:p>
        </w:tc>
      </w:tr>
      <w:tr w14:paraId="4B335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685C929E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Skin</w:t>
            </w:r>
          </w:p>
        </w:tc>
        <w:tc>
          <w:tcPr>
            <w:tcW w:w="0" w:type="auto"/>
            <w:vAlign w:val="center"/>
          </w:tcPr>
          <w:p w14:paraId="5E735D9A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No change</w:t>
            </w:r>
          </w:p>
        </w:tc>
        <w:tc>
          <w:tcPr>
            <w:tcW w:w="0" w:type="auto"/>
            <w:vAlign w:val="center"/>
          </w:tcPr>
          <w:p w14:paraId="4ED3998C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Mild atrophy, pigmentation, partial hair loss</w:t>
            </w:r>
          </w:p>
        </w:tc>
        <w:tc>
          <w:tcPr>
            <w:tcW w:w="0" w:type="auto"/>
            <w:vAlign w:val="center"/>
          </w:tcPr>
          <w:p w14:paraId="1A33375D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Lamellar atrophy with moderate capillary dilatation, complete loss of hair</w:t>
            </w:r>
          </w:p>
        </w:tc>
        <w:tc>
          <w:tcPr>
            <w:tcW w:w="0" w:type="auto"/>
            <w:vAlign w:val="center"/>
          </w:tcPr>
          <w:p w14:paraId="576EDF3B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Obvious atrophy, capillary dilatation with crossing anastomoses</w:t>
            </w:r>
          </w:p>
        </w:tc>
        <w:tc>
          <w:tcPr>
            <w:tcW w:w="0" w:type="auto"/>
            <w:vAlign w:val="center"/>
          </w:tcPr>
          <w:p w14:paraId="1716F2FC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ulcer</w:t>
            </w:r>
          </w:p>
        </w:tc>
      </w:tr>
      <w:tr w14:paraId="4C1B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2BE3A220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Lung</w:t>
            </w:r>
          </w:p>
        </w:tc>
        <w:tc>
          <w:tcPr>
            <w:tcW w:w="0" w:type="auto"/>
            <w:vAlign w:val="center"/>
          </w:tcPr>
          <w:p w14:paraId="2EABA07C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No change</w:t>
            </w:r>
          </w:p>
        </w:tc>
        <w:tc>
          <w:tcPr>
            <w:tcW w:w="0" w:type="auto"/>
            <w:vAlign w:val="center"/>
          </w:tcPr>
          <w:p w14:paraId="073D01D4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Asymptomatic or mild symptoms (dry cough) with minimal radiographic imaging findings</w:t>
            </w:r>
          </w:p>
        </w:tc>
        <w:tc>
          <w:tcPr>
            <w:tcW w:w="0" w:type="auto"/>
            <w:vAlign w:val="center"/>
          </w:tcPr>
          <w:p w14:paraId="3FCBA59B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Mild symptomatic fibrosis or pneumonia (severe cough)/low-grade fever/spotty radiographic findings</w:t>
            </w:r>
          </w:p>
        </w:tc>
        <w:tc>
          <w:tcPr>
            <w:tcW w:w="0" w:type="auto"/>
            <w:vAlign w:val="center"/>
          </w:tcPr>
          <w:p w14:paraId="014A6B4C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Severe symptomatic fibrosis or radiographic evidence of pneumonia/dense opacities</w:t>
            </w:r>
          </w:p>
        </w:tc>
        <w:tc>
          <w:tcPr>
            <w:tcW w:w="0" w:type="auto"/>
            <w:vAlign w:val="center"/>
          </w:tcPr>
          <w:p w14:paraId="6AE490A7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Severe respiratory insufficiency / Continuous oxygen intake or assisted ventilation</w:t>
            </w:r>
          </w:p>
        </w:tc>
      </w:tr>
      <w:tr w14:paraId="7027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Align w:val="center"/>
          </w:tcPr>
          <w:p w14:paraId="623EDE8B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Heart</w:t>
            </w:r>
          </w:p>
        </w:tc>
        <w:tc>
          <w:tcPr>
            <w:tcW w:w="0" w:type="auto"/>
            <w:vAlign w:val="center"/>
          </w:tcPr>
          <w:p w14:paraId="55253BBD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No change</w:t>
            </w:r>
          </w:p>
        </w:tc>
        <w:tc>
          <w:tcPr>
            <w:tcW w:w="0" w:type="auto"/>
            <w:vAlign w:val="center"/>
          </w:tcPr>
          <w:p w14:paraId="30FB2605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Asymptomatic or mild symptoms / transient T-wave inversion and ST changes, sinus tachycardia with a resting heart rate of over 110 beats per minute</w:t>
            </w:r>
          </w:p>
        </w:tc>
        <w:tc>
          <w:tcPr>
            <w:tcW w:w="0" w:type="auto"/>
            <w:vAlign w:val="center"/>
          </w:tcPr>
          <w:p w14:paraId="2036A714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Mild palpitations/Minimal pericardial effusion/NORMAL cardiac silhouette/Persistent abnormal T-waves and ST segment changes/Low QRS voltage</w:t>
            </w:r>
          </w:p>
        </w:tc>
        <w:tc>
          <w:tcPr>
            <w:tcW w:w="0" w:type="auto"/>
            <w:vAlign w:val="center"/>
          </w:tcPr>
          <w:p w14:paraId="709AA817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Severe palpitations, pericardial effusion, constrictive pericarditis, moderate heart failure, cardiac enlargement, and EKG abnormalities.</w:t>
            </w:r>
          </w:p>
        </w:tc>
        <w:tc>
          <w:tcPr>
            <w:tcW w:w="0" w:type="auto"/>
            <w:vAlign w:val="center"/>
          </w:tcPr>
          <w:p w14:paraId="64C90C0E">
            <w:pPr>
              <w:widowControl/>
              <w:adjustRightInd w:val="0"/>
              <w:snapToGrid w:val="0"/>
              <w:spacing w:after="75" w:line="340" w:lineRule="exact"/>
              <w:jc w:val="center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kern w:val="0"/>
                <w:sz w:val="24"/>
                <w:szCs w:val="24"/>
              </w:rPr>
              <w:t>Pericardial effusion/Severe heart failure/Severe constrictive pericarditis</w:t>
            </w:r>
          </w:p>
        </w:tc>
      </w:tr>
      <w:tr w14:paraId="6E70A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6"/>
          </w:tcPr>
          <w:p w14:paraId="6065D552">
            <w:pPr>
              <w:adjustRightInd w:val="0"/>
              <w:snapToGrid w:val="0"/>
              <w:spacing w:line="400" w:lineRule="exact"/>
              <w:rPr>
                <w:rFonts w:ascii="Arial" w:hAnsi="Arial" w:eastAsia="华文中宋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eastAsia="华文中宋" w:cs="Arial"/>
                <w:b/>
                <w:bCs/>
                <w:sz w:val="24"/>
                <w:szCs w:val="24"/>
              </w:rPr>
              <w:t>Elucidation:</w:t>
            </w:r>
          </w:p>
          <w:p w14:paraId="5CD93299">
            <w:pPr>
              <w:adjustRightInd w:val="0"/>
              <w:snapToGrid w:val="0"/>
              <w:spacing w:line="340" w:lineRule="exact"/>
              <w:rPr>
                <w:rFonts w:ascii="Arial" w:hAnsi="Arial" w:eastAsia="华文中宋" w:cs="Arial"/>
                <w:sz w:val="24"/>
                <w:szCs w:val="24"/>
              </w:rPr>
            </w:pPr>
            <w:r>
              <w:rPr>
                <w:rFonts w:ascii="Arial" w:hAnsi="Arial" w:eastAsia="华文中宋" w:cs="Arial"/>
                <w:sz w:val="24"/>
                <w:szCs w:val="24"/>
              </w:rPr>
              <w:t>1.Distinguish between the symptoms and signs caused by the primary disease and those induced by radiotherapy.</w:t>
            </w:r>
          </w:p>
          <w:p w14:paraId="7D70E6F7">
            <w:pPr>
              <w:adjustRightInd w:val="0"/>
              <w:snapToGrid w:val="0"/>
              <w:spacing w:line="340" w:lineRule="exact"/>
              <w:rPr>
                <w:rFonts w:ascii="Arial" w:hAnsi="Arial" w:eastAsia="华文中宋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华文中宋" w:cs="Arial"/>
                <w:sz w:val="24"/>
                <w:szCs w:val="24"/>
              </w:rPr>
              <w:t>2.Any organ or tissue that meets one or more criteria of grade III (inclusive) or higher is considered.</w:t>
            </w:r>
          </w:p>
        </w:tc>
      </w:tr>
    </w:tbl>
    <w:p w14:paraId="628EF6BF">
      <w:pPr>
        <w:rPr>
          <w:b/>
          <w:bCs/>
        </w:rPr>
      </w:pPr>
    </w:p>
    <w:p w14:paraId="41E7F2FD">
      <w:pPr>
        <w:rPr>
          <w:b/>
          <w:bCs/>
        </w:rPr>
      </w:pPr>
    </w:p>
    <w:p w14:paraId="7AA91471">
      <w:pPr>
        <w:rPr>
          <w:rFonts w:ascii="Arial" w:hAnsi="Arial" w:cs="Arial"/>
          <w:b/>
          <w:bCs/>
          <w:sz w:val="24"/>
          <w:szCs w:val="24"/>
        </w:rPr>
      </w:pPr>
    </w:p>
    <w:p w14:paraId="3E82EF5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2 Comparison of survival between IMLNI group and non-IMLNI group in different age groups</w:t>
      </w:r>
    </w:p>
    <w:tbl>
      <w:tblPr>
        <w:tblStyle w:val="4"/>
        <w:tblW w:w="4998" w:type="pct"/>
        <w:tblInd w:w="135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495"/>
        <w:gridCol w:w="1326"/>
        <w:gridCol w:w="2559"/>
        <w:gridCol w:w="1644"/>
      </w:tblGrid>
      <w:tr w14:paraId="627EB8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02396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Subgroups</w:t>
            </w:r>
          </w:p>
        </w:tc>
        <w:tc>
          <w:tcPr>
            <w:tcW w:w="877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305715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5-year prognosis</w:t>
            </w:r>
          </w:p>
        </w:tc>
        <w:tc>
          <w:tcPr>
            <w:tcW w:w="778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17ED30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501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016481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64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07B5BF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14:paraId="07CFE6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77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32887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37C809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778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1016E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1.460</w:t>
            </w:r>
          </w:p>
        </w:tc>
        <w:tc>
          <w:tcPr>
            <w:tcW w:w="1501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590D0E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0.535-3.988</w:t>
            </w:r>
          </w:p>
        </w:tc>
        <w:tc>
          <w:tcPr>
            <w:tcW w:w="964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64F0E0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0.460</w:t>
            </w:r>
          </w:p>
        </w:tc>
      </w:tr>
      <w:tr w14:paraId="678C12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4DD07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≤52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51FDE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59E4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0.848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7505B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0.432-1.667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76FD1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0.633</w:t>
            </w:r>
          </w:p>
        </w:tc>
      </w:tr>
      <w:tr w14:paraId="59FB4A9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03A5E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0F581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40EC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0.875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3C9C0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0.335-2.288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48BB7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0.785</w:t>
            </w:r>
          </w:p>
        </w:tc>
      </w:tr>
      <w:tr w14:paraId="1AF8CC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1869AD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2941DE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5EF420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0.802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5680B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0.364-1.766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22F48E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0.584</w:t>
            </w:r>
          </w:p>
        </w:tc>
      </w:tr>
      <w:tr w14:paraId="5CC2A2F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55C55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0F8FE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1FC34D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22761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27F428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6C221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31F3E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758E1A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67AD07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0.813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7410A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0.202-3.267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3D176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0.771</w:t>
            </w:r>
          </w:p>
        </w:tc>
      </w:tr>
      <w:tr w14:paraId="379B753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207C5F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&gt;52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5E6C4E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7BFF9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1.115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182166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0.415-2.995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545AB9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0.829</w:t>
            </w:r>
          </w:p>
        </w:tc>
      </w:tr>
      <w:tr w14:paraId="38E9645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61EBA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2853E4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14:paraId="357A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1.917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</w:tcPr>
          <w:p w14:paraId="2D07D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0.582-6.312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20D57B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0.285</w:t>
            </w:r>
          </w:p>
        </w:tc>
      </w:tr>
      <w:tr w14:paraId="4697F6C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6CBC20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083C4F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0CC77B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0.921</w:t>
            </w:r>
          </w:p>
        </w:tc>
        <w:tc>
          <w:tcPr>
            <w:tcW w:w="1501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BD11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0.328-2.587</w:t>
            </w:r>
          </w:p>
        </w:tc>
        <w:tc>
          <w:tcPr>
            <w:tcW w:w="964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F8258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0.875</w:t>
            </w:r>
          </w:p>
        </w:tc>
      </w:tr>
    </w:tbl>
    <w:p w14:paraId="712FF80E">
      <w:pPr>
        <w:rPr>
          <w:rFonts w:ascii="Arial" w:hAnsi="Arial" w:cs="Arial"/>
          <w:sz w:val="20"/>
          <w:szCs w:val="20"/>
        </w:rPr>
      </w:pPr>
      <w:bookmarkStart w:id="0" w:name="OLE_LINK1"/>
      <w:r>
        <w:rPr>
          <w:b/>
          <w:bCs/>
          <w:sz w:val="20"/>
          <w:szCs w:val="20"/>
        </w:rPr>
        <w:t xml:space="preserve"> </w:t>
      </w:r>
      <w:bookmarkStart w:id="1" w:name="OLE_LINK5"/>
      <w:r>
        <w:rPr>
          <w:rFonts w:ascii="Arial" w:hAnsi="Arial" w:cs="Arial"/>
          <w:b/>
          <w:bCs/>
          <w:sz w:val="20"/>
          <w:szCs w:val="20"/>
        </w:rPr>
        <w:t>Abbreviations</w:t>
      </w:r>
      <w:bookmarkEnd w:id="1"/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HR,hazard ratio;CI,confidence interval</w:t>
      </w:r>
      <w:r>
        <w:rPr>
          <w:rFonts w:hint="eastAsia"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OS,Overall survival , DFS,Disease-free survival,LRR, Local recurrence rate , DM,distant metastasis rate </w:t>
      </w:r>
    </w:p>
    <w:bookmarkEnd w:id="0"/>
    <w:p w14:paraId="17FDE863"/>
    <w:p w14:paraId="7AA5CE45">
      <w:pPr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Supplementary Table 3 Comparison of survival between the IMLNI group and the non-IMLNI group at different T stages</w:t>
      </w:r>
      <w:r>
        <w:rPr>
          <w:b/>
          <w:bCs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217"/>
        <w:gridCol w:w="1217"/>
        <w:gridCol w:w="2725"/>
        <w:gridCol w:w="1800"/>
      </w:tblGrid>
      <w:tr w14:paraId="5DABAA9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5E718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Subgroups</w:t>
            </w:r>
          </w:p>
        </w:tc>
        <w:tc>
          <w:tcPr>
            <w:tcW w:w="121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DAA05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5-year prognosis</w:t>
            </w:r>
          </w:p>
        </w:tc>
        <w:tc>
          <w:tcPr>
            <w:tcW w:w="121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0E9A49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72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FF3DE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599FAC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14:paraId="056313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1DBD19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7A886D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21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5ED29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0.943</w:t>
            </w:r>
          </w:p>
        </w:tc>
        <w:tc>
          <w:tcPr>
            <w:tcW w:w="2725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507AC0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0.172-5.157</w:t>
            </w:r>
          </w:p>
        </w:tc>
        <w:tc>
          <w:tcPr>
            <w:tcW w:w="1800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103CB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0.946</w:t>
            </w:r>
          </w:p>
        </w:tc>
      </w:tr>
      <w:tr w14:paraId="2AC989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F9C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T1 Stage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18FBA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E7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0.437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8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0.120-1.594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C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0.210</w:t>
            </w:r>
          </w:p>
        </w:tc>
      </w:tr>
      <w:tr w14:paraId="0C318BD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C32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33C1D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192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F5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0.159-4.872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F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0.885</w:t>
            </w:r>
          </w:p>
        </w:tc>
      </w:tr>
      <w:tr w14:paraId="318F04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CA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8D71C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A78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9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0.068-1.466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C3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0.141</w:t>
            </w:r>
          </w:p>
        </w:tc>
      </w:tr>
      <w:tr w14:paraId="61DCC8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F6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0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272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25A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7C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AC3C8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0D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3382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4E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1.047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A31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0.310-3.531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1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0.942</w:t>
            </w:r>
          </w:p>
        </w:tc>
      </w:tr>
      <w:tr w14:paraId="214F088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F93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T2 Stage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31A9B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1F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1.120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0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0.538-2.333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7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0.761</w:t>
            </w:r>
          </w:p>
        </w:tc>
      </w:tr>
      <w:tr w14:paraId="5975998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B9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354F6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101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1.433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79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0.540-3.802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B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0.470</w:t>
            </w:r>
          </w:p>
        </w:tc>
      </w:tr>
      <w:tr w14:paraId="215B45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EDD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6CAD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25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83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0.533-2.593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42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0.688</w:t>
            </w:r>
          </w:p>
        </w:tc>
      </w:tr>
      <w:tr w14:paraId="1A6C952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6F9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CC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5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A1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A54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CF300A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8C864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5C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1.149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79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0.270-4.886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B1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0.851</w:t>
            </w:r>
          </w:p>
        </w:tc>
      </w:tr>
      <w:tr w14:paraId="59B1D7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1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T3 Stage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87849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2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A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0.330-5.333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5E7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0.691</w:t>
            </w:r>
          </w:p>
        </w:tc>
      </w:tr>
      <w:tr w14:paraId="79C2357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A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568B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4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F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0.127-3.149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D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0.575</w:t>
            </w:r>
          </w:p>
        </w:tc>
      </w:tr>
      <w:tr w14:paraId="49CAAB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A898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8DFA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7C9AB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0.932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ED52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0.155-5.604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22BEA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0.938</w:t>
            </w:r>
          </w:p>
        </w:tc>
      </w:tr>
    </w:tbl>
    <w:p w14:paraId="2C07646E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HR,hazard ratio;CI,confidence interval</w:t>
      </w:r>
      <w:r>
        <w:rPr>
          <w:rFonts w:hint="eastAsia"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OS,Overall survival , DFS,Disease-free survival,LRR, Local recurrence rate , DM,distant metastasis rate </w:t>
      </w:r>
    </w:p>
    <w:p w14:paraId="06F0440D">
      <w:pPr>
        <w:rPr>
          <w:rFonts w:ascii="Arial" w:hAnsi="Arial" w:cs="Arial"/>
          <w:b/>
          <w:bCs/>
          <w:sz w:val="24"/>
          <w:szCs w:val="24"/>
        </w:rPr>
      </w:pPr>
    </w:p>
    <w:p w14:paraId="246D6B24">
      <w:pPr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Supplementary Table 4 Comparison of survival between IMLNI group and non-IMLNI group in different quadrants</w:t>
      </w:r>
    </w:p>
    <w:tbl>
      <w:tblPr>
        <w:tblStyle w:val="4"/>
        <w:tblW w:w="4998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2054"/>
        <w:gridCol w:w="861"/>
        <w:gridCol w:w="1546"/>
        <w:gridCol w:w="863"/>
      </w:tblGrid>
      <w:tr w14:paraId="645952D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3870C7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OLE_LINK3"/>
            <w:r>
              <w:rPr>
                <w:rFonts w:ascii="Arial" w:hAnsi="Arial" w:cs="Arial"/>
                <w:sz w:val="20"/>
                <w:szCs w:val="20"/>
              </w:rPr>
              <w:t>Subgroups</w:t>
            </w:r>
          </w:p>
        </w:tc>
        <w:tc>
          <w:tcPr>
            <w:tcW w:w="1205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67784F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5-year prognosis</w:t>
            </w:r>
          </w:p>
        </w:tc>
        <w:tc>
          <w:tcPr>
            <w:tcW w:w="505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1015C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</w:t>
            </w:r>
          </w:p>
        </w:tc>
        <w:tc>
          <w:tcPr>
            <w:tcW w:w="907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FCEC8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95%CI</w:t>
            </w:r>
          </w:p>
        </w:tc>
        <w:tc>
          <w:tcPr>
            <w:tcW w:w="506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26603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14:paraId="14E8D8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74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0F5A4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37EA5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505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40B674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1.565</w:t>
            </w:r>
          </w:p>
        </w:tc>
        <w:tc>
          <w:tcPr>
            <w:tcW w:w="907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04DA08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0.577-4.243</w:t>
            </w:r>
          </w:p>
        </w:tc>
        <w:tc>
          <w:tcPr>
            <w:tcW w:w="506" w:type="pct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7C44D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0.379</w:t>
            </w:r>
          </w:p>
        </w:tc>
      </w:tr>
      <w:tr w14:paraId="44EBE7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2F79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Outside the upper quadrant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</w:tcPr>
          <w:p w14:paraId="5EC79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0BA4F8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1.173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0AC4DC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0.585-2.354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78CA4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0.653</w:t>
            </w:r>
          </w:p>
        </w:tc>
      </w:tr>
      <w:tr w14:paraId="452977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0BB6B7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</w:tcPr>
          <w:p w14:paraId="2BBF4E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4BFFD5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1.561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4DB468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0.611-3.986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21C82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0.352</w:t>
            </w:r>
          </w:p>
        </w:tc>
      </w:tr>
      <w:tr w14:paraId="43D68C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032F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</w:tcPr>
          <w:p w14:paraId="42D898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27E74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1.018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685132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0.469-2.209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10F64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0.964</w:t>
            </w:r>
          </w:p>
        </w:tc>
      </w:tr>
      <w:tr w14:paraId="32AC39E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36077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B7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54C101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36DF5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5C7E51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293A0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367046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</w:tcPr>
          <w:p w14:paraId="1CE6F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4E75C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0.762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6A43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0.188-3.097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0D9A6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0.705</w:t>
            </w:r>
          </w:p>
        </w:tc>
      </w:tr>
      <w:tr w14:paraId="5B50916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31003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lower outer quadrant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</w:tcPr>
          <w:p w14:paraId="72861B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7C518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0.623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2B0992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0.244-1.594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6A0C7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0.324</w:t>
            </w:r>
          </w:p>
        </w:tc>
      </w:tr>
      <w:tr w14:paraId="4C63301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</w:tcPr>
          <w:p w14:paraId="13529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</w:tcPr>
          <w:p w14:paraId="65CEA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3022A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0.695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7460F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0.196-2.471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587945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0.574</w:t>
            </w:r>
          </w:p>
        </w:tc>
      </w:tr>
      <w:tr w14:paraId="2417720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47C3EF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42670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1CCA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0.583</w:t>
            </w:r>
          </w:p>
        </w:tc>
        <w:tc>
          <w:tcPr>
            <w:tcW w:w="907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069F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0.198-1.715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FDA6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0.327</w:t>
            </w:r>
          </w:p>
        </w:tc>
      </w:tr>
      <w:bookmarkEnd w:id="2"/>
    </w:tbl>
    <w:p w14:paraId="47648B09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Abbreviations:</w:t>
      </w:r>
      <w:r>
        <w:rPr>
          <w:rFonts w:ascii="Arial" w:hAnsi="Arial" w:cs="Arial"/>
          <w:sz w:val="20"/>
          <w:szCs w:val="20"/>
        </w:rPr>
        <w:t xml:space="preserve"> HR,hazard ratio;CI,confidence interval</w:t>
      </w:r>
      <w:r>
        <w:rPr>
          <w:rFonts w:hint="eastAsia"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OS,Overall survival , DFS,Disease-free survival,LRR, Local recurrence rate , DM,distant metastasis rate </w:t>
      </w:r>
    </w:p>
    <w:p w14:paraId="5ED91D18">
      <w:r>
        <w:t xml:space="preserve"> </w:t>
      </w:r>
    </w:p>
    <w:p w14:paraId="4A3E0406">
      <w:pPr>
        <w:rPr>
          <w:rFonts w:ascii="Arial" w:hAnsi="Arial" w:cs="Arial"/>
          <w:b/>
          <w:bCs/>
          <w:sz w:val="24"/>
          <w:szCs w:val="24"/>
        </w:rPr>
      </w:pPr>
      <w:r>
        <w:rPr>
          <w:rFonts w:hint="eastAsia"/>
          <w:b/>
          <w:bCs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Supplementary Table 5 Comparison of survival in the IMLNI group and the non-IMLNI group at different locations</w:t>
      </w:r>
    </w:p>
    <w:tbl>
      <w:tblPr>
        <w:tblStyle w:val="4"/>
        <w:tblW w:w="0" w:type="auto"/>
        <w:tblInd w:w="135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260"/>
        <w:gridCol w:w="2430"/>
        <w:gridCol w:w="1560"/>
      </w:tblGrid>
      <w:tr w14:paraId="41B89AA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82D40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Subgroups</w:t>
            </w:r>
          </w:p>
        </w:tc>
        <w:tc>
          <w:tcPr>
            <w:tcW w:w="142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0AFD6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5-year prognosis</w:t>
            </w:r>
          </w:p>
        </w:tc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357744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43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3B844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56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5CD06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14:paraId="17DAA3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62124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71FF1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26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612953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1.232</w:t>
            </w:r>
          </w:p>
        </w:tc>
        <w:tc>
          <w:tcPr>
            <w:tcW w:w="243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096A7F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0.442-3.440</w:t>
            </w:r>
          </w:p>
        </w:tc>
        <w:tc>
          <w:tcPr>
            <w:tcW w:w="156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55A0E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0.690</w:t>
            </w:r>
          </w:p>
        </w:tc>
      </w:tr>
      <w:tr w14:paraId="1BF370A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9C7F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Left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6EB97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71F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F0D4F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0.485-2.209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B30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0.929</w:t>
            </w:r>
          </w:p>
        </w:tc>
      </w:tr>
      <w:tr w14:paraId="769F7E0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5349A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E076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EA8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CD233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0.361-2.982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049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0.946</w:t>
            </w:r>
          </w:p>
        </w:tc>
      </w:tr>
      <w:tr w14:paraId="40145B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FB25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71B3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48E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0.865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8D6F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0.381-1.966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581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0.865</w:t>
            </w:r>
          </w:p>
        </w:tc>
      </w:tr>
      <w:tr w14:paraId="6ADD1CC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8058A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7A882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AEB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86B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5D71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12FAB9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FA50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A1E9E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B59A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8EAB1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0.303-3.883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B42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0.901</w:t>
            </w:r>
          </w:p>
        </w:tc>
      </w:tr>
      <w:tr w14:paraId="645C56F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CD7E3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Right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137F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94F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D0A4B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0.352-1.869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0BD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0.623</w:t>
            </w:r>
          </w:p>
        </w:tc>
      </w:tr>
      <w:tr w14:paraId="79CAE4E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5811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47EA8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A01B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EF77B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0.462-3.789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4A55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0.602</w:t>
            </w:r>
          </w:p>
        </w:tc>
      </w:tr>
      <w:tr w14:paraId="680E9FB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7BC5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0E9918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225C3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0.756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4712A0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0.281-2.032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309F3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0.579</w:t>
            </w:r>
          </w:p>
        </w:tc>
      </w:tr>
    </w:tbl>
    <w:p w14:paraId="3A603052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Abbreviations</w:t>
      </w:r>
      <w:r>
        <w:rPr>
          <w:rFonts w:ascii="Arial" w:hAnsi="Arial" w:cs="Arial"/>
          <w:sz w:val="20"/>
          <w:szCs w:val="20"/>
        </w:rPr>
        <w:t>: HR,hazard ratio;CI,confidence interval</w:t>
      </w:r>
      <w:r>
        <w:rPr>
          <w:rFonts w:hint="eastAsia"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OS,Overall survival , DFS,Disease-free survival,LRR, Local recurrence rate , DM,distant metastasis rate </w:t>
      </w:r>
    </w:p>
    <w:p w14:paraId="232940F1">
      <w:pPr>
        <w:adjustRightInd w:val="0"/>
        <w:snapToGrid w:val="0"/>
        <w:rPr>
          <w:rFonts w:ascii="Arial" w:hAnsi="Arial" w:eastAsia="方正小标宋简体" w:cs="Arial"/>
          <w:kern w:val="0"/>
          <w:sz w:val="24"/>
          <w:szCs w:val="24"/>
        </w:rPr>
      </w:pPr>
    </w:p>
    <w:p w14:paraId="59FF68C1">
      <w:pPr>
        <w:rPr>
          <w:rFonts w:ascii="Arial" w:hAnsi="Arial" w:cs="Arial"/>
          <w:color w:val="FF0000"/>
          <w:sz w:val="24"/>
          <w:szCs w:val="24"/>
        </w:rPr>
      </w:pPr>
    </w:p>
    <w:p w14:paraId="48F9A44A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Rockwell">
    <w:panose1 w:val="02060603020205020403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67B46">
    <w:pPr>
      <w:pStyle w:val="2"/>
    </w:pPr>
    <w:r>
      <w:rPr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716833991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2A770"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alt="Information Classification: General" type="#_x0000_t202" style="position:absolute;left:0pt;height:25.55pt;width:164.2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0FaUHUAAAABAEAAA8AAAAAAAAAAQAgAAAAIgAA&#10;AGRycy9kb3ducmV2LnhtbFBLAQIUABQAAAAIAIdO4kAm5w6HRQIAAIkEAAAOAAAAAAAAAAEAIAAA&#10;ACMBAABkcnMvZTJvRG9jLnhtbFBLBQYAAAAABgAGAFkBAADaBQAAAAA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07E2A770"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2416D">
    <w:pPr>
      <w:pStyle w:val="2"/>
    </w:pPr>
    <w:r>
      <w:rPr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80885209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A35461"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alt="Information Classification: General" type="#_x0000_t202" style="position:absolute;left:0pt;height:25.55pt;width:164.2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QVpQdQAAAAEAQAADwAAAAAAAAABACAAAAAiAAAA&#10;ZHJzL2Rvd25yZXYueG1sUEsBAhQAFAAAAAgAh07iQLJkAmJEAgAAiAQAAA4AAAAAAAAAAQAgAAAA&#10;IwEAAGRycy9lMm9Eb2MueG1sUEsFBgAAAAAGAAYAWQEAANk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56A35461"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DF9AE">
    <w:pPr>
      <w:pStyle w:val="2"/>
    </w:pPr>
    <w:r>
      <w:rPr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765355831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1B97C"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Information Classification: General" type="#_x0000_t202" style="position:absolute;left:0pt;height:25.55pt;width:164.25pt;mso-position-horizontal:left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QVpQdQAAAAEAQAADwAAAAAAAAABACAAAAAiAAAA&#10;ZHJzL2Rvd25yZXYueG1sUEsBAhQAFAAAAAgAh07iQFAi2OtEAgAAiQQAAA4AAAAAAAAAAQAgAAAA&#10;IwEAAGRycy9lMm9Eb2MueG1sUEsFBgAAAAAGAAYAWQEAANk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4B51B97C"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hZjBjZTlkMDE0ZTM0MWMyZDI1ZjllMDdhM2ViOWEifQ=="/>
  </w:docVars>
  <w:rsids>
    <w:rsidRoot w:val="00782113"/>
    <w:rsid w:val="00131DC1"/>
    <w:rsid w:val="003A25F8"/>
    <w:rsid w:val="00493395"/>
    <w:rsid w:val="00537311"/>
    <w:rsid w:val="006F6E62"/>
    <w:rsid w:val="00782113"/>
    <w:rsid w:val="00804420"/>
    <w:rsid w:val="00D22370"/>
    <w:rsid w:val="00FC2164"/>
    <w:rsid w:val="08F124BC"/>
    <w:rsid w:val="0C152235"/>
    <w:rsid w:val="0E373848"/>
    <w:rsid w:val="216607B4"/>
    <w:rsid w:val="24B7728B"/>
    <w:rsid w:val="2DD218DC"/>
    <w:rsid w:val="583354EA"/>
    <w:rsid w:val="602F5D59"/>
    <w:rsid w:val="66D31C8A"/>
    <w:rsid w:val="724F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513"/>
        <w:tab w:val="right" w:pos="9026"/>
      </w:tabs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15"/>
    <w:basedOn w:val="1"/>
    <w:qFormat/>
    <w:uiPriority w:val="0"/>
    <w:pPr>
      <w:ind w:firstLine="630"/>
    </w:pPr>
    <w:rPr>
      <w:rFonts w:ascii="FangSong_GB2312" w:hAnsi="宋体" w:cs="宋体"/>
    </w:rPr>
  </w:style>
  <w:style w:type="character" w:customStyle="1" w:styleId="7">
    <w:name w:val="Footer Char"/>
    <w:basedOn w:val="5"/>
    <w:link w:val="2"/>
    <w:qFormat/>
    <w:uiPriority w:val="99"/>
    <w:rPr>
      <w:kern w:val="2"/>
      <w:sz w:val="21"/>
      <w:szCs w:val="22"/>
      <w:lang w:val="en-US" w:eastAsia="zh-CN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453</Words>
  <Characters>2947</Characters>
  <Lines>27</Lines>
  <Paragraphs>7</Paragraphs>
  <TotalTime>8</TotalTime>
  <ScaleCrop>false</ScaleCrop>
  <LinksUpToDate>false</LinksUpToDate>
  <CharactersWithSpaces>3230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2024-10-03T05:59:00Z</dcterms:created>
  <dc:creator>xiumei han</dc:creator>
  <cp:lastModifiedBy>小韩韩韩</cp:lastModifiedBy>
  <dcterms:modified xsi:type="dcterms:W3CDTF">2024-11-05T07:03:09Z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1E8A6EFFFD8B4B30A08D39BFF663481B_13</vt:lpwstr>
  </property>
  <property fmtid="{D5CDD505-2E9C-101B-9397-08002B2CF9AE}" pid="4" name="ClassificationContentMarkingFooterShapeIds">
    <vt:lpwstr>69393137,ac816d9,6654cec7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2024-11-04T22:27:08Z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3a37986d-abd1-4890-b008-b59a201ff0c7</vt:lpwstr>
  </property>
  <property fmtid="{D5CDD505-2E9C-101B-9397-08002B2CF9AE}" pid="13" name="MSIP_Label_2bbab825-a111-45e4-86a1-18cee0005896_ContentBits">
    <vt:lpwstr>2</vt:lpwstr>
  </property>
</Properties>
</file>