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2B7" w:rsidRPr="005611E7" w:rsidRDefault="00000000">
      <w:pPr>
        <w:spacing w:line="480" w:lineRule="auto"/>
        <w:jc w:val="center"/>
        <w:rPr>
          <w:rFonts w:eastAsia="Times New Roman"/>
          <w:b/>
          <w:sz w:val="32"/>
          <w:szCs w:val="32"/>
        </w:rPr>
      </w:pPr>
      <w:r w:rsidRPr="005611E7">
        <w:rPr>
          <w:rFonts w:eastAsia="Times New Roman"/>
          <w:b/>
          <w:sz w:val="32"/>
          <w:szCs w:val="32"/>
        </w:rPr>
        <w:t>Supplemental Online Content</w:t>
      </w:r>
    </w:p>
    <w:p w:rsidR="00C602B7" w:rsidRPr="005611E7" w:rsidRDefault="00C602B7">
      <w:pPr>
        <w:spacing w:line="480" w:lineRule="auto"/>
        <w:jc w:val="center"/>
        <w:rPr>
          <w:rFonts w:eastAsia="Times New Roman"/>
          <w:b/>
          <w:sz w:val="32"/>
          <w:szCs w:val="32"/>
        </w:rPr>
      </w:pPr>
    </w:p>
    <w:p w:rsidR="00C602B7" w:rsidRPr="005611E7" w:rsidRDefault="00000000">
      <w:pPr>
        <w:spacing w:line="480" w:lineRule="auto"/>
        <w:jc w:val="both"/>
        <w:rPr>
          <w:rFonts w:eastAsia="Times New Roman"/>
          <w:sz w:val="24"/>
          <w:szCs w:val="24"/>
        </w:rPr>
      </w:pPr>
      <w:proofErr w:type="spellStart"/>
      <w:r w:rsidRPr="005611E7">
        <w:rPr>
          <w:rFonts w:eastAsia="Times New Roman"/>
          <w:b/>
          <w:sz w:val="24"/>
          <w:szCs w:val="24"/>
        </w:rPr>
        <w:t>eTable</w:t>
      </w:r>
      <w:proofErr w:type="spellEnd"/>
      <w:r w:rsidRPr="005611E7">
        <w:rPr>
          <w:rFonts w:eastAsia="Times New Roman"/>
          <w:b/>
          <w:sz w:val="24"/>
          <w:szCs w:val="24"/>
        </w:rPr>
        <w:t xml:space="preserve"> 1. </w:t>
      </w:r>
      <w:r w:rsidRPr="005611E7">
        <w:rPr>
          <w:rFonts w:eastAsia="Times New Roman"/>
          <w:sz w:val="24"/>
          <w:szCs w:val="24"/>
        </w:rPr>
        <w:t>Risk of bias summary for randomized studies (</w:t>
      </w:r>
      <w:proofErr w:type="spellStart"/>
      <w:r w:rsidRPr="005611E7">
        <w:rPr>
          <w:rFonts w:eastAsia="Times New Roman"/>
          <w:sz w:val="24"/>
          <w:szCs w:val="24"/>
        </w:rPr>
        <w:t>RoB</w:t>
      </w:r>
      <w:proofErr w:type="spellEnd"/>
      <w:r w:rsidRPr="005611E7">
        <w:rPr>
          <w:rFonts w:eastAsia="Times New Roman"/>
          <w:sz w:val="24"/>
          <w:szCs w:val="24"/>
        </w:rPr>
        <w:t xml:space="preserve"> 2).</w:t>
      </w:r>
    </w:p>
    <w:p w:rsidR="00C602B7" w:rsidRPr="005611E7" w:rsidRDefault="00000000">
      <w:pPr>
        <w:spacing w:line="480" w:lineRule="auto"/>
        <w:jc w:val="both"/>
        <w:rPr>
          <w:rFonts w:eastAsia="Times New Roman"/>
          <w:sz w:val="24"/>
          <w:szCs w:val="24"/>
        </w:rPr>
      </w:pPr>
      <w:proofErr w:type="spellStart"/>
      <w:r w:rsidRPr="005611E7">
        <w:rPr>
          <w:rFonts w:eastAsia="Times New Roman"/>
          <w:b/>
          <w:sz w:val="24"/>
          <w:szCs w:val="24"/>
        </w:rPr>
        <w:t>eFigure</w:t>
      </w:r>
      <w:proofErr w:type="spellEnd"/>
      <w:r w:rsidRPr="005611E7">
        <w:rPr>
          <w:rFonts w:eastAsia="Times New Roman"/>
          <w:b/>
          <w:sz w:val="24"/>
          <w:szCs w:val="24"/>
        </w:rPr>
        <w:t xml:space="preserve"> 1. </w:t>
      </w:r>
      <w:r w:rsidRPr="005611E7">
        <w:rPr>
          <w:rFonts w:eastAsia="Times New Roman"/>
          <w:sz w:val="24"/>
          <w:szCs w:val="24"/>
        </w:rPr>
        <w:t xml:space="preserve">Trial sequential analysis of safety outcomes. </w:t>
      </w:r>
    </w:p>
    <w:p w:rsidR="00C602B7" w:rsidRPr="005611E7" w:rsidRDefault="00000000">
      <w:pPr>
        <w:spacing w:line="480" w:lineRule="auto"/>
        <w:jc w:val="both"/>
        <w:rPr>
          <w:rFonts w:eastAsia="Times New Roman"/>
          <w:sz w:val="24"/>
          <w:szCs w:val="24"/>
        </w:rPr>
      </w:pPr>
      <w:r w:rsidRPr="005611E7">
        <w:rPr>
          <w:rFonts w:eastAsia="Times New Roman"/>
          <w:sz w:val="24"/>
          <w:szCs w:val="24"/>
        </w:rPr>
        <w:tab/>
      </w:r>
      <w:proofErr w:type="spellStart"/>
      <w:r w:rsidRPr="005611E7">
        <w:rPr>
          <w:rFonts w:eastAsia="Times New Roman"/>
          <w:b/>
          <w:sz w:val="24"/>
          <w:szCs w:val="24"/>
        </w:rPr>
        <w:t>eFigure</w:t>
      </w:r>
      <w:proofErr w:type="spellEnd"/>
      <w:r w:rsidRPr="005611E7">
        <w:rPr>
          <w:rFonts w:eastAsia="Times New Roman"/>
          <w:b/>
          <w:sz w:val="24"/>
          <w:szCs w:val="24"/>
        </w:rPr>
        <w:t xml:space="preserve"> 1A. </w:t>
      </w:r>
      <w:r w:rsidRPr="005611E7">
        <w:rPr>
          <w:rFonts w:eastAsia="Times New Roman"/>
          <w:sz w:val="24"/>
          <w:szCs w:val="24"/>
        </w:rPr>
        <w:t>Trial sequential analysis of the incidence of ocular adverse events.</w:t>
      </w:r>
    </w:p>
    <w:p w:rsidR="00C602B7" w:rsidRPr="005611E7" w:rsidRDefault="00000000">
      <w:pPr>
        <w:spacing w:line="480" w:lineRule="auto"/>
        <w:ind w:firstLine="720"/>
        <w:jc w:val="both"/>
        <w:rPr>
          <w:rFonts w:eastAsia="Times New Roman"/>
          <w:sz w:val="24"/>
          <w:szCs w:val="24"/>
        </w:rPr>
      </w:pPr>
      <w:proofErr w:type="spellStart"/>
      <w:r w:rsidRPr="005611E7">
        <w:rPr>
          <w:rFonts w:eastAsia="Times New Roman"/>
          <w:b/>
          <w:sz w:val="24"/>
          <w:szCs w:val="24"/>
        </w:rPr>
        <w:t>eFigure</w:t>
      </w:r>
      <w:proofErr w:type="spellEnd"/>
      <w:r w:rsidRPr="005611E7">
        <w:rPr>
          <w:rFonts w:eastAsia="Times New Roman"/>
          <w:b/>
          <w:sz w:val="24"/>
          <w:szCs w:val="24"/>
        </w:rPr>
        <w:t xml:space="preserve"> 1B. </w:t>
      </w:r>
      <w:r w:rsidRPr="005611E7">
        <w:rPr>
          <w:rFonts w:eastAsia="Times New Roman"/>
          <w:sz w:val="24"/>
          <w:szCs w:val="24"/>
        </w:rPr>
        <w:t>Trial sequential analysis of the incidence of adverse events of special interest.</w:t>
      </w:r>
    </w:p>
    <w:p w:rsidR="00C602B7" w:rsidRPr="005611E7" w:rsidRDefault="00000000">
      <w:pPr>
        <w:spacing w:line="480" w:lineRule="auto"/>
        <w:jc w:val="both"/>
        <w:rPr>
          <w:rFonts w:eastAsia="Times New Roman"/>
          <w:sz w:val="24"/>
          <w:szCs w:val="24"/>
        </w:rPr>
      </w:pPr>
      <w:r w:rsidRPr="005611E7">
        <w:rPr>
          <w:rFonts w:eastAsia="Times New Roman"/>
          <w:b/>
          <w:sz w:val="24"/>
          <w:szCs w:val="24"/>
        </w:rPr>
        <w:tab/>
      </w:r>
      <w:proofErr w:type="spellStart"/>
      <w:r w:rsidRPr="005611E7">
        <w:rPr>
          <w:rFonts w:eastAsia="Times New Roman"/>
          <w:b/>
          <w:sz w:val="24"/>
          <w:szCs w:val="24"/>
        </w:rPr>
        <w:t>eFigure</w:t>
      </w:r>
      <w:proofErr w:type="spellEnd"/>
      <w:r w:rsidRPr="005611E7">
        <w:rPr>
          <w:rFonts w:eastAsia="Times New Roman"/>
          <w:b/>
          <w:sz w:val="24"/>
          <w:szCs w:val="24"/>
        </w:rPr>
        <w:t xml:space="preserve"> 1C. </w:t>
      </w:r>
      <w:r w:rsidRPr="005611E7">
        <w:rPr>
          <w:rFonts w:eastAsia="Times New Roman"/>
          <w:sz w:val="24"/>
          <w:szCs w:val="24"/>
        </w:rPr>
        <w:t>Trial sequential analysis of the incidence of intraocular inflammation.</w:t>
      </w:r>
    </w:p>
    <w:p w:rsidR="00C602B7" w:rsidRPr="005611E7" w:rsidRDefault="00000000">
      <w:pPr>
        <w:spacing w:line="480" w:lineRule="auto"/>
        <w:jc w:val="both"/>
        <w:rPr>
          <w:rFonts w:eastAsia="Times New Roman"/>
          <w:sz w:val="24"/>
          <w:szCs w:val="24"/>
        </w:rPr>
      </w:pPr>
      <w:r w:rsidRPr="005611E7">
        <w:rPr>
          <w:rFonts w:eastAsia="Times New Roman"/>
          <w:b/>
          <w:sz w:val="24"/>
          <w:szCs w:val="24"/>
        </w:rPr>
        <w:tab/>
      </w:r>
      <w:proofErr w:type="spellStart"/>
      <w:r w:rsidRPr="005611E7">
        <w:rPr>
          <w:rFonts w:eastAsia="Times New Roman"/>
          <w:b/>
          <w:sz w:val="24"/>
          <w:szCs w:val="24"/>
        </w:rPr>
        <w:t>eFigure</w:t>
      </w:r>
      <w:proofErr w:type="spellEnd"/>
      <w:r w:rsidRPr="005611E7">
        <w:rPr>
          <w:rFonts w:eastAsia="Times New Roman"/>
          <w:b/>
          <w:sz w:val="24"/>
          <w:szCs w:val="24"/>
        </w:rPr>
        <w:t xml:space="preserve"> 1D. </w:t>
      </w:r>
      <w:r w:rsidRPr="005611E7">
        <w:rPr>
          <w:rFonts w:eastAsia="Times New Roman"/>
          <w:sz w:val="24"/>
          <w:szCs w:val="24"/>
        </w:rPr>
        <w:t>Trial sequential analysis of the incidence of retinal vasculitis.</w:t>
      </w: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sectPr w:rsidR="00C602B7" w:rsidRPr="005611E7">
          <w:pgSz w:w="11909" w:h="16834"/>
          <w:pgMar w:top="1440" w:right="1440" w:bottom="1440" w:left="1440" w:header="720" w:footer="720" w:gutter="0"/>
          <w:pgNumType w:start="1"/>
          <w:cols w:space="720"/>
        </w:sectPr>
      </w:pPr>
    </w:p>
    <w:p w:rsidR="00C602B7" w:rsidRPr="005611E7" w:rsidRDefault="00000000">
      <w:pPr>
        <w:spacing w:line="480" w:lineRule="auto"/>
        <w:rPr>
          <w:rFonts w:eastAsia="Times New Roman"/>
          <w:b/>
          <w:sz w:val="24"/>
          <w:szCs w:val="24"/>
        </w:rPr>
      </w:pPr>
      <w:proofErr w:type="spellStart"/>
      <w:r w:rsidRPr="005611E7">
        <w:rPr>
          <w:rFonts w:eastAsia="Times New Roman"/>
          <w:b/>
          <w:sz w:val="24"/>
          <w:szCs w:val="24"/>
        </w:rPr>
        <w:lastRenderedPageBreak/>
        <w:t>eTable</w:t>
      </w:r>
      <w:proofErr w:type="spellEnd"/>
      <w:r w:rsidRPr="005611E7">
        <w:rPr>
          <w:rFonts w:eastAsia="Times New Roman"/>
          <w:b/>
          <w:sz w:val="24"/>
          <w:szCs w:val="24"/>
        </w:rPr>
        <w:t xml:space="preserve"> 1. Risk of bias summary for randomized studies (</w:t>
      </w:r>
      <w:proofErr w:type="spellStart"/>
      <w:r w:rsidRPr="005611E7">
        <w:rPr>
          <w:rFonts w:eastAsia="Times New Roman"/>
          <w:b/>
          <w:sz w:val="24"/>
          <w:szCs w:val="24"/>
        </w:rPr>
        <w:t>RoB</w:t>
      </w:r>
      <w:proofErr w:type="spellEnd"/>
      <w:r w:rsidRPr="005611E7">
        <w:rPr>
          <w:rFonts w:eastAsia="Times New Roman"/>
          <w:b/>
          <w:sz w:val="24"/>
          <w:szCs w:val="24"/>
        </w:rPr>
        <w:t xml:space="preserve"> 2).</w:t>
      </w:r>
    </w:p>
    <w:tbl>
      <w:tblPr>
        <w:tblStyle w:val="a0"/>
        <w:tblW w:w="14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24"/>
        <w:gridCol w:w="2124"/>
        <w:gridCol w:w="2124"/>
        <w:gridCol w:w="2125"/>
        <w:gridCol w:w="2124"/>
        <w:gridCol w:w="2124"/>
        <w:gridCol w:w="2125"/>
      </w:tblGrid>
      <w:tr w:rsidR="00C602B7" w:rsidRPr="005611E7">
        <w:trPr>
          <w:trHeight w:val="1172"/>
          <w:jc w:val="center"/>
        </w:trPr>
        <w:tc>
          <w:tcPr>
            <w:tcW w:w="21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602B7" w:rsidRPr="005611E7" w:rsidRDefault="00000000">
            <w:pPr>
              <w:spacing w:line="480" w:lineRule="auto"/>
              <w:jc w:val="center"/>
              <w:rPr>
                <w:rFonts w:eastAsia="Times New Roman"/>
                <w:b/>
                <w:sz w:val="20"/>
                <w:szCs w:val="20"/>
              </w:rPr>
            </w:pPr>
            <w:r w:rsidRPr="005611E7">
              <w:rPr>
                <w:rFonts w:eastAsia="Times New Roman"/>
                <w:b/>
                <w:sz w:val="20"/>
                <w:szCs w:val="20"/>
              </w:rPr>
              <w:t>Study</w:t>
            </w:r>
          </w:p>
        </w:tc>
        <w:tc>
          <w:tcPr>
            <w:tcW w:w="21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602B7" w:rsidRPr="005611E7" w:rsidRDefault="00000000">
            <w:pPr>
              <w:spacing w:line="360" w:lineRule="auto"/>
              <w:jc w:val="center"/>
              <w:rPr>
                <w:rFonts w:eastAsia="Times New Roman"/>
                <w:b/>
                <w:color w:val="333333"/>
                <w:sz w:val="20"/>
                <w:szCs w:val="20"/>
              </w:rPr>
            </w:pPr>
            <w:r w:rsidRPr="005611E7">
              <w:rPr>
                <w:rFonts w:eastAsia="Times New Roman"/>
                <w:b/>
                <w:color w:val="333333"/>
                <w:sz w:val="20"/>
                <w:szCs w:val="20"/>
              </w:rPr>
              <w:t>Bias arising from the randomization process</w:t>
            </w:r>
          </w:p>
        </w:tc>
        <w:tc>
          <w:tcPr>
            <w:tcW w:w="21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602B7" w:rsidRPr="005611E7" w:rsidRDefault="00000000">
            <w:pPr>
              <w:spacing w:line="360" w:lineRule="auto"/>
              <w:jc w:val="center"/>
              <w:rPr>
                <w:rFonts w:eastAsia="Times New Roman"/>
                <w:b/>
                <w:color w:val="333333"/>
                <w:sz w:val="20"/>
                <w:szCs w:val="20"/>
              </w:rPr>
            </w:pPr>
            <w:r w:rsidRPr="005611E7">
              <w:rPr>
                <w:rFonts w:eastAsia="Times New Roman"/>
                <w:b/>
                <w:color w:val="333333"/>
                <w:sz w:val="20"/>
                <w:szCs w:val="20"/>
              </w:rPr>
              <w:t>Bias due to deviations from intended interventions</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602B7" w:rsidRPr="005611E7" w:rsidRDefault="00000000">
            <w:pPr>
              <w:spacing w:line="360" w:lineRule="auto"/>
              <w:jc w:val="center"/>
              <w:rPr>
                <w:rFonts w:eastAsia="Times New Roman"/>
                <w:b/>
                <w:color w:val="333333"/>
                <w:sz w:val="20"/>
                <w:szCs w:val="20"/>
              </w:rPr>
            </w:pPr>
            <w:r w:rsidRPr="005611E7">
              <w:rPr>
                <w:rFonts w:eastAsia="Times New Roman"/>
                <w:b/>
                <w:color w:val="333333"/>
                <w:sz w:val="20"/>
                <w:szCs w:val="20"/>
              </w:rPr>
              <w:t>Bias due to missing outcome data</w:t>
            </w:r>
          </w:p>
        </w:tc>
        <w:tc>
          <w:tcPr>
            <w:tcW w:w="21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602B7" w:rsidRPr="005611E7" w:rsidRDefault="00000000">
            <w:pPr>
              <w:spacing w:line="360" w:lineRule="auto"/>
              <w:jc w:val="center"/>
              <w:rPr>
                <w:rFonts w:eastAsia="Times New Roman"/>
                <w:b/>
                <w:color w:val="333333"/>
                <w:sz w:val="20"/>
                <w:szCs w:val="20"/>
              </w:rPr>
            </w:pPr>
            <w:r w:rsidRPr="005611E7">
              <w:rPr>
                <w:rFonts w:eastAsia="Times New Roman"/>
                <w:b/>
                <w:color w:val="333333"/>
                <w:sz w:val="20"/>
                <w:szCs w:val="20"/>
              </w:rPr>
              <w:t>Bias in measurement of the outcome</w:t>
            </w:r>
          </w:p>
        </w:tc>
        <w:tc>
          <w:tcPr>
            <w:tcW w:w="21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602B7" w:rsidRPr="005611E7" w:rsidRDefault="00000000">
            <w:pPr>
              <w:spacing w:line="360" w:lineRule="auto"/>
              <w:jc w:val="center"/>
              <w:rPr>
                <w:rFonts w:eastAsia="Times New Roman"/>
                <w:b/>
                <w:sz w:val="20"/>
                <w:szCs w:val="20"/>
              </w:rPr>
            </w:pPr>
            <w:r w:rsidRPr="005611E7">
              <w:rPr>
                <w:rFonts w:eastAsia="Times New Roman"/>
                <w:b/>
                <w:sz w:val="20"/>
                <w:szCs w:val="20"/>
              </w:rPr>
              <w:t>Bias in selection of the reported result</w:t>
            </w:r>
          </w:p>
        </w:tc>
        <w:tc>
          <w:tcPr>
            <w:tcW w:w="21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C602B7" w:rsidRPr="005611E7" w:rsidRDefault="00000000">
            <w:pPr>
              <w:spacing w:line="360" w:lineRule="auto"/>
              <w:jc w:val="center"/>
              <w:rPr>
                <w:rFonts w:eastAsia="Times New Roman"/>
                <w:b/>
                <w:sz w:val="20"/>
                <w:szCs w:val="20"/>
              </w:rPr>
            </w:pPr>
            <w:r w:rsidRPr="005611E7">
              <w:rPr>
                <w:rFonts w:eastAsia="Times New Roman"/>
                <w:b/>
                <w:sz w:val="20"/>
                <w:szCs w:val="20"/>
              </w:rPr>
              <w:t>Overall risk of bias</w:t>
            </w:r>
          </w:p>
        </w:tc>
      </w:tr>
      <w:tr w:rsidR="00C602B7" w:rsidRPr="005611E7">
        <w:trPr>
          <w:trHeight w:val="460"/>
          <w:jc w:val="center"/>
        </w:trPr>
        <w:tc>
          <w:tcPr>
            <w:tcW w:w="2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C602B7" w:rsidRPr="005611E7" w:rsidRDefault="00000000">
            <w:pPr>
              <w:spacing w:line="480" w:lineRule="auto"/>
              <w:jc w:val="center"/>
              <w:rPr>
                <w:rFonts w:eastAsia="Times New Roman"/>
                <w:b/>
                <w:sz w:val="20"/>
                <w:szCs w:val="20"/>
              </w:rPr>
            </w:pPr>
            <w:r w:rsidRPr="005611E7">
              <w:rPr>
                <w:rFonts w:eastAsia="Times New Roman"/>
                <w:b/>
                <w:sz w:val="20"/>
                <w:szCs w:val="20"/>
              </w:rPr>
              <w:t>KESTREL, 2023</w:t>
            </w:r>
            <w:r w:rsidR="002073E2">
              <w:rPr>
                <w:rFonts w:eastAsia="Times New Roman"/>
                <w:b/>
                <w:sz w:val="20"/>
                <w:szCs w:val="20"/>
              </w:rPr>
              <w:t xml:space="preserve"> </w:t>
            </w:r>
            <w:r w:rsidR="00B703BC">
              <w:rPr>
                <w:b/>
                <w:bCs/>
                <w:color w:val="000000"/>
                <w:sz w:val="14"/>
                <w:szCs w:val="14"/>
              </w:rPr>
              <w:fldChar w:fldCharType="begin"/>
            </w:r>
            <w:r w:rsidR="00B703BC">
              <w:rPr>
                <w:b/>
                <w:bCs/>
                <w:color w:val="000000"/>
                <w:sz w:val="14"/>
                <w:szCs w:val="14"/>
              </w:rPr>
              <w:instrText xml:space="preserve"> ADDIN ZOTERO_ITEM CSL_CITATION {"citationID":"9GeS6qds","properties":{"formattedCitation":"\\super 20\\nosupersub{}","plainCitation":"20","noteIndex":0},"citationItems":[{"id":7334,"uris":["http://zotero.org/users/local/oqr3R2kd/items/L2N8JJ9H"],"itemData":{"id":7334,"type":"article-journal","abstract":"PURPOSE: To report the 100-week outcomes from the KESTREL and KITE trials. DESIGN: Two phase 3, double-masked, active-controlled, randomized trials.  METHODS: Patients with diabetic macular edema (DME) were randomized 1:1:1 to  brolucizumab 3 mg/6 mg (BRO3/BRO6) or aflibercept 2 mg (AFL) in KESTREL (N = 566)  or 1:1 to BRO6 or AFL in KITE (N = 360). BRO3/BRO6 arms received 5 loading doses  every 6 weeks (q6w) followed by q12w dosing, with an option to adjust to q8w at  predefined disease activity assessment visits. In KITE, at week 72, based on the  disease stability assessment, treatment intervals could be extended by 4 weeks in  the BRO6 arm. AFL arms received 5 monthly loading doses followed by fixed q8w  dosing. RESULTS: At week 100, change from baseline in BCVA (letters) was +8.8 for  BRO6 and +10.6 for AFL in KESTREL; and +10.9 for BRO6 and +8.4 for AFL in KITE.  In both studies, fewer BRO6 subjects had intraretinal fluid and/or subretinal  fluid than AFL subjects. Results were achieved with 32.9% (KESTREL) and 47.5%  (KITE) of BRO6 subjects maintained on q12w and q12w/q16w dosing, respectively.  Intraocular inflammation rates for BRO6 vs AFL were 4.2% vs 1.1% (KESTREL) and  2.2% vs 1.7% (KITE), of which retinal vasculitis rates were 0.5% vs 0% in  KESTREL, with no cases in KITE. Retinal vascular occlusion rates were 1.6% vs  0.5% (KESTREL) and 0.6% in both treatment arms in KITE. CONCLUSIONS: Results show  the long-term efficacy and durability of brolucizumab in improving visual and  anatomical outcomes in DME; the overall safety profile of brolucizumab remained  unchanged through year 2.","container-title":"American journal of ophthalmology","DOI":"10.1016/j.ajo.2023.07.012","ISSN":"1879-1891 0002-9394","journalAbbreviation":"Am J Ophthalmol","language":"eng","license":"Copyright © 2023 The Author(s). Published by Elsevier Inc. All rights reserved.","note":"publisher-place: United States\nPMID: 37460036","page":"70-83","title":"KESTREL and KITE Phase 3 Studies: 100-Week Results With Brolucizumab in Patients With Diabetic Macular Edema.","volume":"260","author":[{"family":"Wykoff","given":"Charles C."},{"family":"Garweg","given":"Justus G."},{"family":"Regillo","given":"Carl"},{"family":"Souied","given":"Eric"},{"family":"Wolf","given":"Sebastian"},{"family":"Dhoot","given":"Dilsher S."},{"family":"Agostini","given":"Hansjuergen T."},{"family":"Chang","given":"Andrew"},{"family":"Laude","given":"Augustinus"},{"family":"Wachtlin","given":"Joachim"},{"family":"Kovacic","given":"Lidija"},{"family":"Wang","given":"Lixin"},{"family":"Wang","given":"Ying"},{"family":"Bouillaud","given":"Emmanuel"},{"family":"Brown","given":"David M."}],"issued":{"date-parts":[["2023",7,15]]}}}],"schema":"https://github.com/citation-style-language/schema/raw/master/csl-citation.json"} </w:instrText>
            </w:r>
            <w:r w:rsidR="00B703BC">
              <w:rPr>
                <w:b/>
                <w:bCs/>
                <w:color w:val="000000"/>
                <w:sz w:val="14"/>
                <w:szCs w:val="14"/>
              </w:rPr>
              <w:fldChar w:fldCharType="separate"/>
            </w:r>
            <w:r w:rsidR="00B703BC" w:rsidRPr="00F772D9">
              <w:rPr>
                <w:color w:val="000000"/>
                <w:sz w:val="14"/>
                <w:vertAlign w:val="superscript"/>
                <w:lang w:val="pt-BR"/>
              </w:rPr>
              <w:t>20</w:t>
            </w:r>
            <w:r w:rsidR="00B703BC">
              <w:rPr>
                <w:b/>
                <w:bCs/>
                <w:color w:val="000000"/>
                <w:sz w:val="14"/>
                <w:szCs w:val="14"/>
              </w:rPr>
              <w:fldChar w:fldCharType="end"/>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vertAlign w:val="superscript"/>
              </w:rPr>
            </w:pPr>
            <w:r w:rsidRPr="005611E7">
              <w:rPr>
                <w:rFonts w:eastAsia="Times New Roman"/>
                <w:sz w:val="20"/>
                <w:szCs w:val="20"/>
              </w:rPr>
              <w:t>Low</w:t>
            </w:r>
          </w:p>
        </w:tc>
        <w:tc>
          <w:tcPr>
            <w:tcW w:w="212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r>
      <w:tr w:rsidR="00C602B7" w:rsidRPr="005611E7">
        <w:trPr>
          <w:trHeight w:val="460"/>
          <w:jc w:val="center"/>
        </w:trPr>
        <w:tc>
          <w:tcPr>
            <w:tcW w:w="2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C602B7" w:rsidRPr="005611E7" w:rsidRDefault="00000000">
            <w:pPr>
              <w:spacing w:line="480" w:lineRule="auto"/>
              <w:jc w:val="center"/>
              <w:rPr>
                <w:rFonts w:eastAsia="Times New Roman"/>
                <w:b/>
                <w:sz w:val="20"/>
                <w:szCs w:val="20"/>
              </w:rPr>
            </w:pPr>
            <w:r w:rsidRPr="005611E7">
              <w:rPr>
                <w:rFonts w:eastAsia="Times New Roman"/>
                <w:b/>
                <w:sz w:val="20"/>
                <w:szCs w:val="20"/>
              </w:rPr>
              <w:t>KITE, 2023</w:t>
            </w:r>
            <w:r w:rsidR="002073E2">
              <w:rPr>
                <w:rFonts w:eastAsia="Times New Roman"/>
                <w:b/>
                <w:sz w:val="20"/>
                <w:szCs w:val="20"/>
              </w:rPr>
              <w:t xml:space="preserve"> </w:t>
            </w:r>
            <w:r w:rsidR="00B703BC">
              <w:rPr>
                <w:b/>
                <w:bCs/>
                <w:color w:val="000000"/>
                <w:sz w:val="14"/>
                <w:szCs w:val="14"/>
              </w:rPr>
              <w:fldChar w:fldCharType="begin"/>
            </w:r>
            <w:r w:rsidR="00B703BC">
              <w:rPr>
                <w:b/>
                <w:bCs/>
                <w:color w:val="000000"/>
                <w:sz w:val="14"/>
                <w:szCs w:val="14"/>
              </w:rPr>
              <w:instrText xml:space="preserve"> ADDIN ZOTERO_ITEM CSL_CITATION {"citationID":"9GeS6qds","properties":{"formattedCitation":"\\super 20\\nosupersub{}","plainCitation":"20","noteIndex":0},"citationItems":[{"id":7334,"uris":["http://zotero.org/users/local/oqr3R2kd/items/L2N8JJ9H"],"itemData":{"id":7334,"type":"article-journal","abstract":"PURPOSE: To report the 100-week outcomes from the KESTREL and KITE trials. DESIGN: Two phase 3, double-masked, active-controlled, randomized trials.  METHODS: Patients with diabetic macular edema (DME) were randomized 1:1:1 to  brolucizumab 3 mg/6 mg (BRO3/BRO6) or aflibercept 2 mg (AFL) in KESTREL (N = 566)  or 1:1 to BRO6 or AFL in KITE (N = 360). BRO3/BRO6 arms received 5 loading doses  every 6 weeks (q6w) followed by q12w dosing, with an option to adjust to q8w at  predefined disease activity assessment visits. In KITE, at week 72, based on the  disease stability assessment, treatment intervals could be extended by 4 weeks in  the BRO6 arm. AFL arms received 5 monthly loading doses followed by fixed q8w  dosing. RESULTS: At week 100, change from baseline in BCVA (letters) was +8.8 for  BRO6 and +10.6 for AFL in KESTREL; and +10.9 for BRO6 and +8.4 for AFL in KITE.  In both studies, fewer BRO6 subjects had intraretinal fluid and/or subretinal  fluid than AFL subjects. Results were achieved with 32.9% (KESTREL) and 47.5%  (KITE) of BRO6 subjects maintained on q12w and q12w/q16w dosing, respectively.  Intraocular inflammation rates for BRO6 vs AFL were 4.2% vs 1.1% (KESTREL) and  2.2% vs 1.7% (KITE), of which retinal vasculitis rates were 0.5% vs 0% in  KESTREL, with no cases in KITE. Retinal vascular occlusion rates were 1.6% vs  0.5% (KESTREL) and 0.6% in both treatment arms in KITE. CONCLUSIONS: Results show  the long-term efficacy and durability of brolucizumab in improving visual and  anatomical outcomes in DME; the overall safety profile of brolucizumab remained  unchanged through year 2.","container-title":"American journal of ophthalmology","DOI":"10.1016/j.ajo.2023.07.012","ISSN":"1879-1891 0002-9394","journalAbbreviation":"Am J Ophthalmol","language":"eng","license":"Copyright © 2023 The Author(s). Published by Elsevier Inc. All rights reserved.","note":"publisher-place: United States\nPMID: 37460036","page":"70-83","title":"KESTREL and KITE Phase 3 Studies: 100-Week Results With Brolucizumab in Patients With Diabetic Macular Edema.","volume":"260","author":[{"family":"Wykoff","given":"Charles C."},{"family":"Garweg","given":"Justus G."},{"family":"Regillo","given":"Carl"},{"family":"Souied","given":"Eric"},{"family":"Wolf","given":"Sebastian"},{"family":"Dhoot","given":"Dilsher S."},{"family":"Agostini","given":"Hansjuergen T."},{"family":"Chang","given":"Andrew"},{"family":"Laude","given":"Augustinus"},{"family":"Wachtlin","given":"Joachim"},{"family":"Kovacic","given":"Lidija"},{"family":"Wang","given":"Lixin"},{"family":"Wang","given":"Ying"},{"family":"Bouillaud","given":"Emmanuel"},{"family":"Brown","given":"David M."}],"issued":{"date-parts":[["2023",7,15]]}}}],"schema":"https://github.com/citation-style-language/schema/raw/master/csl-citation.json"} </w:instrText>
            </w:r>
            <w:r w:rsidR="00B703BC">
              <w:rPr>
                <w:b/>
                <w:bCs/>
                <w:color w:val="000000"/>
                <w:sz w:val="14"/>
                <w:szCs w:val="14"/>
              </w:rPr>
              <w:fldChar w:fldCharType="separate"/>
            </w:r>
            <w:r w:rsidR="00B703BC" w:rsidRPr="00F772D9">
              <w:rPr>
                <w:color w:val="000000"/>
                <w:sz w:val="14"/>
                <w:vertAlign w:val="superscript"/>
                <w:lang w:val="pt-BR"/>
              </w:rPr>
              <w:t>20</w:t>
            </w:r>
            <w:r w:rsidR="00B703BC">
              <w:rPr>
                <w:b/>
                <w:bCs/>
                <w:color w:val="000000"/>
                <w:sz w:val="14"/>
                <w:szCs w:val="14"/>
              </w:rPr>
              <w:fldChar w:fldCharType="end"/>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vertAlign w:val="superscript"/>
              </w:rPr>
            </w:pPr>
            <w:r w:rsidRPr="005611E7">
              <w:rPr>
                <w:rFonts w:eastAsia="Times New Roman"/>
                <w:sz w:val="20"/>
                <w:szCs w:val="20"/>
              </w:rPr>
              <w:t>Low</w:t>
            </w:r>
          </w:p>
        </w:tc>
        <w:tc>
          <w:tcPr>
            <w:tcW w:w="212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vertAlign w:val="superscript"/>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vertAlign w:val="superscript"/>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r>
      <w:tr w:rsidR="00C602B7" w:rsidRPr="005611E7">
        <w:trPr>
          <w:trHeight w:val="460"/>
          <w:jc w:val="center"/>
        </w:trPr>
        <w:tc>
          <w:tcPr>
            <w:tcW w:w="21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C602B7" w:rsidRPr="005611E7" w:rsidRDefault="00000000" w:rsidP="00EC5D62">
            <w:pPr>
              <w:spacing w:line="480" w:lineRule="auto"/>
              <w:ind w:hanging="105"/>
              <w:jc w:val="center"/>
              <w:rPr>
                <w:rFonts w:eastAsia="Times New Roman"/>
                <w:b/>
                <w:sz w:val="20"/>
                <w:szCs w:val="20"/>
              </w:rPr>
            </w:pPr>
            <w:r w:rsidRPr="005611E7">
              <w:rPr>
                <w:rFonts w:eastAsia="Times New Roman"/>
                <w:b/>
                <w:sz w:val="20"/>
                <w:szCs w:val="20"/>
              </w:rPr>
              <w:t>KINGFISHER,</w:t>
            </w:r>
            <w:r w:rsidR="00EC5D62">
              <w:rPr>
                <w:rFonts w:eastAsia="Times New Roman"/>
                <w:b/>
                <w:sz w:val="20"/>
                <w:szCs w:val="20"/>
              </w:rPr>
              <w:t xml:space="preserve"> </w:t>
            </w:r>
            <w:r w:rsidRPr="005611E7">
              <w:rPr>
                <w:rFonts w:eastAsia="Times New Roman"/>
                <w:b/>
                <w:sz w:val="20"/>
                <w:szCs w:val="20"/>
              </w:rPr>
              <w:t>2023</w:t>
            </w:r>
            <w:r w:rsidR="00EC5D62">
              <w:rPr>
                <w:rFonts w:eastAsia="Times New Roman"/>
                <w:b/>
                <w:sz w:val="20"/>
                <w:szCs w:val="20"/>
              </w:rPr>
              <w:t xml:space="preserve"> </w:t>
            </w:r>
            <w:r w:rsidR="00B703BC">
              <w:rPr>
                <w:b/>
                <w:bCs/>
                <w:color w:val="000000"/>
                <w:sz w:val="14"/>
                <w:szCs w:val="14"/>
              </w:rPr>
              <w:fldChar w:fldCharType="begin"/>
            </w:r>
            <w:r w:rsidR="00B703BC">
              <w:rPr>
                <w:b/>
                <w:bCs/>
                <w:color w:val="000000"/>
                <w:sz w:val="14"/>
                <w:szCs w:val="14"/>
              </w:rPr>
              <w:instrText xml:space="preserve"> ADDIN ZOTERO_ITEM CSL_CITATION {"citationID":"thaSIOhO","properties":{"formattedCitation":"\\super 21\\nosupersub{}","plainCitation":"21","noteIndex":0},"citationItems":[{"id":4002,"uris":["http://zotero.org/users/local/oqr3R2kd/items/E8IWCR6Y"],"itemData":{"id":4002,"type":"article-journal","abstract":"IMPORTANCE: Despite the effectiveness of existing anti</w:instrText>
            </w:r>
            <w:r w:rsidR="00B703BC">
              <w:rPr>
                <w:rFonts w:ascii="Cambria Math" w:hAnsi="Cambria Math" w:cs="Cambria Math"/>
                <w:b/>
                <w:bCs/>
                <w:color w:val="000000"/>
                <w:sz w:val="14"/>
                <w:szCs w:val="14"/>
              </w:rPr>
              <w:instrText>‐</w:instrText>
            </w:r>
            <w:r w:rsidR="00B703BC">
              <w:rPr>
                <w:b/>
                <w:bCs/>
                <w:color w:val="000000"/>
                <w:sz w:val="14"/>
                <w:szCs w:val="14"/>
              </w:rPr>
              <w:instrText>vascular endothelial growth factor (VEGF) therapies, a need remains for further treatment options to improve response rates and/or reduce injection or monitoring frequency in patients with diabetic macular edema (DME). OBJECTIVE: To evaluate the efficacy and safety of brolucizumab vs aflibercept dosed every 4 weeks in participants with DME. DESIGN, PARTICIPANTS, AND SETTING: This 52</w:instrText>
            </w:r>
            <w:r w:rsidR="00B703BC">
              <w:rPr>
                <w:rFonts w:ascii="Cambria Math" w:hAnsi="Cambria Math" w:cs="Cambria Math"/>
                <w:b/>
                <w:bCs/>
                <w:color w:val="000000"/>
                <w:sz w:val="14"/>
                <w:szCs w:val="14"/>
              </w:rPr>
              <w:instrText>‐</w:instrText>
            </w:r>
            <w:r w:rsidR="00B703BC">
              <w:rPr>
                <w:b/>
                <w:bCs/>
                <w:color w:val="000000"/>
                <w:sz w:val="14"/>
                <w:szCs w:val="14"/>
              </w:rPr>
              <w:instrText>week, double</w:instrText>
            </w:r>
            <w:r w:rsidR="00B703BC">
              <w:rPr>
                <w:rFonts w:ascii="Cambria Math" w:hAnsi="Cambria Math" w:cs="Cambria Math"/>
                <w:b/>
                <w:bCs/>
                <w:color w:val="000000"/>
                <w:sz w:val="14"/>
                <w:szCs w:val="14"/>
              </w:rPr>
              <w:instrText>‐</w:instrText>
            </w:r>
            <w:r w:rsidR="00B703BC">
              <w:rPr>
                <w:b/>
                <w:bCs/>
                <w:color w:val="000000"/>
                <w:sz w:val="14"/>
                <w:szCs w:val="14"/>
              </w:rPr>
              <w:instrText>masked, phase 3 randomized clinical trial included treatment</w:instrText>
            </w:r>
            <w:r w:rsidR="00B703BC">
              <w:rPr>
                <w:rFonts w:ascii="Cambria Math" w:hAnsi="Cambria Math" w:cs="Cambria Math"/>
                <w:b/>
                <w:bCs/>
                <w:color w:val="000000"/>
                <w:sz w:val="14"/>
                <w:szCs w:val="14"/>
              </w:rPr>
              <w:instrText>‐</w:instrText>
            </w:r>
            <w:r w:rsidR="00B703BC">
              <w:rPr>
                <w:b/>
                <w:bCs/>
                <w:color w:val="000000"/>
                <w:sz w:val="14"/>
                <w:szCs w:val="14"/>
              </w:rPr>
              <w:instrText>naive adults and adults who had previously received anti</w:instrText>
            </w:r>
            <w:r w:rsidR="00B703BC">
              <w:rPr>
                <w:rFonts w:ascii="Cambria Math" w:hAnsi="Cambria Math" w:cs="Cambria Math"/>
                <w:b/>
                <w:bCs/>
                <w:color w:val="000000"/>
                <w:sz w:val="14"/>
                <w:szCs w:val="14"/>
              </w:rPr>
              <w:instrText>‐</w:instrText>
            </w:r>
            <w:r w:rsidR="00B703BC">
              <w:rPr>
                <w:b/>
                <w:bCs/>
                <w:color w:val="000000"/>
                <w:sz w:val="14"/>
                <w:szCs w:val="14"/>
              </w:rPr>
              <w:instrText>VEGF therapy. Data were collected from September 2019 to March 2020, and data were analyzed from April 2020 to February 2021. INTERVENTION: Brolucizumab, 6 mg, intravitreal injection every 4 weeks or aflibercept, 2 mg, intravitreal injection every 4 weeks. MAIN OUTCOMES AND MEASURES: Participants were randomized 2:1 to brolucizumab, 6 mg, or aflibercept, 2 mg. The primary end point was change from baseline in best</w:instrText>
            </w:r>
            <w:r w:rsidR="00B703BC">
              <w:rPr>
                <w:rFonts w:ascii="Cambria Math" w:hAnsi="Cambria Math" w:cs="Cambria Math"/>
                <w:b/>
                <w:bCs/>
                <w:color w:val="000000"/>
                <w:sz w:val="14"/>
                <w:szCs w:val="14"/>
              </w:rPr>
              <w:instrText>‐</w:instrText>
            </w:r>
            <w:r w:rsidR="00B703BC">
              <w:rPr>
                <w:b/>
                <w:bCs/>
                <w:color w:val="000000"/>
                <w:sz w:val="14"/>
                <w:szCs w:val="14"/>
              </w:rPr>
              <w:instrText>corrected visual acuity at week 52. Secondary end points were the proportion of participants with a 2</w:instrText>
            </w:r>
            <w:r w:rsidR="00B703BC">
              <w:rPr>
                <w:rFonts w:ascii="Cambria Math" w:hAnsi="Cambria Math" w:cs="Cambria Math"/>
                <w:b/>
                <w:bCs/>
                <w:color w:val="000000"/>
                <w:sz w:val="14"/>
                <w:szCs w:val="14"/>
              </w:rPr>
              <w:instrText>‐</w:instrText>
            </w:r>
            <w:r w:rsidR="00B703BC">
              <w:rPr>
                <w:b/>
                <w:bCs/>
                <w:color w:val="000000"/>
                <w:sz w:val="14"/>
                <w:szCs w:val="14"/>
              </w:rPr>
              <w:instrText>step improvement or greater from baseline in Diabetic Retinopathy Severity Scale score, the proportion of eyes with absence of both subretinal fluid and intraretinal fluid, change from baseline in central subfield thickness, and safety at week 52. RESULTS: A total of 517 participants were randomized to brolucizumab (n = 346) or aflibercept (n = 171); 299 (57.8%) were male, and the mean (SD) age was 60.7 (10.2) years. Brolucizumab was noninferior to aflibercept in best</w:instrText>
            </w:r>
            <w:r w:rsidR="00B703BC">
              <w:rPr>
                <w:rFonts w:ascii="Cambria Math" w:hAnsi="Cambria Math" w:cs="Cambria Math"/>
                <w:b/>
                <w:bCs/>
                <w:color w:val="000000"/>
                <w:sz w:val="14"/>
                <w:szCs w:val="14"/>
              </w:rPr>
              <w:instrText>‐</w:instrText>
            </w:r>
            <w:r w:rsidR="00B703BC">
              <w:rPr>
                <w:b/>
                <w:bCs/>
                <w:color w:val="000000"/>
                <w:sz w:val="14"/>
                <w:szCs w:val="14"/>
              </w:rPr>
              <w:instrText>corrected visual acuity (Early Treatment Diabetic Retinopathy Study letter score) change from baseline at week 52 (brolucizumab, 12.2</w:instrText>
            </w:r>
            <w:r w:rsidR="00B703BC">
              <w:rPr>
                <w:rFonts w:ascii="Cambria Math" w:hAnsi="Cambria Math" w:cs="Cambria Math"/>
                <w:b/>
                <w:bCs/>
                <w:color w:val="000000"/>
                <w:sz w:val="14"/>
                <w:szCs w:val="14"/>
              </w:rPr>
              <w:instrText>‐</w:instrText>
            </w:r>
            <w:r w:rsidR="00B703BC">
              <w:rPr>
                <w:b/>
                <w:bCs/>
                <w:color w:val="000000"/>
                <w:sz w:val="14"/>
                <w:szCs w:val="14"/>
              </w:rPr>
              <w:instrText>letter improvement; aflibercept, 11.0</w:instrText>
            </w:r>
            <w:r w:rsidR="00B703BC">
              <w:rPr>
                <w:rFonts w:ascii="Cambria Math" w:hAnsi="Cambria Math" w:cs="Cambria Math"/>
                <w:b/>
                <w:bCs/>
                <w:color w:val="000000"/>
                <w:sz w:val="14"/>
                <w:szCs w:val="14"/>
              </w:rPr>
              <w:instrText>‐</w:instrText>
            </w:r>
            <w:r w:rsidR="00B703BC">
              <w:rPr>
                <w:b/>
                <w:bCs/>
                <w:color w:val="000000"/>
                <w:sz w:val="14"/>
                <w:szCs w:val="14"/>
              </w:rPr>
              <w:instrText xml:space="preserve">letter improvement; difference, 1.1; 95% CI, </w:instrText>
            </w:r>
            <w:r w:rsidR="00B703BC">
              <w:rPr>
                <w:rFonts w:ascii="Cambria Math" w:hAnsi="Cambria Math" w:cs="Cambria Math"/>
                <w:b/>
                <w:bCs/>
                <w:color w:val="000000"/>
                <w:sz w:val="14"/>
                <w:szCs w:val="14"/>
              </w:rPr>
              <w:instrText>‐</w:instrText>
            </w:r>
            <w:r w:rsidR="00B703BC">
              <w:rPr>
                <w:b/>
                <w:bCs/>
                <w:color w:val="000000"/>
                <w:sz w:val="14"/>
                <w:szCs w:val="14"/>
              </w:rPr>
              <w:instrText xml:space="preserve">0.6 to 2.9; noninferiority margin, 4; P &lt; .001). Brolucizumab was superior to aflibercept for the proportion of eyes without subretinal and intraretinal fluid (brolucizumab, 144 of 346 [41.6%]; aflibercept, 38 of 171 [22.2%]; difference, 20.0%; 95% CI, 12.5to 28.6; P &lt; .001) and mean central subfield thickness change from baseline at week 52 (brolucizumab, </w:instrText>
            </w:r>
            <w:r w:rsidR="00B703BC">
              <w:rPr>
                <w:rFonts w:ascii="Cambria Math" w:hAnsi="Cambria Math" w:cs="Cambria Math"/>
                <w:b/>
                <w:bCs/>
                <w:color w:val="000000"/>
                <w:sz w:val="14"/>
                <w:szCs w:val="14"/>
              </w:rPr>
              <w:instrText>‐</w:instrText>
            </w:r>
            <w:r w:rsidR="00B703BC">
              <w:rPr>
                <w:b/>
                <w:bCs/>
                <w:color w:val="000000"/>
                <w:sz w:val="14"/>
                <w:szCs w:val="14"/>
              </w:rPr>
              <w:instrText xml:space="preserve">237.8 μm; aflibercept, </w:instrText>
            </w:r>
            <w:r w:rsidR="00B703BC">
              <w:rPr>
                <w:rFonts w:ascii="Cambria Math" w:hAnsi="Cambria Math" w:cs="Cambria Math"/>
                <w:b/>
                <w:bCs/>
                <w:color w:val="000000"/>
                <w:sz w:val="14"/>
                <w:szCs w:val="14"/>
              </w:rPr>
              <w:instrText>‐</w:instrText>
            </w:r>
            <w:r w:rsidR="00B703BC">
              <w:rPr>
                <w:b/>
                <w:bCs/>
                <w:color w:val="000000"/>
                <w:sz w:val="14"/>
                <w:szCs w:val="14"/>
              </w:rPr>
              <w:instrText xml:space="preserve">196.5 μm; difference, </w:instrText>
            </w:r>
            <w:r w:rsidR="00B703BC">
              <w:rPr>
                <w:rFonts w:ascii="Cambria Math" w:hAnsi="Cambria Math" w:cs="Cambria Math"/>
                <w:b/>
                <w:bCs/>
                <w:color w:val="000000"/>
                <w:sz w:val="14"/>
                <w:szCs w:val="14"/>
              </w:rPr>
              <w:instrText>‐</w:instrText>
            </w:r>
            <w:r w:rsidR="00B703BC">
              <w:rPr>
                <w:b/>
                <w:bCs/>
                <w:color w:val="000000"/>
                <w:sz w:val="14"/>
                <w:szCs w:val="14"/>
              </w:rPr>
              <w:instrText xml:space="preserve">41.4; 95% CI, </w:instrText>
            </w:r>
            <w:r w:rsidR="00B703BC">
              <w:rPr>
                <w:rFonts w:ascii="Cambria Math" w:hAnsi="Cambria Math" w:cs="Cambria Math"/>
                <w:b/>
                <w:bCs/>
                <w:color w:val="000000"/>
                <w:sz w:val="14"/>
                <w:szCs w:val="14"/>
              </w:rPr>
              <w:instrText>‐</w:instrText>
            </w:r>
            <w:r w:rsidR="00B703BC">
              <w:rPr>
                <w:b/>
                <w:bCs/>
                <w:color w:val="000000"/>
                <w:sz w:val="14"/>
                <w:szCs w:val="14"/>
              </w:rPr>
              <w:instrText xml:space="preserve">58.9 to </w:instrText>
            </w:r>
            <w:r w:rsidR="00B703BC">
              <w:rPr>
                <w:rFonts w:ascii="Cambria Math" w:hAnsi="Cambria Math" w:cs="Cambria Math"/>
                <w:b/>
                <w:bCs/>
                <w:color w:val="000000"/>
                <w:sz w:val="14"/>
                <w:szCs w:val="14"/>
              </w:rPr>
              <w:instrText>‐</w:instrText>
            </w:r>
            <w:r w:rsidR="00B703BC">
              <w:rPr>
                <w:b/>
                <w:bCs/>
                <w:color w:val="000000"/>
                <w:sz w:val="14"/>
                <w:szCs w:val="14"/>
              </w:rPr>
              <w:instrText>23.8; P &lt; .001). Incidence of intraocular inflammation was 4.0% (14 of 346) in the brolucizumab arm and 2.9% (5 of 171) in the aflibercept arm, incidence of retinal vasculitis was 0.9% (3 of 346) and 0.6% (1 of 171), respectively, and incidence of retinal vascular occlusion was 0.3% (1 of 346) and 0.6% (1 of 171). One participant in the brolucizumab arm had retinal artery occlusion. CONCLUSIONS AND RELEVANCE: In these study participants with DME, no clinically meaningful differences in visual outcomes were noted between the brolucizumab and aflibercept arms; some superior anatomic improvements were noted in the brolucizumab arm. No new safety concerns were identified. TRIAL REGISTRATION: ClinicalTrials.gov Identifier: NCT03917472.","archive_location":"CN-02634004","container-title":"JAMA ophthalmology","DOI":"10.1001/jamaophthalmol.2023.5248","issue":"12","journalAbbreviation":"JAMA ophthalmology","page":"1152</w:instrText>
            </w:r>
            <w:r w:rsidR="00B703BC">
              <w:rPr>
                <w:rFonts w:ascii="Cambria Math" w:hAnsi="Cambria Math" w:cs="Cambria Math"/>
                <w:b/>
                <w:bCs/>
                <w:color w:val="000000"/>
                <w:sz w:val="14"/>
                <w:szCs w:val="14"/>
              </w:rPr>
              <w:instrText>‐</w:instrText>
            </w:r>
            <w:r w:rsidR="00B703BC">
              <w:rPr>
                <w:b/>
                <w:bCs/>
                <w:color w:val="000000"/>
                <w:sz w:val="14"/>
                <w:szCs w:val="14"/>
              </w:rPr>
              <w:instrText xml:space="preserve">1160","title":"Efficacy and Safety of Brolucizumab for Diabetic Macular Edema: the KINGFISHER Randomized Clinical Trial","volume":"141","author":[{"family":"Singh","given":"RP"},{"family":"Barakat","given":"MR"},{"family":"Ip","given":"MS"},{"family":"Wykoff","given":"CC"},{"family":"Eichenbaum","given":"DA"},{"family":"Joshi","given":"S"},{"family":"Warrow","given":"D"},{"family":"Sheth","given":"VS"},{"family":"Stefanickova","given":"J"},{"family":"Kim","given":"YS"},{"literal":"et al."}],"issued":{"date-parts":[["2023"]]}}}],"schema":"https://github.com/citation-style-language/schema/raw/master/csl-citation.json"} </w:instrText>
            </w:r>
            <w:r w:rsidR="00B703BC">
              <w:rPr>
                <w:b/>
                <w:bCs/>
                <w:color w:val="000000"/>
                <w:sz w:val="14"/>
                <w:szCs w:val="14"/>
              </w:rPr>
              <w:fldChar w:fldCharType="separate"/>
            </w:r>
            <w:r w:rsidR="00B703BC" w:rsidRPr="00F772D9">
              <w:rPr>
                <w:color w:val="000000"/>
                <w:sz w:val="14"/>
                <w:vertAlign w:val="superscript"/>
              </w:rPr>
              <w:t>21</w:t>
            </w:r>
            <w:r w:rsidR="00B703BC">
              <w:rPr>
                <w:b/>
                <w:bCs/>
                <w:color w:val="000000"/>
                <w:sz w:val="14"/>
                <w:szCs w:val="14"/>
              </w:rPr>
              <w:fldChar w:fldCharType="end"/>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4"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c>
          <w:tcPr>
            <w:tcW w:w="2125" w:type="dxa"/>
            <w:tcBorders>
              <w:top w:val="single" w:sz="4" w:space="0" w:color="000000"/>
              <w:left w:val="single" w:sz="4" w:space="0" w:color="000000"/>
              <w:bottom w:val="single" w:sz="4" w:space="0" w:color="000000"/>
              <w:right w:val="single" w:sz="4" w:space="0" w:color="000000"/>
            </w:tcBorders>
            <w:shd w:val="clear" w:color="auto" w:fill="92D050"/>
            <w:tcMar>
              <w:left w:w="108" w:type="dxa"/>
              <w:right w:w="108" w:type="dxa"/>
            </w:tcMar>
            <w:vAlign w:val="center"/>
          </w:tcPr>
          <w:p w:rsidR="00C602B7" w:rsidRPr="005611E7" w:rsidRDefault="00000000">
            <w:pPr>
              <w:spacing w:line="480" w:lineRule="auto"/>
              <w:jc w:val="center"/>
              <w:rPr>
                <w:rFonts w:eastAsia="Times New Roman"/>
                <w:sz w:val="20"/>
                <w:szCs w:val="20"/>
              </w:rPr>
            </w:pPr>
            <w:r w:rsidRPr="005611E7">
              <w:rPr>
                <w:rFonts w:eastAsia="Times New Roman"/>
                <w:sz w:val="20"/>
                <w:szCs w:val="20"/>
              </w:rPr>
              <w:t>Low</w:t>
            </w:r>
          </w:p>
        </w:tc>
      </w:tr>
    </w:tbl>
    <w:p w:rsidR="00C602B7" w:rsidRPr="005611E7" w:rsidRDefault="00C602B7">
      <w:pPr>
        <w:spacing w:line="480" w:lineRule="auto"/>
        <w:rPr>
          <w:rFonts w:eastAsia="Times New Roman"/>
          <w:sz w:val="20"/>
          <w:szCs w:val="20"/>
        </w:rPr>
        <w:sectPr w:rsidR="00C602B7" w:rsidRPr="005611E7">
          <w:pgSz w:w="16834" w:h="11909" w:orient="landscape"/>
          <w:pgMar w:top="1440" w:right="1440" w:bottom="1440" w:left="1440" w:header="720" w:footer="720" w:gutter="0"/>
          <w:cols w:space="720"/>
        </w:sectPr>
      </w:pPr>
    </w:p>
    <w:p w:rsidR="00C602B7" w:rsidRPr="005611E7" w:rsidRDefault="00000000">
      <w:pPr>
        <w:spacing w:line="480" w:lineRule="auto"/>
        <w:jc w:val="both"/>
        <w:rPr>
          <w:rFonts w:eastAsia="Times New Roman"/>
          <w:sz w:val="24"/>
          <w:szCs w:val="24"/>
        </w:rPr>
      </w:pPr>
      <w:proofErr w:type="spellStart"/>
      <w:r w:rsidRPr="005611E7">
        <w:rPr>
          <w:rFonts w:eastAsia="Times New Roman"/>
          <w:b/>
          <w:sz w:val="24"/>
          <w:szCs w:val="24"/>
        </w:rPr>
        <w:lastRenderedPageBreak/>
        <w:t>eFigure</w:t>
      </w:r>
      <w:proofErr w:type="spellEnd"/>
      <w:r w:rsidRPr="005611E7">
        <w:rPr>
          <w:rFonts w:eastAsia="Times New Roman"/>
          <w:b/>
          <w:sz w:val="24"/>
          <w:szCs w:val="24"/>
        </w:rPr>
        <w:t xml:space="preserve"> 1. </w:t>
      </w:r>
      <w:r w:rsidRPr="005611E7">
        <w:rPr>
          <w:rFonts w:eastAsia="Times New Roman"/>
          <w:sz w:val="24"/>
          <w:szCs w:val="24"/>
        </w:rPr>
        <w:t xml:space="preserve">Trial sequential analysis of safety outcomes. The Z-curve (blue full line) corresponds to the cumulative Z-score of our meta-analysis as each RCT is included. The dark red full lines represent the conventional test boundaries. Bright red full lines represent the trial sequential monitoring boundaries. </w:t>
      </w:r>
    </w:p>
    <w:p w:rsidR="00C602B7" w:rsidRPr="005611E7" w:rsidRDefault="00000000">
      <w:pPr>
        <w:spacing w:line="480" w:lineRule="auto"/>
        <w:jc w:val="both"/>
        <w:rPr>
          <w:rFonts w:eastAsia="Times New Roman"/>
          <w:b/>
          <w:sz w:val="24"/>
          <w:szCs w:val="24"/>
        </w:rPr>
      </w:pPr>
      <w:proofErr w:type="spellStart"/>
      <w:r w:rsidRPr="005611E7">
        <w:rPr>
          <w:rFonts w:eastAsia="Times New Roman"/>
          <w:b/>
          <w:sz w:val="24"/>
          <w:szCs w:val="24"/>
        </w:rPr>
        <w:t>eFigure</w:t>
      </w:r>
      <w:proofErr w:type="spellEnd"/>
      <w:r w:rsidRPr="005611E7">
        <w:rPr>
          <w:rFonts w:eastAsia="Times New Roman"/>
          <w:b/>
          <w:sz w:val="24"/>
          <w:szCs w:val="24"/>
        </w:rPr>
        <w:t xml:space="preserve"> 1A. </w:t>
      </w:r>
      <w:r w:rsidRPr="005611E7">
        <w:rPr>
          <w:rFonts w:eastAsia="Times New Roman"/>
          <w:sz w:val="24"/>
          <w:szCs w:val="24"/>
        </w:rPr>
        <w:t xml:space="preserve">Trial sequential analysis of the incidence of ocular adverse events. The required information size to detect or reject the effect size found in our meta-analysis is calculated to 4,074 patients and 4,074 eyes, with a double sided </w:t>
      </w:r>
      <w:r w:rsidRPr="005611E7">
        <w:rPr>
          <w:rFonts w:eastAsia="Times New Roman"/>
          <w:color w:val="131413"/>
          <w:sz w:val="24"/>
          <w:szCs w:val="24"/>
        </w:rPr>
        <w:t xml:space="preserve">α of 0.05 and a β of 0.20 (power of 80%). The cumulative Z-curve did not reach any of the boundaries. </w:t>
      </w:r>
    </w:p>
    <w:p w:rsidR="00C602B7" w:rsidRPr="005611E7" w:rsidRDefault="003C3E94">
      <w:pPr>
        <w:spacing w:line="480" w:lineRule="auto"/>
        <w:rPr>
          <w:rFonts w:eastAsia="Times New Roman"/>
          <w:sz w:val="24"/>
          <w:szCs w:val="24"/>
        </w:rPr>
      </w:pPr>
      <w:r>
        <w:rPr>
          <w:rFonts w:eastAsia="Times New Roman"/>
          <w:noProof/>
          <w:sz w:val="24"/>
          <w:szCs w:val="24"/>
        </w:rPr>
        <w:drawing>
          <wp:inline distT="0" distB="0" distL="0" distR="0">
            <wp:extent cx="5724000" cy="3952800"/>
            <wp:effectExtent l="0" t="0" r="3810" b="0"/>
            <wp:docPr id="1234772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72344" name="Picture 123477234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4000" cy="3952800"/>
                    </a:xfrm>
                    <a:prstGeom prst="rect">
                      <a:avLst/>
                    </a:prstGeom>
                  </pic:spPr>
                </pic:pic>
              </a:graphicData>
            </a:graphic>
          </wp:inline>
        </w:drawing>
      </w: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000000">
      <w:pPr>
        <w:spacing w:line="480" w:lineRule="auto"/>
        <w:jc w:val="both"/>
        <w:rPr>
          <w:rFonts w:eastAsia="Times New Roman"/>
          <w:b/>
          <w:sz w:val="24"/>
          <w:szCs w:val="24"/>
        </w:rPr>
      </w:pPr>
      <w:proofErr w:type="spellStart"/>
      <w:r w:rsidRPr="005611E7">
        <w:rPr>
          <w:rFonts w:eastAsia="Times New Roman"/>
          <w:b/>
          <w:sz w:val="24"/>
          <w:szCs w:val="24"/>
        </w:rPr>
        <w:lastRenderedPageBreak/>
        <w:t>eFigure</w:t>
      </w:r>
      <w:proofErr w:type="spellEnd"/>
      <w:r w:rsidRPr="005611E7">
        <w:rPr>
          <w:rFonts w:eastAsia="Times New Roman"/>
          <w:b/>
          <w:sz w:val="24"/>
          <w:szCs w:val="24"/>
        </w:rPr>
        <w:t xml:space="preserve"> 1B. </w:t>
      </w:r>
      <w:r w:rsidRPr="005611E7">
        <w:rPr>
          <w:rFonts w:eastAsia="Times New Roman"/>
          <w:sz w:val="24"/>
          <w:szCs w:val="24"/>
        </w:rPr>
        <w:t xml:space="preserve">Trial sequential analysis of the incidence of adverse events of special interest. The required information size to detect or reject the effect size found in our meta-analysis is calculated to 2,906 patients and 2,906 eyes, with a double sided </w:t>
      </w:r>
      <w:r w:rsidRPr="005611E7">
        <w:rPr>
          <w:rFonts w:eastAsia="Times New Roman"/>
          <w:color w:val="131413"/>
          <w:sz w:val="24"/>
          <w:szCs w:val="24"/>
        </w:rPr>
        <w:t>α of 0.05 and a β of 0.20 (power of 80%). The cumulative Z-curve did not reach any of the boundaries.</w:t>
      </w:r>
    </w:p>
    <w:p w:rsidR="00C602B7" w:rsidRPr="005611E7" w:rsidRDefault="003C3E94">
      <w:pPr>
        <w:spacing w:line="480" w:lineRule="auto"/>
        <w:jc w:val="both"/>
        <w:rPr>
          <w:rFonts w:eastAsia="Times New Roman"/>
          <w:b/>
          <w:sz w:val="24"/>
          <w:szCs w:val="24"/>
        </w:rPr>
      </w:pPr>
      <w:r>
        <w:rPr>
          <w:rFonts w:eastAsia="Times New Roman"/>
          <w:b/>
          <w:noProof/>
          <w:sz w:val="24"/>
          <w:szCs w:val="24"/>
        </w:rPr>
        <w:drawing>
          <wp:inline distT="0" distB="0" distL="0" distR="0">
            <wp:extent cx="5724000" cy="3952800"/>
            <wp:effectExtent l="0" t="0" r="3810" b="0"/>
            <wp:docPr id="439059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59212" name="Picture 4390592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24000" cy="3952800"/>
                    </a:xfrm>
                    <a:prstGeom prst="rect">
                      <a:avLst/>
                    </a:prstGeom>
                  </pic:spPr>
                </pic:pic>
              </a:graphicData>
            </a:graphic>
          </wp:inline>
        </w:drawing>
      </w: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C602B7">
      <w:pPr>
        <w:spacing w:line="480" w:lineRule="auto"/>
        <w:jc w:val="both"/>
        <w:rPr>
          <w:rFonts w:eastAsia="Times New Roman"/>
          <w:b/>
          <w:sz w:val="24"/>
          <w:szCs w:val="24"/>
        </w:rPr>
      </w:pPr>
    </w:p>
    <w:p w:rsidR="00C602B7" w:rsidRPr="005611E7" w:rsidRDefault="00000000">
      <w:pPr>
        <w:spacing w:line="480" w:lineRule="auto"/>
        <w:jc w:val="both"/>
        <w:rPr>
          <w:rFonts w:eastAsia="Times New Roman"/>
          <w:b/>
          <w:sz w:val="24"/>
          <w:szCs w:val="24"/>
        </w:rPr>
      </w:pPr>
      <w:proofErr w:type="spellStart"/>
      <w:r w:rsidRPr="005611E7">
        <w:rPr>
          <w:rFonts w:eastAsia="Times New Roman"/>
          <w:b/>
          <w:sz w:val="24"/>
          <w:szCs w:val="24"/>
        </w:rPr>
        <w:lastRenderedPageBreak/>
        <w:t>eFigure</w:t>
      </w:r>
      <w:proofErr w:type="spellEnd"/>
      <w:r w:rsidRPr="005611E7">
        <w:rPr>
          <w:rFonts w:eastAsia="Times New Roman"/>
          <w:b/>
          <w:sz w:val="24"/>
          <w:szCs w:val="24"/>
        </w:rPr>
        <w:t xml:space="preserve"> 1C. </w:t>
      </w:r>
      <w:r w:rsidRPr="005611E7">
        <w:rPr>
          <w:rFonts w:eastAsia="Times New Roman"/>
          <w:sz w:val="24"/>
          <w:szCs w:val="24"/>
        </w:rPr>
        <w:t xml:space="preserve">Trial sequential analysis of the incidence of intraocular inflammation. The required information size to detect or reject the effect size found in our meta-analysis is calculated to 2,631 patients and 2,631 eyes, with a double sided </w:t>
      </w:r>
      <w:r w:rsidRPr="005611E7">
        <w:rPr>
          <w:rFonts w:eastAsia="Times New Roman"/>
          <w:color w:val="131413"/>
          <w:sz w:val="24"/>
          <w:szCs w:val="24"/>
        </w:rPr>
        <w:t>α of 0.05 and a β of 0.20 (power of 80%). The cumulative Z-curve did not reach any of the boundaries.</w:t>
      </w:r>
    </w:p>
    <w:p w:rsidR="00C602B7" w:rsidRPr="005611E7" w:rsidRDefault="003C3E94">
      <w:pPr>
        <w:spacing w:line="480" w:lineRule="auto"/>
        <w:rPr>
          <w:rFonts w:eastAsia="Times New Roman"/>
          <w:sz w:val="24"/>
          <w:szCs w:val="24"/>
        </w:rPr>
      </w:pPr>
      <w:r>
        <w:rPr>
          <w:rFonts w:eastAsia="Times New Roman"/>
          <w:noProof/>
          <w:sz w:val="24"/>
          <w:szCs w:val="24"/>
        </w:rPr>
        <w:drawing>
          <wp:inline distT="0" distB="0" distL="0" distR="0">
            <wp:extent cx="5724000" cy="3952800"/>
            <wp:effectExtent l="0" t="0" r="3810" b="0"/>
            <wp:docPr id="14433151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15188" name="Picture 14433151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4000" cy="3952800"/>
                    </a:xfrm>
                    <a:prstGeom prst="rect">
                      <a:avLst/>
                    </a:prstGeom>
                  </pic:spPr>
                </pic:pic>
              </a:graphicData>
            </a:graphic>
          </wp:inline>
        </w:drawing>
      </w: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C602B7" w:rsidRPr="005611E7" w:rsidRDefault="00C602B7">
      <w:pPr>
        <w:spacing w:line="480" w:lineRule="auto"/>
        <w:rPr>
          <w:rFonts w:eastAsia="Times New Roman"/>
          <w:sz w:val="24"/>
          <w:szCs w:val="24"/>
        </w:rPr>
      </w:pPr>
    </w:p>
    <w:p w:rsidR="00B81059" w:rsidRPr="005611E7" w:rsidRDefault="00B81059">
      <w:pPr>
        <w:spacing w:line="480" w:lineRule="auto"/>
        <w:rPr>
          <w:rFonts w:eastAsia="Times New Roman"/>
          <w:sz w:val="24"/>
          <w:szCs w:val="24"/>
        </w:rPr>
      </w:pPr>
    </w:p>
    <w:p w:rsidR="00C602B7" w:rsidRPr="005611E7" w:rsidRDefault="00000000">
      <w:pPr>
        <w:spacing w:line="480" w:lineRule="auto"/>
        <w:jc w:val="both"/>
        <w:rPr>
          <w:rFonts w:eastAsia="Times New Roman"/>
          <w:sz w:val="24"/>
          <w:szCs w:val="24"/>
        </w:rPr>
      </w:pPr>
      <w:proofErr w:type="spellStart"/>
      <w:r w:rsidRPr="005611E7">
        <w:rPr>
          <w:rFonts w:eastAsia="Times New Roman"/>
          <w:b/>
          <w:sz w:val="24"/>
          <w:szCs w:val="24"/>
        </w:rPr>
        <w:lastRenderedPageBreak/>
        <w:t>eFigure</w:t>
      </w:r>
      <w:proofErr w:type="spellEnd"/>
      <w:r w:rsidRPr="005611E7">
        <w:rPr>
          <w:rFonts w:eastAsia="Times New Roman"/>
          <w:b/>
          <w:sz w:val="24"/>
          <w:szCs w:val="24"/>
        </w:rPr>
        <w:t xml:space="preserve"> 1D. </w:t>
      </w:r>
      <w:r w:rsidRPr="005611E7">
        <w:rPr>
          <w:rFonts w:eastAsia="Times New Roman"/>
          <w:sz w:val="24"/>
          <w:szCs w:val="24"/>
        </w:rPr>
        <w:t xml:space="preserve">Trial sequential analysis of the incidence of retinal vasculitis. The required information size to detect or reject the effect size found in our meta-analysis is calculated to 8,286 patients and 8,286 eyes, with a double sided </w:t>
      </w:r>
      <w:r w:rsidRPr="005611E7">
        <w:rPr>
          <w:rFonts w:eastAsia="Times New Roman"/>
          <w:color w:val="131413"/>
          <w:sz w:val="24"/>
          <w:szCs w:val="24"/>
        </w:rPr>
        <w:t>α of 0.05 and a β of 0.20 (power of 80%). The cumulative Z-curve did not reach any of the boundaries.</w:t>
      </w:r>
    </w:p>
    <w:p w:rsidR="00C602B7" w:rsidRDefault="003C3E9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5724000" cy="3952800"/>
            <wp:effectExtent l="0" t="0" r="3810" b="0"/>
            <wp:docPr id="739862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862144" name="Picture 7398621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4000" cy="3952800"/>
                    </a:xfrm>
                    <a:prstGeom prst="rect">
                      <a:avLst/>
                    </a:prstGeom>
                  </pic:spPr>
                </pic:pic>
              </a:graphicData>
            </a:graphic>
          </wp:inline>
        </w:drawing>
      </w:r>
    </w:p>
    <w:sectPr w:rsidR="00C602B7">
      <w:pgSz w:w="11909"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B7"/>
    <w:rsid w:val="002073E2"/>
    <w:rsid w:val="003C3E94"/>
    <w:rsid w:val="005611E7"/>
    <w:rsid w:val="00B703BC"/>
    <w:rsid w:val="00B81059"/>
    <w:rsid w:val="00C602B7"/>
    <w:rsid w:val="00EC5D62"/>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8D34"/>
  <w15:docId w15:val="{23E3D0A0-63BA-0B4E-A1CA-D042BF00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E1C30"/>
    <w:pPr>
      <w:spacing w:line="240" w:lineRule="auto"/>
    </w:pPr>
  </w:style>
  <w:style w:type="character" w:styleId="CommentReference">
    <w:name w:val="annotation reference"/>
    <w:basedOn w:val="DefaultParagraphFont"/>
    <w:uiPriority w:val="99"/>
    <w:semiHidden/>
    <w:unhideWhenUsed/>
    <w:rsid w:val="004E1C30"/>
    <w:rPr>
      <w:sz w:val="16"/>
      <w:szCs w:val="16"/>
    </w:rPr>
  </w:style>
  <w:style w:type="paragraph" w:styleId="CommentText">
    <w:name w:val="annotation text"/>
    <w:basedOn w:val="Normal"/>
    <w:link w:val="CommentTextChar"/>
    <w:uiPriority w:val="99"/>
    <w:unhideWhenUsed/>
    <w:rsid w:val="004E1C30"/>
    <w:pPr>
      <w:spacing w:line="240" w:lineRule="auto"/>
    </w:pPr>
    <w:rPr>
      <w:sz w:val="20"/>
      <w:szCs w:val="20"/>
    </w:rPr>
  </w:style>
  <w:style w:type="character" w:customStyle="1" w:styleId="CommentTextChar">
    <w:name w:val="Comment Text Char"/>
    <w:basedOn w:val="DefaultParagraphFont"/>
    <w:link w:val="CommentText"/>
    <w:uiPriority w:val="99"/>
    <w:rsid w:val="004E1C30"/>
    <w:rPr>
      <w:sz w:val="20"/>
      <w:szCs w:val="20"/>
    </w:rPr>
  </w:style>
  <w:style w:type="paragraph" w:styleId="CommentSubject">
    <w:name w:val="annotation subject"/>
    <w:basedOn w:val="CommentText"/>
    <w:next w:val="CommentText"/>
    <w:link w:val="CommentSubjectChar"/>
    <w:uiPriority w:val="99"/>
    <w:semiHidden/>
    <w:unhideWhenUsed/>
    <w:rsid w:val="004E1C30"/>
    <w:rPr>
      <w:b/>
      <w:bCs/>
    </w:rPr>
  </w:style>
  <w:style w:type="character" w:customStyle="1" w:styleId="CommentSubjectChar">
    <w:name w:val="Comment Subject Char"/>
    <w:basedOn w:val="CommentTextChar"/>
    <w:link w:val="CommentSubject"/>
    <w:uiPriority w:val="99"/>
    <w:semiHidden/>
    <w:rsid w:val="004E1C30"/>
    <w:rPr>
      <w:b/>
      <w:bCs/>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tif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l1w2WvJWDcvz12JmF29OFuCsZQ==">CgMxLjA4AHIhMWR3R1U5dzVvcWFWOW1wUUNERlBXY1VJODFhalNwMnN4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1939</Words>
  <Characters>11055</Characters>
  <Application>Microsoft Office Word</Application>
  <DocSecurity>0</DocSecurity>
  <Lines>92</Lines>
  <Paragraphs>25</Paragraphs>
  <ScaleCrop>false</ScaleCrop>
  <Company/>
  <LinksUpToDate>false</LinksUpToDate>
  <CharactersWithSpaces>12969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Binotti</dc:creator>
  <cp:lastModifiedBy>Leonardo Busch Justino</cp:lastModifiedBy>
  <cp:revision>5</cp:revision>
  <dcterms:created xsi:type="dcterms:W3CDTF">2024-10-31T01:06:00Z</dcterms:created>
  <dcterms:modified xsi:type="dcterms:W3CDTF">2024-11-01T04:47:00Z</dcterms:modified>
</cp:coreProperties>
</file>