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954658" w14:textId="77777777" w:rsidR="00736479" w:rsidRPr="00DC1B46" w:rsidRDefault="00736479" w:rsidP="00736479">
      <w:pPr>
        <w:spacing w:after="0" w:line="480" w:lineRule="auto"/>
        <w:jc w:val="center"/>
        <w:rPr>
          <w:rFonts w:ascii="Times New Roman" w:hAnsi="Times New Roman" w:cs="Times New Roman"/>
          <w:b/>
          <w:i/>
          <w:sz w:val="32"/>
          <w:szCs w:val="20"/>
          <w:lang w:val="en-GB"/>
        </w:rPr>
      </w:pPr>
      <w:bookmarkStart w:id="0" w:name="_Hlk166667541"/>
      <w:r w:rsidRPr="00DC1B46">
        <w:rPr>
          <w:rFonts w:ascii="Times New Roman" w:hAnsi="Times New Roman" w:cs="Times New Roman"/>
          <w:b/>
          <w:i/>
          <w:sz w:val="32"/>
          <w:szCs w:val="20"/>
          <w:lang w:val="en-GB"/>
        </w:rPr>
        <w:t>Advancing Heart Valve replacement: risk mitigation of Decellularized Pulmonary valve preparation for its implementation in Public Tissue Banks.</w:t>
      </w:r>
    </w:p>
    <w:p w14:paraId="15B87603" w14:textId="77777777" w:rsidR="00736479" w:rsidRDefault="00736479" w:rsidP="00736479">
      <w:pPr>
        <w:widowControl w:val="0"/>
        <w:suppressAutoHyphens/>
        <w:spacing w:after="0" w:line="480" w:lineRule="auto"/>
        <w:jc w:val="both"/>
        <w:rPr>
          <w:rFonts w:ascii="Times New Roman" w:hAnsi="Times New Roman" w:cs="Times New Roman"/>
          <w:lang w:val="pt-PT"/>
        </w:rPr>
      </w:pPr>
      <w:bookmarkStart w:id="1" w:name="_Hlk165273666"/>
      <w:bookmarkEnd w:id="0"/>
      <w:r>
        <w:rPr>
          <w:rFonts w:ascii="Times New Roman" w:hAnsi="Times New Roman" w:cs="Times New Roman"/>
          <w:lang w:val="pt-PT"/>
        </w:rPr>
        <w:t xml:space="preserve">Jose Ignacio Rodríguez Martínez </w:t>
      </w:r>
      <w:r>
        <w:rPr>
          <w:rFonts w:ascii="Times New Roman" w:hAnsi="Times New Roman" w:cs="Times New Roman"/>
          <w:vertAlign w:val="superscript"/>
          <w:lang w:val="pt-PT"/>
        </w:rPr>
        <w:t>1,2,*</w:t>
      </w:r>
      <w:r>
        <w:rPr>
          <w:rFonts w:ascii="Times New Roman" w:hAnsi="Times New Roman" w:cs="Times New Roman"/>
          <w:lang w:val="pt-PT"/>
        </w:rPr>
        <w:t xml:space="preserve">, Cristina Castells-Sala </w:t>
      </w:r>
      <w:r>
        <w:rPr>
          <w:rFonts w:ascii="Times New Roman" w:hAnsi="Times New Roman" w:cs="Times New Roman"/>
          <w:vertAlign w:val="superscript"/>
          <w:lang w:val="pt-PT"/>
        </w:rPr>
        <w:t>1,2,*</w:t>
      </w:r>
      <w:r>
        <w:rPr>
          <w:rFonts w:ascii="Times New Roman" w:hAnsi="Times New Roman" w:cs="Times New Roman"/>
          <w:lang w:val="pt-PT"/>
        </w:rPr>
        <w:t xml:space="preserve">, Ana Rita. Pitera </w:t>
      </w:r>
      <w:r>
        <w:rPr>
          <w:rFonts w:ascii="Times New Roman" w:hAnsi="Times New Roman" w:cs="Times New Roman"/>
          <w:vertAlign w:val="superscript"/>
          <w:lang w:val="pt-PT"/>
        </w:rPr>
        <w:t>1,2</w:t>
      </w:r>
      <w:r>
        <w:rPr>
          <w:rFonts w:ascii="Times New Roman" w:hAnsi="Times New Roman" w:cs="Times New Roman"/>
          <w:lang w:val="pt-PT"/>
        </w:rPr>
        <w:t>, , Giulia Montagner</w:t>
      </w:r>
      <w:r>
        <w:rPr>
          <w:rFonts w:ascii="Times New Roman" w:hAnsi="Times New Roman" w:cs="Times New Roman"/>
          <w:vertAlign w:val="superscript"/>
          <w:lang w:val="pt-PT"/>
        </w:rPr>
        <w:t>4</w:t>
      </w:r>
      <w:r>
        <w:rPr>
          <w:rFonts w:ascii="Times New Roman" w:hAnsi="Times New Roman" w:cs="Times New Roman"/>
          <w:lang w:val="pt-PT"/>
        </w:rPr>
        <w:t>; Diletta. Trojan</w:t>
      </w:r>
      <w:r>
        <w:rPr>
          <w:rFonts w:ascii="Times New Roman" w:hAnsi="Times New Roman" w:cs="Times New Roman"/>
          <w:vertAlign w:val="superscript"/>
          <w:lang w:val="pt-PT"/>
        </w:rPr>
        <w:t>4</w:t>
      </w:r>
      <w:bookmarkStart w:id="2" w:name="_Hlk165969605"/>
      <w:r>
        <w:rPr>
          <w:rFonts w:ascii="Times New Roman" w:hAnsi="Times New Roman" w:cs="Times New Roman"/>
          <w:lang w:val="pt-PT"/>
        </w:rPr>
        <w:t xml:space="preserve">, Pablo </w:t>
      </w:r>
      <w:r>
        <w:rPr>
          <w:rStyle w:val="ui-provider"/>
          <w:rFonts w:ascii="Times New Roman" w:hAnsi="Times New Roman" w:cs="Times New Roman"/>
        </w:rPr>
        <w:t>Martinez-Legazpi</w:t>
      </w:r>
      <w:r>
        <w:rPr>
          <w:rFonts w:ascii="Times New Roman" w:hAnsi="Times New Roman" w:cs="Times New Roman"/>
          <w:vertAlign w:val="superscript"/>
          <w:lang w:val="pt-PT"/>
        </w:rPr>
        <w:t>5,7</w:t>
      </w:r>
      <w:r>
        <w:rPr>
          <w:rFonts w:ascii="Times New Roman" w:hAnsi="Times New Roman" w:cs="Times New Roman"/>
          <w:lang w:val="pt-PT"/>
        </w:rPr>
        <w:t>, Alejandra Acosta Ocampo</w:t>
      </w:r>
      <w:r>
        <w:rPr>
          <w:rFonts w:ascii="Times New Roman" w:hAnsi="Times New Roman" w:cs="Times New Roman"/>
          <w:vertAlign w:val="superscript"/>
          <w:lang w:val="pt-PT"/>
        </w:rPr>
        <w:t>6,7</w:t>
      </w:r>
      <w:r>
        <w:rPr>
          <w:rFonts w:ascii="Times New Roman" w:hAnsi="Times New Roman" w:cs="Times New Roman"/>
          <w:lang w:val="pt-PT"/>
        </w:rPr>
        <w:t>, Maria Eugenia Fernández-Santos</w:t>
      </w:r>
      <w:r>
        <w:rPr>
          <w:rFonts w:ascii="Times New Roman" w:hAnsi="Times New Roman" w:cs="Times New Roman"/>
          <w:vertAlign w:val="superscript"/>
          <w:lang w:val="pt-PT"/>
        </w:rPr>
        <w:t>6,7</w:t>
      </w:r>
      <w:r>
        <w:rPr>
          <w:rFonts w:ascii="Times New Roman" w:hAnsi="Times New Roman" w:cs="Times New Roman"/>
          <w:lang w:val="pt-PT"/>
        </w:rPr>
        <w:t xml:space="preserve">, </w:t>
      </w:r>
      <w:r>
        <w:rPr>
          <w:rStyle w:val="ui-provider"/>
          <w:rFonts w:ascii="Times New Roman" w:hAnsi="Times New Roman" w:cs="Times New Roman"/>
        </w:rPr>
        <w:t>Javier Bermejo</w:t>
      </w:r>
      <w:r>
        <w:rPr>
          <w:rFonts w:ascii="Times New Roman" w:hAnsi="Times New Roman" w:cs="Times New Roman"/>
          <w:vertAlign w:val="superscript"/>
          <w:lang w:val="pt-PT"/>
        </w:rPr>
        <w:t>6</w:t>
      </w:r>
      <w:bookmarkEnd w:id="2"/>
      <w:r>
        <w:rPr>
          <w:rFonts w:ascii="Times New Roman" w:hAnsi="Times New Roman" w:cs="Times New Roman"/>
          <w:vertAlign w:val="superscript"/>
          <w:lang w:val="pt-PT"/>
        </w:rPr>
        <w:t>,7,8</w:t>
      </w:r>
      <w:r>
        <w:rPr>
          <w:rStyle w:val="ui-provider"/>
          <w:rFonts w:ascii="Times New Roman" w:hAnsi="Times New Roman" w:cs="Times New Roman"/>
        </w:rPr>
        <w:t>,</w:t>
      </w:r>
      <w:r>
        <w:rPr>
          <w:rFonts w:ascii="Times New Roman" w:hAnsi="Times New Roman" w:cs="Times New Roman"/>
          <w:lang w:val="pt-PT"/>
        </w:rPr>
        <w:t xml:space="preserve"> Ramadan Jashari</w:t>
      </w:r>
      <w:r>
        <w:rPr>
          <w:rFonts w:ascii="Times New Roman" w:hAnsi="Times New Roman" w:cs="Times New Roman"/>
          <w:vertAlign w:val="superscript"/>
          <w:lang w:val="pt-PT"/>
        </w:rPr>
        <w:t>-9</w:t>
      </w:r>
      <w:r>
        <w:rPr>
          <w:rFonts w:ascii="Times New Roman" w:hAnsi="Times New Roman" w:cs="Times New Roman"/>
          <w:lang w:val="pt-PT"/>
        </w:rPr>
        <w:t>, Maria Luisa Pérez</w:t>
      </w:r>
      <w:r>
        <w:rPr>
          <w:rFonts w:ascii="Times New Roman" w:hAnsi="Times New Roman" w:cs="Times New Roman"/>
          <w:vertAlign w:val="superscript"/>
          <w:lang w:val="pt-PT"/>
        </w:rPr>
        <w:t>1,3</w:t>
      </w:r>
      <w:r>
        <w:rPr>
          <w:rFonts w:ascii="Times New Roman" w:hAnsi="Times New Roman" w:cs="Times New Roman"/>
          <w:lang w:val="pt-PT"/>
        </w:rPr>
        <w:t>, Elba Agustí</w:t>
      </w:r>
      <w:r>
        <w:rPr>
          <w:rFonts w:ascii="Times New Roman" w:hAnsi="Times New Roman" w:cs="Times New Roman"/>
          <w:vertAlign w:val="superscript"/>
          <w:lang w:val="pt-PT"/>
        </w:rPr>
        <w:t>1,3</w:t>
      </w:r>
      <w:r>
        <w:rPr>
          <w:rFonts w:ascii="Times New Roman" w:hAnsi="Times New Roman" w:cs="Times New Roman"/>
          <w:lang w:val="pt-PT"/>
        </w:rPr>
        <w:t xml:space="preserve">, </w:t>
      </w:r>
      <w:r>
        <w:rPr>
          <w:rFonts w:ascii="Times New Roman" w:hAnsi="Times New Roman" w:cs="Times New Roman"/>
          <w:bCs/>
          <w:lang w:val="pt-PT"/>
        </w:rPr>
        <w:t xml:space="preserve">Jaime Tabera </w:t>
      </w:r>
      <w:r>
        <w:rPr>
          <w:rFonts w:ascii="Times New Roman" w:hAnsi="Times New Roman" w:cs="Times New Roman"/>
          <w:vertAlign w:val="superscript"/>
          <w:lang w:val="pt-PT"/>
        </w:rPr>
        <w:t>1,2</w:t>
      </w:r>
      <w:r>
        <w:rPr>
          <w:rFonts w:ascii="Times New Roman" w:hAnsi="Times New Roman" w:cs="Times New Roman"/>
          <w:bCs/>
          <w:lang w:val="pt-PT"/>
        </w:rPr>
        <w:t xml:space="preserve">, Anna Vilarrodona </w:t>
      </w:r>
      <w:r>
        <w:rPr>
          <w:rFonts w:ascii="Times New Roman" w:hAnsi="Times New Roman" w:cs="Times New Roman"/>
          <w:vertAlign w:val="superscript"/>
          <w:lang w:val="pt-PT"/>
        </w:rPr>
        <w:t>1,3</w:t>
      </w:r>
      <w:r>
        <w:rPr>
          <w:rFonts w:ascii="Times New Roman" w:hAnsi="Times New Roman" w:cs="Times New Roman"/>
          <w:bCs/>
          <w:lang w:val="pt-PT"/>
        </w:rPr>
        <w:t>.</w:t>
      </w:r>
      <w:r>
        <w:rPr>
          <w:rFonts w:ascii="Times New Roman" w:hAnsi="Times New Roman" w:cs="Times New Roman"/>
          <w:b/>
          <w:bCs/>
          <w:lang w:val="pt-PT"/>
        </w:rPr>
        <w:t xml:space="preserve"> </w:t>
      </w:r>
    </w:p>
    <w:p w14:paraId="609414F9" w14:textId="77777777" w:rsidR="00736479" w:rsidRPr="00280C14" w:rsidRDefault="00736479" w:rsidP="00736479">
      <w:pPr>
        <w:widowControl w:val="0"/>
        <w:numPr>
          <w:ilvl w:val="0"/>
          <w:numId w:val="1"/>
        </w:numPr>
        <w:suppressAutoHyphens/>
        <w:spacing w:after="0" w:line="480" w:lineRule="auto"/>
        <w:jc w:val="both"/>
        <w:rPr>
          <w:rFonts w:ascii="Times New Roman" w:hAnsi="Times New Roman" w:cs="Times New Roman"/>
          <w:i/>
          <w:sz w:val="14"/>
        </w:rPr>
      </w:pPr>
      <w:r w:rsidRPr="00280C14">
        <w:rPr>
          <w:rFonts w:ascii="Times New Roman" w:hAnsi="Times New Roman" w:cs="Times New Roman"/>
          <w:i/>
          <w:sz w:val="14"/>
        </w:rPr>
        <w:t xml:space="preserve">Barcelona </w:t>
      </w:r>
      <w:proofErr w:type="spellStart"/>
      <w:r w:rsidRPr="00280C14">
        <w:rPr>
          <w:rFonts w:ascii="Times New Roman" w:hAnsi="Times New Roman" w:cs="Times New Roman"/>
          <w:i/>
          <w:sz w:val="14"/>
        </w:rPr>
        <w:t>Tissue</w:t>
      </w:r>
      <w:proofErr w:type="spellEnd"/>
      <w:r w:rsidRPr="00280C14">
        <w:rPr>
          <w:rFonts w:ascii="Times New Roman" w:hAnsi="Times New Roman" w:cs="Times New Roman"/>
          <w:i/>
          <w:sz w:val="14"/>
        </w:rPr>
        <w:t xml:space="preserve"> Bank, Banc de </w:t>
      </w:r>
      <w:proofErr w:type="spellStart"/>
      <w:r w:rsidRPr="00280C14">
        <w:rPr>
          <w:rFonts w:ascii="Times New Roman" w:hAnsi="Times New Roman" w:cs="Times New Roman"/>
          <w:i/>
          <w:sz w:val="14"/>
        </w:rPr>
        <w:t>Sang</w:t>
      </w:r>
      <w:proofErr w:type="spellEnd"/>
      <w:r w:rsidRPr="00280C14">
        <w:rPr>
          <w:rFonts w:ascii="Times New Roman" w:hAnsi="Times New Roman" w:cs="Times New Roman"/>
          <w:i/>
          <w:sz w:val="14"/>
        </w:rPr>
        <w:t xml:space="preserve"> i Teixits (BST), Barcelona, </w:t>
      </w:r>
      <w:proofErr w:type="spellStart"/>
      <w:r w:rsidRPr="00280C14">
        <w:rPr>
          <w:rFonts w:ascii="Times New Roman" w:hAnsi="Times New Roman" w:cs="Times New Roman"/>
          <w:i/>
          <w:sz w:val="14"/>
        </w:rPr>
        <w:t>Spain</w:t>
      </w:r>
      <w:proofErr w:type="spellEnd"/>
      <w:r w:rsidRPr="00280C14">
        <w:rPr>
          <w:rFonts w:ascii="Times New Roman" w:hAnsi="Times New Roman" w:cs="Times New Roman"/>
          <w:i/>
          <w:sz w:val="14"/>
        </w:rPr>
        <w:t xml:space="preserve"> </w:t>
      </w:r>
    </w:p>
    <w:p w14:paraId="2BF58407" w14:textId="77777777" w:rsidR="00736479" w:rsidRPr="00280C14" w:rsidRDefault="00736479" w:rsidP="00736479">
      <w:pPr>
        <w:widowControl w:val="0"/>
        <w:numPr>
          <w:ilvl w:val="0"/>
          <w:numId w:val="1"/>
        </w:numPr>
        <w:suppressAutoHyphens/>
        <w:spacing w:after="0" w:line="480" w:lineRule="auto"/>
        <w:jc w:val="both"/>
        <w:rPr>
          <w:rFonts w:ascii="Times New Roman" w:hAnsi="Times New Roman" w:cs="Times New Roman"/>
          <w:i/>
          <w:sz w:val="14"/>
          <w:lang w:val="en-GB"/>
        </w:rPr>
      </w:pPr>
      <w:r w:rsidRPr="00280C14">
        <w:rPr>
          <w:rFonts w:ascii="Times New Roman" w:hAnsi="Times New Roman" w:cs="Times New Roman"/>
          <w:i/>
          <w:sz w:val="14"/>
          <w:lang w:val="en-US"/>
        </w:rPr>
        <w:t>Biomedical Research Institute (IIB-Sant Pau; SGR1113)</w:t>
      </w:r>
      <w:r w:rsidRPr="00280C14">
        <w:rPr>
          <w:rFonts w:ascii="Times New Roman" w:hAnsi="Times New Roman" w:cs="Times New Roman"/>
          <w:i/>
          <w:sz w:val="14"/>
          <w:lang w:val="en-GB"/>
        </w:rPr>
        <w:t>, Barcelona, Spain</w:t>
      </w:r>
    </w:p>
    <w:p w14:paraId="04D6C5C8" w14:textId="77777777" w:rsidR="00736479" w:rsidRPr="00280C14" w:rsidRDefault="00736479" w:rsidP="00736479">
      <w:pPr>
        <w:widowControl w:val="0"/>
        <w:numPr>
          <w:ilvl w:val="0"/>
          <w:numId w:val="1"/>
        </w:numPr>
        <w:suppressAutoHyphens/>
        <w:spacing w:after="0" w:line="480" w:lineRule="auto"/>
        <w:jc w:val="both"/>
        <w:rPr>
          <w:rFonts w:ascii="Times New Roman" w:hAnsi="Times New Roman" w:cs="Times New Roman"/>
          <w:i/>
          <w:sz w:val="14"/>
          <w:lang w:val="en-GB"/>
        </w:rPr>
      </w:pPr>
      <w:r w:rsidRPr="00280C14">
        <w:rPr>
          <w:rFonts w:ascii="Times New Roman" w:hAnsi="Times New Roman" w:cs="Times New Roman"/>
          <w:i/>
          <w:sz w:val="14"/>
          <w:lang w:val="en-GB"/>
        </w:rPr>
        <w:t>Vall Hebron Institute of Research (VHIR), Barcelona, Spain</w:t>
      </w:r>
    </w:p>
    <w:p w14:paraId="3E6E36D7" w14:textId="77777777" w:rsidR="00736479" w:rsidRPr="00280C14" w:rsidRDefault="00736479" w:rsidP="00736479">
      <w:pPr>
        <w:widowControl w:val="0"/>
        <w:numPr>
          <w:ilvl w:val="0"/>
          <w:numId w:val="1"/>
        </w:numPr>
        <w:suppressAutoHyphens/>
        <w:spacing w:after="0" w:line="480" w:lineRule="auto"/>
        <w:jc w:val="both"/>
        <w:rPr>
          <w:rFonts w:ascii="Times New Roman" w:hAnsi="Times New Roman" w:cs="Times New Roman"/>
          <w:i/>
          <w:sz w:val="14"/>
        </w:rPr>
      </w:pPr>
      <w:proofErr w:type="spellStart"/>
      <w:r w:rsidRPr="00280C14">
        <w:rPr>
          <w:rFonts w:ascii="Times New Roman" w:hAnsi="Times New Roman" w:cs="Times New Roman"/>
          <w:i/>
          <w:sz w:val="14"/>
        </w:rPr>
        <w:t>Fondazione</w:t>
      </w:r>
      <w:proofErr w:type="spellEnd"/>
      <w:r w:rsidRPr="00280C14">
        <w:rPr>
          <w:rFonts w:ascii="Times New Roman" w:hAnsi="Times New Roman" w:cs="Times New Roman"/>
          <w:i/>
          <w:sz w:val="14"/>
        </w:rPr>
        <w:t xml:space="preserve"> Banca </w:t>
      </w:r>
      <w:proofErr w:type="spellStart"/>
      <w:r w:rsidRPr="00280C14">
        <w:rPr>
          <w:rFonts w:ascii="Times New Roman" w:hAnsi="Times New Roman" w:cs="Times New Roman"/>
          <w:i/>
          <w:sz w:val="14"/>
        </w:rPr>
        <w:t>dei</w:t>
      </w:r>
      <w:proofErr w:type="spellEnd"/>
      <w:r w:rsidRPr="00280C14">
        <w:rPr>
          <w:rFonts w:ascii="Times New Roman" w:hAnsi="Times New Roman" w:cs="Times New Roman"/>
          <w:i/>
          <w:sz w:val="14"/>
        </w:rPr>
        <w:t xml:space="preserve"> </w:t>
      </w:r>
      <w:proofErr w:type="spellStart"/>
      <w:r w:rsidRPr="00280C14">
        <w:rPr>
          <w:rFonts w:ascii="Times New Roman" w:hAnsi="Times New Roman" w:cs="Times New Roman"/>
          <w:i/>
          <w:sz w:val="14"/>
        </w:rPr>
        <w:t>Tessuti</w:t>
      </w:r>
      <w:proofErr w:type="spellEnd"/>
      <w:r w:rsidRPr="00280C14">
        <w:rPr>
          <w:rFonts w:ascii="Times New Roman" w:hAnsi="Times New Roman" w:cs="Times New Roman"/>
          <w:i/>
          <w:sz w:val="14"/>
        </w:rPr>
        <w:t xml:space="preserve"> del </w:t>
      </w:r>
      <w:proofErr w:type="spellStart"/>
      <w:r w:rsidRPr="00280C14">
        <w:rPr>
          <w:rFonts w:ascii="Times New Roman" w:hAnsi="Times New Roman" w:cs="Times New Roman"/>
          <w:i/>
          <w:sz w:val="14"/>
        </w:rPr>
        <w:t>Veneto</w:t>
      </w:r>
      <w:proofErr w:type="spellEnd"/>
      <w:r w:rsidRPr="00280C14">
        <w:rPr>
          <w:rFonts w:ascii="Times New Roman" w:hAnsi="Times New Roman" w:cs="Times New Roman"/>
          <w:i/>
          <w:sz w:val="14"/>
        </w:rPr>
        <w:t xml:space="preserve">, Treviso, </w:t>
      </w:r>
      <w:proofErr w:type="spellStart"/>
      <w:r w:rsidRPr="00280C14">
        <w:rPr>
          <w:rFonts w:ascii="Times New Roman" w:hAnsi="Times New Roman" w:cs="Times New Roman"/>
          <w:i/>
          <w:sz w:val="14"/>
        </w:rPr>
        <w:t>Italy</w:t>
      </w:r>
      <w:proofErr w:type="spellEnd"/>
    </w:p>
    <w:p w14:paraId="253A9DE4" w14:textId="77777777" w:rsidR="00736479" w:rsidRPr="00280C14" w:rsidRDefault="00736479" w:rsidP="00736479">
      <w:pPr>
        <w:widowControl w:val="0"/>
        <w:numPr>
          <w:ilvl w:val="0"/>
          <w:numId w:val="1"/>
        </w:numPr>
        <w:suppressAutoHyphens/>
        <w:spacing w:after="0" w:line="480" w:lineRule="auto"/>
        <w:jc w:val="both"/>
        <w:rPr>
          <w:rFonts w:ascii="Times New Roman" w:hAnsi="Times New Roman" w:cs="Times New Roman"/>
          <w:i/>
          <w:iCs/>
          <w:sz w:val="14"/>
        </w:rPr>
      </w:pPr>
      <w:bookmarkStart w:id="3" w:name="_Hlk165969561"/>
      <w:proofErr w:type="spellStart"/>
      <w:r w:rsidRPr="00280C14">
        <w:rPr>
          <w:rFonts w:ascii="Times New Roman" w:hAnsi="Times New Roman" w:cs="Times New Roman"/>
          <w:i/>
          <w:sz w:val="14"/>
        </w:rPr>
        <w:t>Department</w:t>
      </w:r>
      <w:proofErr w:type="spellEnd"/>
      <w:r w:rsidRPr="00280C14">
        <w:rPr>
          <w:rFonts w:ascii="Times New Roman" w:hAnsi="Times New Roman" w:cs="Times New Roman"/>
          <w:i/>
          <w:sz w:val="14"/>
        </w:rPr>
        <w:t xml:space="preserve"> of </w:t>
      </w:r>
      <w:proofErr w:type="spellStart"/>
      <w:r w:rsidRPr="00280C14">
        <w:rPr>
          <w:rFonts w:ascii="Times New Roman" w:hAnsi="Times New Roman" w:cs="Times New Roman"/>
          <w:i/>
          <w:sz w:val="14"/>
        </w:rPr>
        <w:t>Mathematical</w:t>
      </w:r>
      <w:proofErr w:type="spellEnd"/>
      <w:r w:rsidRPr="00280C14">
        <w:rPr>
          <w:rFonts w:ascii="Times New Roman" w:hAnsi="Times New Roman" w:cs="Times New Roman"/>
          <w:i/>
          <w:sz w:val="14"/>
        </w:rPr>
        <w:t xml:space="preserve"> </w:t>
      </w:r>
      <w:proofErr w:type="spellStart"/>
      <w:r w:rsidRPr="00280C14">
        <w:rPr>
          <w:rFonts w:ascii="Times New Roman" w:hAnsi="Times New Roman" w:cs="Times New Roman"/>
          <w:i/>
          <w:sz w:val="14"/>
        </w:rPr>
        <w:t>Physics</w:t>
      </w:r>
      <w:proofErr w:type="spellEnd"/>
      <w:r w:rsidRPr="00280C14">
        <w:rPr>
          <w:rFonts w:ascii="Times New Roman" w:hAnsi="Times New Roman" w:cs="Times New Roman"/>
          <w:i/>
          <w:sz w:val="14"/>
        </w:rPr>
        <w:t xml:space="preserve"> and </w:t>
      </w:r>
      <w:proofErr w:type="spellStart"/>
      <w:r w:rsidRPr="00280C14">
        <w:rPr>
          <w:rFonts w:ascii="Times New Roman" w:hAnsi="Times New Roman" w:cs="Times New Roman"/>
          <w:i/>
          <w:sz w:val="14"/>
        </w:rPr>
        <w:t>Fluids</w:t>
      </w:r>
      <w:proofErr w:type="spellEnd"/>
      <w:r w:rsidRPr="00280C14">
        <w:rPr>
          <w:rFonts w:ascii="Times New Roman" w:hAnsi="Times New Roman" w:cs="Times New Roman"/>
          <w:i/>
          <w:sz w:val="14"/>
        </w:rPr>
        <w:t xml:space="preserve">, Universidad Nacional de Educación a Distancia, UNED, Madrid, </w:t>
      </w:r>
      <w:proofErr w:type="spellStart"/>
      <w:r w:rsidRPr="00280C14">
        <w:rPr>
          <w:rFonts w:ascii="Times New Roman" w:hAnsi="Times New Roman" w:cs="Times New Roman"/>
          <w:i/>
          <w:sz w:val="14"/>
        </w:rPr>
        <w:t>Spain</w:t>
      </w:r>
      <w:proofErr w:type="spellEnd"/>
      <w:r w:rsidRPr="00280C14">
        <w:rPr>
          <w:rFonts w:ascii="Times New Roman" w:hAnsi="Times New Roman" w:cs="Times New Roman"/>
          <w:i/>
          <w:sz w:val="14"/>
        </w:rPr>
        <w:t>.</w:t>
      </w:r>
      <w:bookmarkEnd w:id="3"/>
    </w:p>
    <w:p w14:paraId="54C7E7C1" w14:textId="77777777" w:rsidR="00736479" w:rsidRPr="00280C14" w:rsidRDefault="00736479" w:rsidP="00736479">
      <w:pPr>
        <w:widowControl w:val="0"/>
        <w:numPr>
          <w:ilvl w:val="0"/>
          <w:numId w:val="1"/>
        </w:numPr>
        <w:suppressAutoHyphens/>
        <w:spacing w:after="0" w:line="480" w:lineRule="auto"/>
        <w:jc w:val="both"/>
        <w:rPr>
          <w:rStyle w:val="ui-provider"/>
          <w:sz w:val="14"/>
          <w:lang w:val="en-IE"/>
        </w:rPr>
      </w:pPr>
      <w:r w:rsidRPr="00280C14">
        <w:rPr>
          <w:rStyle w:val="ui-provider"/>
          <w:rFonts w:ascii="Times New Roman" w:hAnsi="Times New Roman" w:cs="Times New Roman"/>
          <w:i/>
          <w:iCs/>
          <w:sz w:val="14"/>
          <w:lang w:val="en-IE"/>
        </w:rPr>
        <w:t xml:space="preserve">Department of Cardiology, Hospital General </w:t>
      </w:r>
      <w:proofErr w:type="spellStart"/>
      <w:r w:rsidRPr="00280C14">
        <w:rPr>
          <w:rStyle w:val="ui-provider"/>
          <w:rFonts w:ascii="Times New Roman" w:hAnsi="Times New Roman" w:cs="Times New Roman"/>
          <w:i/>
          <w:iCs/>
          <w:sz w:val="14"/>
          <w:lang w:val="en-IE"/>
        </w:rPr>
        <w:t>Universitario</w:t>
      </w:r>
      <w:proofErr w:type="spellEnd"/>
      <w:r w:rsidRPr="00280C14">
        <w:rPr>
          <w:rStyle w:val="ui-provider"/>
          <w:rFonts w:ascii="Times New Roman" w:hAnsi="Times New Roman" w:cs="Times New Roman"/>
          <w:i/>
          <w:iCs/>
          <w:sz w:val="14"/>
          <w:lang w:val="en-IE"/>
        </w:rPr>
        <w:t xml:space="preserve"> Gregorio </w:t>
      </w:r>
      <w:proofErr w:type="spellStart"/>
      <w:r w:rsidRPr="00280C14">
        <w:rPr>
          <w:rStyle w:val="ui-provider"/>
          <w:rFonts w:ascii="Times New Roman" w:hAnsi="Times New Roman" w:cs="Times New Roman"/>
          <w:i/>
          <w:iCs/>
          <w:sz w:val="14"/>
          <w:lang w:val="en-IE"/>
        </w:rPr>
        <w:t>Marañón</w:t>
      </w:r>
      <w:proofErr w:type="spellEnd"/>
      <w:r w:rsidRPr="00280C14">
        <w:rPr>
          <w:rStyle w:val="ui-provider"/>
          <w:rFonts w:ascii="Times New Roman" w:hAnsi="Times New Roman" w:cs="Times New Roman"/>
          <w:i/>
          <w:iCs/>
          <w:sz w:val="14"/>
          <w:lang w:val="en-IE"/>
        </w:rPr>
        <w:t xml:space="preserve">, Gregorio </w:t>
      </w:r>
      <w:proofErr w:type="spellStart"/>
      <w:r w:rsidRPr="00280C14">
        <w:rPr>
          <w:rStyle w:val="ui-provider"/>
          <w:rFonts w:ascii="Times New Roman" w:hAnsi="Times New Roman" w:cs="Times New Roman"/>
          <w:i/>
          <w:iCs/>
          <w:sz w:val="14"/>
          <w:lang w:val="en-IE"/>
        </w:rPr>
        <w:t>Marañón</w:t>
      </w:r>
      <w:proofErr w:type="spellEnd"/>
      <w:r w:rsidRPr="00280C14">
        <w:rPr>
          <w:rStyle w:val="ui-provider"/>
          <w:rFonts w:ascii="Times New Roman" w:hAnsi="Times New Roman" w:cs="Times New Roman"/>
          <w:i/>
          <w:iCs/>
          <w:sz w:val="14"/>
          <w:lang w:val="en-IE"/>
        </w:rPr>
        <w:t xml:space="preserve"> Health Research Institute (</w:t>
      </w:r>
      <w:proofErr w:type="spellStart"/>
      <w:r w:rsidRPr="00280C14">
        <w:rPr>
          <w:rStyle w:val="ui-provider"/>
          <w:rFonts w:ascii="Times New Roman" w:hAnsi="Times New Roman" w:cs="Times New Roman"/>
          <w:i/>
          <w:iCs/>
          <w:sz w:val="14"/>
          <w:lang w:val="en-IE"/>
        </w:rPr>
        <w:t>IiSGM</w:t>
      </w:r>
      <w:proofErr w:type="spellEnd"/>
      <w:r w:rsidRPr="00280C14">
        <w:rPr>
          <w:rStyle w:val="ui-provider"/>
          <w:rFonts w:ascii="Times New Roman" w:hAnsi="Times New Roman" w:cs="Times New Roman"/>
          <w:i/>
          <w:iCs/>
          <w:sz w:val="14"/>
          <w:lang w:val="en-IE"/>
        </w:rPr>
        <w:t xml:space="preserve">), Madrid, Spain. </w:t>
      </w:r>
    </w:p>
    <w:p w14:paraId="1412AC3C" w14:textId="77777777" w:rsidR="00736479" w:rsidRPr="00280C14" w:rsidRDefault="00736479" w:rsidP="00736479">
      <w:pPr>
        <w:widowControl w:val="0"/>
        <w:numPr>
          <w:ilvl w:val="0"/>
          <w:numId w:val="1"/>
        </w:numPr>
        <w:suppressAutoHyphens/>
        <w:spacing w:after="0" w:line="480" w:lineRule="auto"/>
        <w:jc w:val="both"/>
        <w:rPr>
          <w:rStyle w:val="ui-provider"/>
          <w:rFonts w:ascii="Times New Roman" w:hAnsi="Times New Roman" w:cs="Times New Roman"/>
          <w:i/>
          <w:iCs/>
          <w:sz w:val="14"/>
          <w:lang w:val="en-IE"/>
        </w:rPr>
      </w:pPr>
      <w:r w:rsidRPr="00280C14">
        <w:rPr>
          <w:rStyle w:val="ui-provider"/>
          <w:rFonts w:ascii="Times New Roman" w:hAnsi="Times New Roman" w:cs="Times New Roman"/>
          <w:i/>
          <w:iCs/>
          <w:sz w:val="14"/>
          <w:lang w:val="en-IE"/>
        </w:rPr>
        <w:t xml:space="preserve">Centre for Biomedical Research in Cardiovascular Disease Network (CIBER-CV) and Red de </w:t>
      </w:r>
      <w:proofErr w:type="spellStart"/>
      <w:r w:rsidRPr="00280C14">
        <w:rPr>
          <w:rStyle w:val="ui-provider"/>
          <w:rFonts w:ascii="Times New Roman" w:hAnsi="Times New Roman" w:cs="Times New Roman"/>
          <w:i/>
          <w:iCs/>
          <w:sz w:val="14"/>
          <w:lang w:val="en-IE"/>
        </w:rPr>
        <w:t>Investigación</w:t>
      </w:r>
      <w:proofErr w:type="spellEnd"/>
      <w:r w:rsidRPr="00280C14">
        <w:rPr>
          <w:rStyle w:val="ui-provider"/>
          <w:rFonts w:ascii="Times New Roman" w:hAnsi="Times New Roman" w:cs="Times New Roman"/>
          <w:i/>
          <w:iCs/>
          <w:sz w:val="14"/>
          <w:lang w:val="en-IE"/>
        </w:rPr>
        <w:t xml:space="preserve"> </w:t>
      </w:r>
      <w:proofErr w:type="spellStart"/>
      <w:r w:rsidRPr="00280C14">
        <w:rPr>
          <w:rStyle w:val="ui-provider"/>
          <w:rFonts w:ascii="Times New Roman" w:hAnsi="Times New Roman" w:cs="Times New Roman"/>
          <w:i/>
          <w:iCs/>
          <w:sz w:val="14"/>
          <w:lang w:val="en-IE"/>
        </w:rPr>
        <w:t>Cooperativa</w:t>
      </w:r>
      <w:proofErr w:type="spellEnd"/>
      <w:r w:rsidRPr="00280C14">
        <w:rPr>
          <w:rStyle w:val="ui-provider"/>
          <w:rFonts w:ascii="Times New Roman" w:hAnsi="Times New Roman" w:cs="Times New Roman"/>
          <w:i/>
          <w:iCs/>
          <w:sz w:val="14"/>
          <w:lang w:val="en-IE"/>
        </w:rPr>
        <w:t xml:space="preserve"> </w:t>
      </w:r>
      <w:proofErr w:type="spellStart"/>
      <w:r w:rsidRPr="00280C14">
        <w:rPr>
          <w:rStyle w:val="ui-provider"/>
          <w:rFonts w:ascii="Times New Roman" w:hAnsi="Times New Roman" w:cs="Times New Roman"/>
          <w:i/>
          <w:iCs/>
          <w:sz w:val="14"/>
          <w:lang w:val="en-IE"/>
        </w:rPr>
        <w:t>Orientada</w:t>
      </w:r>
      <w:proofErr w:type="spellEnd"/>
      <w:r w:rsidRPr="00280C14">
        <w:rPr>
          <w:rStyle w:val="ui-provider"/>
          <w:rFonts w:ascii="Times New Roman" w:hAnsi="Times New Roman" w:cs="Times New Roman"/>
          <w:i/>
          <w:iCs/>
          <w:sz w:val="14"/>
          <w:lang w:val="en-IE"/>
        </w:rPr>
        <w:t xml:space="preserve"> a </w:t>
      </w:r>
      <w:proofErr w:type="spellStart"/>
      <w:r w:rsidRPr="00280C14">
        <w:rPr>
          <w:rStyle w:val="ui-provider"/>
          <w:rFonts w:ascii="Times New Roman" w:hAnsi="Times New Roman" w:cs="Times New Roman"/>
          <w:i/>
          <w:iCs/>
          <w:sz w:val="14"/>
          <w:lang w:val="en-IE"/>
        </w:rPr>
        <w:t>Resultados</w:t>
      </w:r>
      <w:proofErr w:type="spellEnd"/>
      <w:r w:rsidRPr="00280C14">
        <w:rPr>
          <w:rStyle w:val="ui-provider"/>
          <w:rFonts w:ascii="Times New Roman" w:hAnsi="Times New Roman" w:cs="Times New Roman"/>
          <w:i/>
          <w:iCs/>
          <w:sz w:val="14"/>
          <w:lang w:val="en-IE"/>
        </w:rPr>
        <w:t xml:space="preserve"> </w:t>
      </w:r>
      <w:proofErr w:type="spellStart"/>
      <w:r w:rsidRPr="00280C14">
        <w:rPr>
          <w:rStyle w:val="ui-provider"/>
          <w:rFonts w:ascii="Times New Roman" w:hAnsi="Times New Roman" w:cs="Times New Roman"/>
          <w:i/>
          <w:iCs/>
          <w:sz w:val="14"/>
          <w:lang w:val="en-IE"/>
        </w:rPr>
        <w:t>en</w:t>
      </w:r>
      <w:proofErr w:type="spellEnd"/>
      <w:r w:rsidRPr="00280C14">
        <w:rPr>
          <w:rStyle w:val="ui-provider"/>
          <w:rFonts w:ascii="Times New Roman" w:hAnsi="Times New Roman" w:cs="Times New Roman"/>
          <w:i/>
          <w:iCs/>
          <w:sz w:val="14"/>
          <w:lang w:val="en-IE"/>
        </w:rPr>
        <w:t xml:space="preserve"> </w:t>
      </w:r>
      <w:proofErr w:type="spellStart"/>
      <w:r w:rsidRPr="00280C14">
        <w:rPr>
          <w:rStyle w:val="ui-provider"/>
          <w:rFonts w:ascii="Times New Roman" w:hAnsi="Times New Roman" w:cs="Times New Roman"/>
          <w:i/>
          <w:iCs/>
          <w:sz w:val="14"/>
          <w:lang w:val="en-IE"/>
        </w:rPr>
        <w:t>Salud</w:t>
      </w:r>
      <w:proofErr w:type="spellEnd"/>
      <w:r w:rsidRPr="00280C14">
        <w:rPr>
          <w:rStyle w:val="ui-provider"/>
          <w:rFonts w:ascii="Times New Roman" w:hAnsi="Times New Roman" w:cs="Times New Roman"/>
          <w:i/>
          <w:iCs/>
          <w:sz w:val="14"/>
          <w:lang w:val="en-IE"/>
        </w:rPr>
        <w:t xml:space="preserve"> (RICORS) TERAV, from the Instituto de Salud Carlos III Madrid, Spain.</w:t>
      </w:r>
    </w:p>
    <w:p w14:paraId="2B663A76" w14:textId="77777777" w:rsidR="00736479" w:rsidRPr="00280C14" w:rsidRDefault="00736479" w:rsidP="00736479">
      <w:pPr>
        <w:widowControl w:val="0"/>
        <w:numPr>
          <w:ilvl w:val="0"/>
          <w:numId w:val="1"/>
        </w:numPr>
        <w:suppressAutoHyphens/>
        <w:spacing w:after="0" w:line="480" w:lineRule="auto"/>
        <w:jc w:val="both"/>
        <w:rPr>
          <w:rStyle w:val="ui-provider"/>
          <w:rFonts w:ascii="Times New Roman" w:hAnsi="Times New Roman" w:cs="Times New Roman"/>
          <w:i/>
          <w:iCs/>
          <w:sz w:val="14"/>
        </w:rPr>
      </w:pPr>
      <w:r w:rsidRPr="00280C14">
        <w:rPr>
          <w:rStyle w:val="ui-provider"/>
          <w:rFonts w:ascii="Times New Roman" w:hAnsi="Times New Roman" w:cs="Times New Roman"/>
          <w:i/>
          <w:iCs/>
          <w:sz w:val="14"/>
        </w:rPr>
        <w:t xml:space="preserve">Facultad de Medicina, Universidad Complutense, Madrid, </w:t>
      </w:r>
      <w:proofErr w:type="spellStart"/>
      <w:r w:rsidRPr="00280C14">
        <w:rPr>
          <w:rStyle w:val="ui-provider"/>
          <w:rFonts w:ascii="Times New Roman" w:hAnsi="Times New Roman" w:cs="Times New Roman"/>
          <w:i/>
          <w:iCs/>
          <w:sz w:val="14"/>
        </w:rPr>
        <w:t>Spain</w:t>
      </w:r>
      <w:proofErr w:type="spellEnd"/>
      <w:r w:rsidRPr="00280C14">
        <w:rPr>
          <w:rStyle w:val="ui-provider"/>
          <w:rFonts w:ascii="Times New Roman" w:hAnsi="Times New Roman" w:cs="Times New Roman"/>
          <w:i/>
          <w:iCs/>
          <w:sz w:val="14"/>
        </w:rPr>
        <w:t>.</w:t>
      </w:r>
    </w:p>
    <w:p w14:paraId="0BDD9158" w14:textId="77777777" w:rsidR="00736479" w:rsidRPr="00280C14" w:rsidRDefault="00736479" w:rsidP="00736479">
      <w:pPr>
        <w:widowControl w:val="0"/>
        <w:numPr>
          <w:ilvl w:val="0"/>
          <w:numId w:val="1"/>
        </w:numPr>
        <w:tabs>
          <w:tab w:val="clear" w:pos="720"/>
        </w:tabs>
        <w:suppressAutoHyphens/>
        <w:spacing w:after="0" w:line="480" w:lineRule="auto"/>
        <w:jc w:val="both"/>
        <w:rPr>
          <w:sz w:val="14"/>
          <w:lang w:val="en-GB"/>
        </w:rPr>
      </w:pPr>
      <w:r w:rsidRPr="00280C14">
        <w:rPr>
          <w:rFonts w:ascii="Times New Roman" w:hAnsi="Times New Roman" w:cs="Times New Roman"/>
          <w:i/>
          <w:sz w:val="14"/>
          <w:lang w:val="en-GB"/>
        </w:rPr>
        <w:t xml:space="preserve">European </w:t>
      </w:r>
      <w:proofErr w:type="spellStart"/>
      <w:r w:rsidRPr="00280C14">
        <w:rPr>
          <w:rFonts w:ascii="Times New Roman" w:hAnsi="Times New Roman" w:cs="Times New Roman"/>
          <w:i/>
          <w:sz w:val="14"/>
          <w:lang w:val="en-GB"/>
        </w:rPr>
        <w:t>Hommograft</w:t>
      </w:r>
      <w:proofErr w:type="spellEnd"/>
      <w:r w:rsidRPr="00280C14">
        <w:rPr>
          <w:rFonts w:ascii="Times New Roman" w:hAnsi="Times New Roman" w:cs="Times New Roman"/>
          <w:i/>
          <w:sz w:val="14"/>
          <w:lang w:val="en-GB"/>
        </w:rPr>
        <w:t xml:space="preserve"> Bank (EHB) </w:t>
      </w:r>
      <w:proofErr w:type="spellStart"/>
      <w:r w:rsidRPr="00280C14">
        <w:rPr>
          <w:rFonts w:ascii="Times New Roman" w:hAnsi="Times New Roman" w:cs="Times New Roman"/>
          <w:i/>
          <w:sz w:val="14"/>
          <w:lang w:val="en-GB"/>
        </w:rPr>
        <w:t>Cliniques</w:t>
      </w:r>
      <w:proofErr w:type="spellEnd"/>
      <w:r w:rsidRPr="00280C14">
        <w:rPr>
          <w:rFonts w:ascii="Times New Roman" w:hAnsi="Times New Roman" w:cs="Times New Roman"/>
          <w:i/>
          <w:sz w:val="14"/>
          <w:lang w:val="en-GB"/>
        </w:rPr>
        <w:t xml:space="preserve"> </w:t>
      </w:r>
      <w:proofErr w:type="spellStart"/>
      <w:r w:rsidRPr="00280C14">
        <w:rPr>
          <w:rFonts w:ascii="Times New Roman" w:hAnsi="Times New Roman" w:cs="Times New Roman"/>
          <w:i/>
          <w:sz w:val="14"/>
          <w:lang w:val="en-GB"/>
        </w:rPr>
        <w:t>Universitaires</w:t>
      </w:r>
      <w:proofErr w:type="spellEnd"/>
      <w:r w:rsidRPr="00280C14">
        <w:rPr>
          <w:rFonts w:ascii="Times New Roman" w:hAnsi="Times New Roman" w:cs="Times New Roman"/>
          <w:i/>
          <w:sz w:val="14"/>
          <w:lang w:val="en-GB"/>
        </w:rPr>
        <w:t xml:space="preserve"> Saint-Luc </w:t>
      </w:r>
      <w:proofErr w:type="spellStart"/>
      <w:r w:rsidRPr="00280C14">
        <w:rPr>
          <w:rFonts w:ascii="Times New Roman" w:hAnsi="Times New Roman" w:cs="Times New Roman"/>
          <w:i/>
          <w:sz w:val="14"/>
          <w:lang w:val="en-GB"/>
        </w:rPr>
        <w:t>Bruxelles</w:t>
      </w:r>
      <w:bookmarkEnd w:id="1"/>
      <w:proofErr w:type="spellEnd"/>
    </w:p>
    <w:p w14:paraId="4E1D9397" w14:textId="77777777" w:rsidR="00736479" w:rsidRDefault="00736479" w:rsidP="00736479">
      <w:pPr>
        <w:widowControl w:val="0"/>
        <w:suppressAutoHyphens/>
        <w:spacing w:after="0" w:line="480" w:lineRule="auto"/>
        <w:jc w:val="both"/>
        <w:rPr>
          <w:rFonts w:ascii="Times New Roman" w:hAnsi="Times New Roman" w:cs="Times New Roman"/>
          <w:i/>
          <w:sz w:val="20"/>
          <w:szCs w:val="20"/>
          <w:lang w:val="en-GB"/>
        </w:rPr>
      </w:pPr>
    </w:p>
    <w:p w14:paraId="5FB3F1A7" w14:textId="77777777" w:rsidR="00736479" w:rsidRPr="00C347ED" w:rsidRDefault="00736479" w:rsidP="00736479">
      <w:pPr>
        <w:spacing w:after="0" w:line="480" w:lineRule="auto"/>
        <w:jc w:val="center"/>
        <w:rPr>
          <w:rFonts w:ascii="Times New Roman" w:hAnsi="Times New Roman" w:cs="Times New Roman"/>
          <w:b/>
          <w:sz w:val="20"/>
          <w:szCs w:val="20"/>
          <w:lang w:val="fr-BE"/>
        </w:rPr>
      </w:pPr>
      <w:r>
        <w:rPr>
          <w:rFonts w:ascii="Times New Roman" w:hAnsi="Times New Roman" w:cs="Times New Roman"/>
          <w:b/>
          <w:i/>
          <w:sz w:val="32"/>
          <w:szCs w:val="20"/>
          <w:lang w:val="en-GB"/>
        </w:rPr>
        <w:t>Supplemental Material</w:t>
      </w:r>
    </w:p>
    <w:p w14:paraId="154A7FCB" w14:textId="77777777" w:rsidR="00736479" w:rsidRPr="00C347ED" w:rsidRDefault="00736479" w:rsidP="00736479">
      <w:pPr>
        <w:spacing w:line="480" w:lineRule="auto"/>
        <w:jc w:val="both"/>
        <w:rPr>
          <w:rFonts w:ascii="Times New Roman" w:hAnsi="Times New Roman" w:cs="Times New Roman"/>
          <w:sz w:val="20"/>
          <w:szCs w:val="20"/>
          <w:lang w:val="en-GB"/>
        </w:rPr>
      </w:pPr>
      <w:r w:rsidRPr="00C347ED">
        <w:rPr>
          <w:rFonts w:ascii="Times New Roman" w:hAnsi="Times New Roman" w:cs="Times New Roman"/>
          <w:sz w:val="20"/>
          <w:szCs w:val="20"/>
          <w:lang w:val="en-GB"/>
        </w:rPr>
        <w:br w:type="page"/>
      </w:r>
    </w:p>
    <w:p w14:paraId="66154657" w14:textId="4A3C0387" w:rsidR="000E74EB" w:rsidRPr="00736479" w:rsidRDefault="001D0875" w:rsidP="000E74EB">
      <w:pPr>
        <w:pStyle w:val="Descripcin"/>
        <w:spacing w:line="480" w:lineRule="auto"/>
        <w:rPr>
          <w:rFonts w:ascii="Times New Roman" w:eastAsiaTheme="minorEastAsia" w:hAnsi="Times New Roman" w:cs="Times New Roman"/>
          <w:bCs/>
          <w:i w:val="0"/>
          <w:iCs w:val="0"/>
          <w:color w:val="auto"/>
          <w:sz w:val="20"/>
          <w:szCs w:val="20"/>
          <w:lang w:val="en-US" w:eastAsia="es-ES"/>
        </w:rPr>
      </w:pPr>
      <w:r w:rsidRPr="001D0875">
        <w:rPr>
          <w:rFonts w:ascii="Times New Roman" w:eastAsiaTheme="minorEastAsia" w:hAnsi="Times New Roman" w:cs="Times New Roman"/>
          <w:bCs/>
          <w:i w:val="0"/>
          <w:iCs w:val="0"/>
          <w:noProof/>
          <w:color w:val="auto"/>
          <w:sz w:val="20"/>
          <w:szCs w:val="20"/>
          <w:lang w:eastAsia="en-GB"/>
        </w:rPr>
        <w:lastRenderedPageBreak/>
        <w:drawing>
          <wp:inline distT="0" distB="0" distL="0" distR="0" wp14:anchorId="4F7D9FDF" wp14:editId="00880847">
            <wp:extent cx="8466073" cy="3070860"/>
            <wp:effectExtent l="0" t="0" r="0" b="0"/>
            <wp:docPr id="2" name="Imagen 2" descr="N:\BancTeixits_Projectes_I_D\Publicacions grup BTB\Article EuroGTP validació vàlvules\1. Therapeutics and Clinical Risk Management\20250122_Final revision\20250122_Figures_finals\diapositiva10_REVI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BancTeixits_Projectes_I_D\Publicacions grup BTB\Article EuroGTP validació vàlvules\1. Therapeutics and Clinical Risk Management\20250122_Final revision\20250122_Figures_finals\diapositiva10_REVISE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0888" cy="3083488"/>
                    </a:xfrm>
                    <a:prstGeom prst="rect">
                      <a:avLst/>
                    </a:prstGeom>
                    <a:noFill/>
                    <a:ln>
                      <a:noFill/>
                    </a:ln>
                  </pic:spPr>
                </pic:pic>
              </a:graphicData>
            </a:graphic>
          </wp:inline>
        </w:drawing>
      </w:r>
    </w:p>
    <w:p w14:paraId="59386F44" w14:textId="028E8CD1" w:rsidR="009C591F" w:rsidRDefault="00C00418">
      <w:pPr>
        <w:rPr>
          <w:rFonts w:ascii="Times New Roman" w:hAnsi="Times New Roman" w:cs="Times New Roman"/>
          <w:bCs/>
          <w:sz w:val="20"/>
          <w:szCs w:val="20"/>
          <w:lang w:val="en-US"/>
        </w:rPr>
        <w:sectPr w:rsidR="009C591F" w:rsidSect="00C00418">
          <w:footerReference w:type="even" r:id="rId9"/>
          <w:footerReference w:type="default" r:id="rId10"/>
          <w:footerReference w:type="first" r:id="rId11"/>
          <w:pgSz w:w="16838" w:h="11906" w:orient="landscape"/>
          <w:pgMar w:top="1701" w:right="1417" w:bottom="1701" w:left="1417" w:header="708" w:footer="708" w:gutter="0"/>
          <w:cols w:space="708"/>
          <w:docGrid w:linePitch="360"/>
        </w:sectPr>
      </w:pPr>
      <w:r w:rsidRPr="00736479">
        <w:rPr>
          <w:rFonts w:ascii="Times New Roman" w:hAnsi="Times New Roman" w:cs="Times New Roman"/>
          <w:b/>
          <w:sz w:val="20"/>
          <w:szCs w:val="20"/>
          <w:lang w:val="en-US"/>
        </w:rPr>
        <w:t xml:space="preserve">Supplemental </w:t>
      </w:r>
      <w:r w:rsidR="00AF5628">
        <w:rPr>
          <w:rFonts w:ascii="Times New Roman" w:hAnsi="Times New Roman" w:cs="Times New Roman"/>
          <w:b/>
          <w:sz w:val="20"/>
          <w:szCs w:val="20"/>
          <w:lang w:val="en-US"/>
        </w:rPr>
        <w:t>Table 1</w:t>
      </w:r>
      <w:r w:rsidRPr="00736479">
        <w:rPr>
          <w:rFonts w:ascii="Times New Roman" w:hAnsi="Times New Roman" w:cs="Times New Roman"/>
          <w:b/>
          <w:sz w:val="20"/>
          <w:szCs w:val="20"/>
          <w:lang w:val="en-US"/>
        </w:rPr>
        <w:t xml:space="preserve">: </w:t>
      </w:r>
      <w:r>
        <w:rPr>
          <w:rFonts w:ascii="Times New Roman" w:hAnsi="Times New Roman" w:cs="Times New Roman"/>
          <w:bCs/>
          <w:sz w:val="20"/>
          <w:szCs w:val="20"/>
          <w:lang w:val="en-US"/>
        </w:rPr>
        <w:t xml:space="preserve">Mean, standard deviation (SD) and median, interquartile range (Q1 and Q3) of all quantitative variables (ECM biomolecules quantification, mechanical properties and cytotoxicity) evaluated for the four groups (cryopreserve, </w:t>
      </w:r>
      <w:proofErr w:type="spellStart"/>
      <w:r>
        <w:rPr>
          <w:rFonts w:ascii="Times New Roman" w:hAnsi="Times New Roman" w:cs="Times New Roman"/>
          <w:bCs/>
          <w:sz w:val="20"/>
          <w:szCs w:val="20"/>
          <w:lang w:val="en-US"/>
        </w:rPr>
        <w:t>cryoDESCEL</w:t>
      </w:r>
      <w:proofErr w:type="spellEnd"/>
      <w:r>
        <w:rPr>
          <w:rFonts w:ascii="Times New Roman" w:hAnsi="Times New Roman" w:cs="Times New Roman"/>
          <w:bCs/>
          <w:sz w:val="20"/>
          <w:szCs w:val="20"/>
          <w:lang w:val="en-US"/>
        </w:rPr>
        <w:t xml:space="preserve">, fresh and </w:t>
      </w:r>
      <w:proofErr w:type="spellStart"/>
      <w:r>
        <w:rPr>
          <w:rFonts w:ascii="Times New Roman" w:hAnsi="Times New Roman" w:cs="Times New Roman"/>
          <w:bCs/>
          <w:sz w:val="20"/>
          <w:szCs w:val="20"/>
          <w:lang w:val="en-US"/>
        </w:rPr>
        <w:t>freshDESCEL</w:t>
      </w:r>
      <w:proofErr w:type="spellEnd"/>
      <w:r>
        <w:rPr>
          <w:rFonts w:ascii="Times New Roman" w:hAnsi="Times New Roman" w:cs="Times New Roman"/>
          <w:bCs/>
          <w:sz w:val="20"/>
          <w:szCs w:val="20"/>
          <w:lang w:val="en-US"/>
        </w:rPr>
        <w:t>).</w:t>
      </w:r>
    </w:p>
    <w:p w14:paraId="6511609D" w14:textId="77777777" w:rsidR="009C591F" w:rsidRDefault="009C591F" w:rsidP="009C591F">
      <w:pPr>
        <w:spacing w:after="0" w:line="480" w:lineRule="auto"/>
        <w:ind w:left="142"/>
        <w:contextualSpacing/>
        <w:jc w:val="center"/>
        <w:rPr>
          <w:rFonts w:ascii="Times New Roman" w:hAnsi="Times New Roman" w:cs="Times New Roman"/>
          <w:b/>
          <w:sz w:val="20"/>
          <w:szCs w:val="20"/>
          <w:lang w:val="en-US"/>
        </w:rPr>
      </w:pPr>
      <w:r>
        <w:rPr>
          <w:rFonts w:ascii="Times New Roman" w:hAnsi="Times New Roman" w:cs="Times New Roman"/>
          <w:noProof/>
          <w:sz w:val="20"/>
          <w:szCs w:val="20"/>
          <w:lang w:val="en-GB" w:eastAsia="en-GB"/>
        </w:rPr>
        <w:lastRenderedPageBreak/>
        <w:drawing>
          <wp:inline distT="0" distB="0" distL="0" distR="0" wp14:anchorId="0E3D70A9" wp14:editId="6659A15F">
            <wp:extent cx="3181233" cy="7248615"/>
            <wp:effectExtent l="0" t="0" r="0" b="3175"/>
            <wp:docPr id="1936822734" name="Picture 4"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822734" name="Picture 4" descr="A screenshot of a graph&#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86942" cy="7261623"/>
                    </a:xfrm>
                    <a:prstGeom prst="rect">
                      <a:avLst/>
                    </a:prstGeom>
                  </pic:spPr>
                </pic:pic>
              </a:graphicData>
            </a:graphic>
          </wp:inline>
        </w:drawing>
      </w:r>
    </w:p>
    <w:p w14:paraId="66B449DD" w14:textId="36E58319" w:rsidR="009C591F" w:rsidRPr="009C591F" w:rsidRDefault="009C591F" w:rsidP="009C591F">
      <w:pPr>
        <w:spacing w:after="0" w:line="480" w:lineRule="auto"/>
        <w:ind w:left="142"/>
        <w:contextualSpacing/>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Supplemental Figure </w:t>
      </w:r>
      <w:r w:rsidR="00AF5628">
        <w:rPr>
          <w:rFonts w:ascii="Times New Roman" w:hAnsi="Times New Roman" w:cs="Times New Roman"/>
          <w:b/>
          <w:sz w:val="20"/>
          <w:szCs w:val="20"/>
          <w:lang w:val="en-US"/>
        </w:rPr>
        <w:t>1</w:t>
      </w:r>
      <w:r>
        <w:rPr>
          <w:rFonts w:ascii="Times New Roman" w:hAnsi="Times New Roman" w:cs="Times New Roman"/>
          <w:b/>
          <w:sz w:val="20"/>
          <w:szCs w:val="20"/>
          <w:lang w:val="en-US"/>
        </w:rPr>
        <w:t xml:space="preserve">: </w:t>
      </w:r>
      <w:r w:rsidRPr="00032079">
        <w:rPr>
          <w:rFonts w:ascii="Times New Roman" w:hAnsi="Times New Roman" w:cs="Times New Roman"/>
          <w:bCs/>
          <w:sz w:val="20"/>
          <w:szCs w:val="20"/>
          <w:lang w:val="en-US"/>
        </w:rPr>
        <w:t xml:space="preserve">Example </w:t>
      </w:r>
      <w:r>
        <w:rPr>
          <w:rFonts w:ascii="Times New Roman" w:hAnsi="Times New Roman" w:cs="Times New Roman"/>
          <w:bCs/>
          <w:sz w:val="20"/>
          <w:szCs w:val="20"/>
          <w:lang w:val="en-US"/>
        </w:rPr>
        <w:t>of v</w:t>
      </w:r>
      <w:r w:rsidRPr="00032079">
        <w:rPr>
          <w:rFonts w:ascii="Times New Roman" w:hAnsi="Times New Roman" w:cs="Times New Roman"/>
          <w:bCs/>
          <w:sz w:val="20"/>
          <w:szCs w:val="20"/>
          <w:lang w:val="en-US"/>
        </w:rPr>
        <w:t xml:space="preserve">alve </w:t>
      </w:r>
      <w:r>
        <w:rPr>
          <w:rFonts w:ascii="Times New Roman" w:hAnsi="Times New Roman" w:cs="Times New Roman"/>
          <w:bCs/>
          <w:sz w:val="20"/>
          <w:szCs w:val="20"/>
          <w:lang w:val="en-US"/>
        </w:rPr>
        <w:t>c</w:t>
      </w:r>
      <w:r w:rsidRPr="00371B27">
        <w:rPr>
          <w:rFonts w:ascii="Times New Roman" w:hAnsi="Times New Roman" w:cs="Times New Roman"/>
          <w:bCs/>
          <w:sz w:val="20"/>
          <w:szCs w:val="20"/>
          <w:lang w:val="en-US"/>
        </w:rPr>
        <w:t>ompetence</w:t>
      </w:r>
      <w:r w:rsidRPr="00032079">
        <w:rPr>
          <w:rFonts w:ascii="Times New Roman" w:hAnsi="Times New Roman" w:cs="Times New Roman"/>
          <w:bCs/>
          <w:sz w:val="20"/>
          <w:szCs w:val="20"/>
          <w:lang w:val="en-US"/>
        </w:rPr>
        <w:t xml:space="preserve"> results</w:t>
      </w:r>
      <w:r>
        <w:rPr>
          <w:rFonts w:ascii="Times New Roman" w:hAnsi="Times New Roman" w:cs="Times New Roman"/>
          <w:bCs/>
          <w:sz w:val="20"/>
          <w:szCs w:val="20"/>
          <w:lang w:val="en-US"/>
        </w:rPr>
        <w:t xml:space="preserve"> at 60 (top), 90(medium) and 120 (bottom) beats per minute. Valve pressure inlet is depicted in blue, whereas pressure outlet is shown in red. Average pressure loss and opening time are calculated using the signal peak locations.</w:t>
      </w:r>
    </w:p>
    <w:p w14:paraId="2D829387" w14:textId="722E1531" w:rsidR="009C591F" w:rsidRPr="00C347ED" w:rsidRDefault="001D0875" w:rsidP="009C591F">
      <w:pPr>
        <w:spacing w:after="0" w:line="480" w:lineRule="auto"/>
        <w:jc w:val="both"/>
        <w:rPr>
          <w:rFonts w:ascii="Times New Roman" w:hAnsi="Times New Roman" w:cs="Times New Roman"/>
          <w:sz w:val="20"/>
          <w:szCs w:val="20"/>
          <w:lang w:val="en-US"/>
        </w:rPr>
      </w:pPr>
      <w:bookmarkStart w:id="4" w:name="_GoBack"/>
      <w:r w:rsidRPr="001D0875">
        <w:rPr>
          <w:rFonts w:ascii="Times New Roman" w:hAnsi="Times New Roman" w:cs="Times New Roman"/>
          <w:noProof/>
          <w:sz w:val="20"/>
          <w:szCs w:val="20"/>
          <w:lang w:val="en-GB" w:eastAsia="en-GB"/>
        </w:rPr>
        <w:lastRenderedPageBreak/>
        <w:drawing>
          <wp:inline distT="0" distB="0" distL="0" distR="0" wp14:anchorId="64DB5F7C" wp14:editId="6D30B555">
            <wp:extent cx="5323325" cy="5615940"/>
            <wp:effectExtent l="0" t="0" r="0" b="3810"/>
            <wp:docPr id="3" name="Imagen 3" descr="N:\BancTeixits_Projectes_I_D\Publicacions grup BTB\Article EuroGTP validació vàlvules\1. Therapeutics and Clinical Risk Management\20250122_Final revision\20250122_Figures_finals\diapositiva9_REVI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BancTeixits_Projectes_I_D\Publicacions grup BTB\Article EuroGTP validació vàlvules\1. Therapeutics and Clinical Risk Management\20250122_Final revision\20250122_Figures_finals\diapositiva9_REVISED.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555" cy="5627788"/>
                    </a:xfrm>
                    <a:prstGeom prst="rect">
                      <a:avLst/>
                    </a:prstGeom>
                    <a:noFill/>
                    <a:ln>
                      <a:noFill/>
                    </a:ln>
                  </pic:spPr>
                </pic:pic>
              </a:graphicData>
            </a:graphic>
          </wp:inline>
        </w:drawing>
      </w:r>
      <w:bookmarkEnd w:id="4"/>
    </w:p>
    <w:p w14:paraId="05627FA2" w14:textId="1591CB62" w:rsidR="009C591F" w:rsidRDefault="009C591F" w:rsidP="009C591F">
      <w:pPr>
        <w:pStyle w:val="Descripcin"/>
        <w:spacing w:line="480" w:lineRule="auto"/>
        <w:rPr>
          <w:rFonts w:ascii="Times New Roman" w:eastAsiaTheme="minorEastAsia" w:hAnsi="Times New Roman" w:cs="Times New Roman"/>
          <w:bCs/>
          <w:i w:val="0"/>
          <w:iCs w:val="0"/>
          <w:color w:val="auto"/>
          <w:sz w:val="20"/>
          <w:szCs w:val="20"/>
          <w:lang w:val="en-US" w:eastAsia="es-ES"/>
        </w:rPr>
        <w:sectPr w:rsidR="009C591F">
          <w:pgSz w:w="11906" w:h="16838"/>
          <w:pgMar w:top="1417" w:right="1701" w:bottom="1417" w:left="1701" w:header="708" w:footer="708" w:gutter="0"/>
          <w:cols w:space="708"/>
          <w:docGrid w:linePitch="360"/>
        </w:sectPr>
      </w:pPr>
      <w:r w:rsidRPr="00736479">
        <w:rPr>
          <w:rFonts w:ascii="Times New Roman" w:eastAsiaTheme="minorEastAsia" w:hAnsi="Times New Roman" w:cs="Times New Roman"/>
          <w:b/>
          <w:i w:val="0"/>
          <w:iCs w:val="0"/>
          <w:color w:val="auto"/>
          <w:sz w:val="20"/>
          <w:szCs w:val="20"/>
          <w:lang w:val="en-US" w:eastAsia="es-ES"/>
        </w:rPr>
        <w:t xml:space="preserve">Supplemental Figure </w:t>
      </w:r>
      <w:r w:rsidR="00EA3CFF">
        <w:rPr>
          <w:rFonts w:ascii="Times New Roman" w:eastAsiaTheme="minorEastAsia" w:hAnsi="Times New Roman" w:cs="Times New Roman"/>
          <w:b/>
          <w:i w:val="0"/>
          <w:iCs w:val="0"/>
          <w:color w:val="auto"/>
          <w:sz w:val="20"/>
          <w:szCs w:val="20"/>
          <w:lang w:val="en-US" w:eastAsia="es-ES"/>
        </w:rPr>
        <w:t>2</w:t>
      </w:r>
      <w:r w:rsidRPr="00736479">
        <w:rPr>
          <w:rFonts w:ascii="Times New Roman" w:eastAsiaTheme="minorEastAsia" w:hAnsi="Times New Roman" w:cs="Times New Roman"/>
          <w:b/>
          <w:i w:val="0"/>
          <w:iCs w:val="0"/>
          <w:color w:val="auto"/>
          <w:sz w:val="20"/>
          <w:szCs w:val="20"/>
          <w:lang w:val="en-US" w:eastAsia="es-ES"/>
        </w:rPr>
        <w:t xml:space="preserve">: </w:t>
      </w:r>
      <w:r w:rsidRPr="00736479">
        <w:rPr>
          <w:rFonts w:ascii="Times New Roman" w:eastAsiaTheme="minorEastAsia" w:hAnsi="Times New Roman" w:cs="Times New Roman"/>
          <w:bCs/>
          <w:i w:val="0"/>
          <w:iCs w:val="0"/>
          <w:color w:val="auto"/>
          <w:sz w:val="20"/>
          <w:szCs w:val="20"/>
          <w:lang w:val="en-US" w:eastAsia="es-ES"/>
        </w:rPr>
        <w:t xml:space="preserve">Tissue structure evaluation by histology (20x). Sections of arterial pulmonary wall and myocardium of 4 different conditions (cryopreserved, cryopreserved-decellularized, fresh and fresh-decellularized tissue) stained with </w:t>
      </w:r>
      <w:proofErr w:type="spellStart"/>
      <w:r w:rsidRPr="00736479">
        <w:rPr>
          <w:rFonts w:ascii="Times New Roman" w:eastAsiaTheme="minorEastAsia" w:hAnsi="Times New Roman" w:cs="Times New Roman"/>
          <w:bCs/>
          <w:i w:val="0"/>
          <w:iCs w:val="0"/>
          <w:color w:val="auto"/>
          <w:sz w:val="20"/>
          <w:szCs w:val="20"/>
          <w:lang w:val="en-US" w:eastAsia="es-ES"/>
        </w:rPr>
        <w:t>Haematoxylins</w:t>
      </w:r>
      <w:proofErr w:type="spellEnd"/>
      <w:r w:rsidRPr="00736479">
        <w:rPr>
          <w:rFonts w:ascii="Times New Roman" w:eastAsiaTheme="minorEastAsia" w:hAnsi="Times New Roman" w:cs="Times New Roman"/>
          <w:bCs/>
          <w:i w:val="0"/>
          <w:iCs w:val="0"/>
          <w:color w:val="auto"/>
          <w:sz w:val="20"/>
          <w:szCs w:val="20"/>
          <w:lang w:val="en-US" w:eastAsia="es-ES"/>
        </w:rPr>
        <w:t xml:space="preserve">-Eosin (H&amp;E), Masson Trichrome (MS’s) and Verhoeff-Van Gieson (VH) staining. [A]Staining of pulmonary wall from four distinct conditions using H&amp;E; [B] Staining of pulmonary wall from four distinct conditions using MT’s; [C] Staining of pulmonary wall from four distinct conditions using VH; [D] Staining of myocardium from four distinct conditions using H&amp;E; [E] Staining of myocardium from four distinct conditions using; [F] Staining of myocardium from four distinct conditions using VH. </w:t>
      </w:r>
    </w:p>
    <w:p w14:paraId="2EC7184F" w14:textId="77777777" w:rsidR="00BA2502" w:rsidRPr="000E74EB" w:rsidRDefault="00BA2502">
      <w:pPr>
        <w:rPr>
          <w:lang w:val="en-US"/>
        </w:rPr>
      </w:pPr>
    </w:p>
    <w:sectPr w:rsidR="00BA2502" w:rsidRPr="000E74EB" w:rsidSect="009C591F">
      <w:pgSz w:w="11906" w:h="16838"/>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0C2AC2B" w16cex:dateUtc="2024-11-27T18:54: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F984D" w14:textId="77777777" w:rsidR="008C623F" w:rsidRDefault="008C623F" w:rsidP="00672B38">
      <w:pPr>
        <w:spacing w:after="0" w:line="240" w:lineRule="auto"/>
      </w:pPr>
      <w:r>
        <w:separator/>
      </w:r>
    </w:p>
  </w:endnote>
  <w:endnote w:type="continuationSeparator" w:id="0">
    <w:p w14:paraId="7181C785" w14:textId="77777777" w:rsidR="008C623F" w:rsidRDefault="008C623F" w:rsidP="00672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6FB27" w14:textId="397766A8" w:rsidR="00672B38" w:rsidRDefault="00672B38">
    <w:pPr>
      <w:pStyle w:val="Piedepgina"/>
    </w:pPr>
    <w:r>
      <w:rPr>
        <w:noProof/>
        <w:lang w:val="en-GB" w:eastAsia="en-GB"/>
      </w:rPr>
      <mc:AlternateContent>
        <mc:Choice Requires="wps">
          <w:drawing>
            <wp:anchor distT="0" distB="0" distL="0" distR="0" simplePos="0" relativeHeight="251659264" behindDoc="0" locked="0" layoutInCell="1" allowOverlap="1" wp14:anchorId="34A9FC38" wp14:editId="5CF6932C">
              <wp:simplePos x="635" y="635"/>
              <wp:positionH relativeFrom="page">
                <wp:align>left</wp:align>
              </wp:positionH>
              <wp:positionV relativeFrom="page">
                <wp:align>bottom</wp:align>
              </wp:positionV>
              <wp:extent cx="2085975" cy="335280"/>
              <wp:effectExtent l="0" t="0" r="9525" b="0"/>
              <wp:wrapNone/>
              <wp:docPr id="459286018" name="Text Box 2" descr="Information Classification: Gener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aclsh="http://schemas.microsoft.com/office/drawing/2020/classificationShape"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2887C93F" w14:textId="7C40496E" w:rsidR="00672B38" w:rsidRPr="00672B38" w:rsidRDefault="00672B38" w:rsidP="00672B38">
                          <w:pPr>
                            <w:spacing w:after="0"/>
                            <w:rPr>
                              <w:rFonts w:ascii="Rockwell" w:eastAsia="Rockwell" w:hAnsi="Rockwell" w:cs="Rockwell"/>
                              <w:noProof/>
                              <w:color w:val="0078D7"/>
                              <w:sz w:val="18"/>
                              <w:szCs w:val="18"/>
                            </w:rPr>
                          </w:pPr>
                          <w:r w:rsidRPr="00672B3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A9FC38"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2887C93F" w14:textId="7C40496E" w:rsidR="00672B38" w:rsidRPr="00672B38" w:rsidRDefault="00672B38" w:rsidP="00672B38">
                    <w:pPr>
                      <w:spacing w:after="0"/>
                      <w:rPr>
                        <w:rFonts w:ascii="Rockwell" w:eastAsia="Rockwell" w:hAnsi="Rockwell" w:cs="Rockwell"/>
                        <w:noProof/>
                        <w:color w:val="0078D7"/>
                        <w:sz w:val="18"/>
                        <w:szCs w:val="18"/>
                      </w:rPr>
                    </w:pPr>
                    <w:r w:rsidRPr="00672B3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E114F" w14:textId="0B19F1B2" w:rsidR="00672B38" w:rsidRDefault="00672B38">
    <w:pPr>
      <w:pStyle w:val="Piedepgina"/>
    </w:pPr>
    <w:r>
      <w:rPr>
        <w:noProof/>
        <w:lang w:val="en-GB" w:eastAsia="en-GB"/>
      </w:rPr>
      <mc:AlternateContent>
        <mc:Choice Requires="wps">
          <w:drawing>
            <wp:anchor distT="0" distB="0" distL="0" distR="0" simplePos="0" relativeHeight="251660288" behindDoc="0" locked="0" layoutInCell="1" allowOverlap="1" wp14:anchorId="7D59F47B" wp14:editId="3113675B">
              <wp:simplePos x="1083733" y="10075333"/>
              <wp:positionH relativeFrom="page">
                <wp:align>left</wp:align>
              </wp:positionH>
              <wp:positionV relativeFrom="page">
                <wp:align>bottom</wp:align>
              </wp:positionV>
              <wp:extent cx="2085975" cy="335280"/>
              <wp:effectExtent l="0" t="0" r="9525" b="0"/>
              <wp:wrapNone/>
              <wp:docPr id="486663547" name="Text Box 3" descr="Information Classification: Gener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aclsh="http://schemas.microsoft.com/office/drawing/2020/classificationShape"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7215B13F" w14:textId="453DB732" w:rsidR="00672B38" w:rsidRPr="00672B38" w:rsidRDefault="00672B38" w:rsidP="00672B38">
                          <w:pPr>
                            <w:spacing w:after="0"/>
                            <w:rPr>
                              <w:rFonts w:ascii="Rockwell" w:eastAsia="Rockwell" w:hAnsi="Rockwell" w:cs="Rockwell"/>
                              <w:noProof/>
                              <w:color w:val="0078D7"/>
                              <w:sz w:val="18"/>
                              <w:szCs w:val="18"/>
                            </w:rPr>
                          </w:pPr>
                          <w:r w:rsidRPr="00672B3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59F47B"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7215B13F" w14:textId="453DB732" w:rsidR="00672B38" w:rsidRPr="00672B38" w:rsidRDefault="00672B38" w:rsidP="00672B38">
                    <w:pPr>
                      <w:spacing w:after="0"/>
                      <w:rPr>
                        <w:rFonts w:ascii="Rockwell" w:eastAsia="Rockwell" w:hAnsi="Rockwell" w:cs="Rockwell"/>
                        <w:noProof/>
                        <w:color w:val="0078D7"/>
                        <w:sz w:val="18"/>
                        <w:szCs w:val="18"/>
                      </w:rPr>
                    </w:pPr>
                    <w:r w:rsidRPr="00672B3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1542B" w14:textId="0BA54DFD" w:rsidR="00672B38" w:rsidRDefault="00672B38">
    <w:pPr>
      <w:pStyle w:val="Piedepgina"/>
    </w:pPr>
    <w:r>
      <w:rPr>
        <w:noProof/>
        <w:lang w:val="en-GB" w:eastAsia="en-GB"/>
      </w:rPr>
      <mc:AlternateContent>
        <mc:Choice Requires="wps">
          <w:drawing>
            <wp:anchor distT="0" distB="0" distL="0" distR="0" simplePos="0" relativeHeight="251658240" behindDoc="0" locked="0" layoutInCell="1" allowOverlap="1" wp14:anchorId="5FAD8873" wp14:editId="750F474C">
              <wp:simplePos x="635" y="635"/>
              <wp:positionH relativeFrom="page">
                <wp:align>left</wp:align>
              </wp:positionH>
              <wp:positionV relativeFrom="page">
                <wp:align>bottom</wp:align>
              </wp:positionV>
              <wp:extent cx="2085975" cy="335280"/>
              <wp:effectExtent l="0" t="0" r="9525" b="0"/>
              <wp:wrapNone/>
              <wp:docPr id="630122898" name="Text Box 1" descr="Information Classification: Gener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aclsh="http://schemas.microsoft.com/office/drawing/2020/classificationShape"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04353DD3" w14:textId="09916FE4" w:rsidR="00672B38" w:rsidRPr="00672B38" w:rsidRDefault="00672B38" w:rsidP="00672B38">
                          <w:pPr>
                            <w:spacing w:after="0"/>
                            <w:rPr>
                              <w:rFonts w:ascii="Rockwell" w:eastAsia="Rockwell" w:hAnsi="Rockwell" w:cs="Rockwell"/>
                              <w:noProof/>
                              <w:color w:val="0078D7"/>
                              <w:sz w:val="18"/>
                              <w:szCs w:val="18"/>
                            </w:rPr>
                          </w:pPr>
                          <w:r w:rsidRPr="00672B3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FAD8873"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04353DD3" w14:textId="09916FE4" w:rsidR="00672B38" w:rsidRPr="00672B38" w:rsidRDefault="00672B38" w:rsidP="00672B38">
                    <w:pPr>
                      <w:spacing w:after="0"/>
                      <w:rPr>
                        <w:rFonts w:ascii="Rockwell" w:eastAsia="Rockwell" w:hAnsi="Rockwell" w:cs="Rockwell"/>
                        <w:noProof/>
                        <w:color w:val="0078D7"/>
                        <w:sz w:val="18"/>
                        <w:szCs w:val="18"/>
                      </w:rPr>
                    </w:pPr>
                    <w:r w:rsidRPr="00672B3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3A55A" w14:textId="77777777" w:rsidR="008C623F" w:rsidRDefault="008C623F" w:rsidP="00672B38">
      <w:pPr>
        <w:spacing w:after="0" w:line="240" w:lineRule="auto"/>
      </w:pPr>
      <w:r>
        <w:separator/>
      </w:r>
    </w:p>
  </w:footnote>
  <w:footnote w:type="continuationSeparator" w:id="0">
    <w:p w14:paraId="0E6BF0A8" w14:textId="77777777" w:rsidR="008C623F" w:rsidRDefault="008C623F" w:rsidP="00672B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024E1F"/>
    <w:multiLevelType w:val="multilevel"/>
    <w:tmpl w:val="DCAC2CD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upperRoman"/>
      <w:lvlText w:val="%4."/>
      <w:lvlJc w:val="left"/>
      <w:pPr>
        <w:tabs>
          <w:tab w:val="num" w:pos="2880"/>
        </w:tabs>
        <w:ind w:left="2880" w:hanging="720"/>
      </w:pPr>
      <w:rPr>
        <w:rFonts w:hint="default"/>
      </w:rPr>
    </w:lvl>
    <w:lvl w:ilvl="4">
      <w:start w:val="1"/>
      <w:numFmt w:val="bullet"/>
      <w:lvlText w:val=""/>
      <w:lvlJc w:val="left"/>
      <w:pPr>
        <w:tabs>
          <w:tab w:val="num" w:pos="3600"/>
        </w:tabs>
        <w:ind w:left="3600" w:hanging="720"/>
      </w:pPr>
      <w:rPr>
        <w:rFonts w:ascii="Symbol" w:hAnsi="Symbol" w:hint="default"/>
      </w:r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4EB"/>
    <w:rsid w:val="000E74EB"/>
    <w:rsid w:val="001D0875"/>
    <w:rsid w:val="00351EF4"/>
    <w:rsid w:val="005C3ACA"/>
    <w:rsid w:val="00672B38"/>
    <w:rsid w:val="007050CC"/>
    <w:rsid w:val="00736479"/>
    <w:rsid w:val="00833090"/>
    <w:rsid w:val="008C623F"/>
    <w:rsid w:val="009C591F"/>
    <w:rsid w:val="00AF5628"/>
    <w:rsid w:val="00BA2502"/>
    <w:rsid w:val="00C00418"/>
    <w:rsid w:val="00D34413"/>
    <w:rsid w:val="00E27EB0"/>
    <w:rsid w:val="00EA3CFF"/>
    <w:rsid w:val="00FC52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9E2B5"/>
  <w15:chartTrackingRefBased/>
  <w15:docId w15:val="{F091ACDB-B913-4B39-BF72-0ACC219AC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4EB"/>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uiPriority w:val="35"/>
    <w:unhideWhenUsed/>
    <w:qFormat/>
    <w:rsid w:val="000E74EB"/>
    <w:pPr>
      <w:spacing w:after="200" w:line="240" w:lineRule="auto"/>
    </w:pPr>
    <w:rPr>
      <w:rFonts w:eastAsiaTheme="minorHAnsi"/>
      <w:i/>
      <w:iCs/>
      <w:color w:val="44546A" w:themeColor="text2"/>
      <w:sz w:val="18"/>
      <w:szCs w:val="18"/>
      <w:lang w:val="en-GB" w:eastAsia="en-US"/>
    </w:rPr>
  </w:style>
  <w:style w:type="character" w:customStyle="1" w:styleId="ui-provider">
    <w:name w:val="ui-provider"/>
    <w:basedOn w:val="Fuentedeprrafopredeter"/>
    <w:rsid w:val="00736479"/>
  </w:style>
  <w:style w:type="character" w:styleId="Refdecomentario">
    <w:name w:val="annotation reference"/>
    <w:basedOn w:val="Fuentedeprrafopredeter"/>
    <w:uiPriority w:val="99"/>
    <w:semiHidden/>
    <w:unhideWhenUsed/>
    <w:rsid w:val="00672B38"/>
    <w:rPr>
      <w:sz w:val="16"/>
      <w:szCs w:val="16"/>
    </w:rPr>
  </w:style>
  <w:style w:type="paragraph" w:styleId="Textocomentario">
    <w:name w:val="annotation text"/>
    <w:basedOn w:val="Normal"/>
    <w:link w:val="TextocomentarioCar"/>
    <w:uiPriority w:val="99"/>
    <w:unhideWhenUsed/>
    <w:rsid w:val="00672B38"/>
    <w:pPr>
      <w:spacing w:line="240" w:lineRule="auto"/>
    </w:pPr>
    <w:rPr>
      <w:sz w:val="20"/>
      <w:szCs w:val="20"/>
    </w:rPr>
  </w:style>
  <w:style w:type="character" w:customStyle="1" w:styleId="TextocomentarioCar">
    <w:name w:val="Texto comentario Car"/>
    <w:basedOn w:val="Fuentedeprrafopredeter"/>
    <w:link w:val="Textocomentario"/>
    <w:uiPriority w:val="99"/>
    <w:rsid w:val="00672B38"/>
    <w:rPr>
      <w:rFonts w:eastAsiaTheme="minorEastAsia"/>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72B38"/>
    <w:rPr>
      <w:b/>
      <w:bCs/>
    </w:rPr>
  </w:style>
  <w:style w:type="character" w:customStyle="1" w:styleId="AsuntodelcomentarioCar">
    <w:name w:val="Asunto del comentario Car"/>
    <w:basedOn w:val="TextocomentarioCar"/>
    <w:link w:val="Asuntodelcomentario"/>
    <w:uiPriority w:val="99"/>
    <w:semiHidden/>
    <w:rsid w:val="00672B38"/>
    <w:rPr>
      <w:rFonts w:eastAsiaTheme="minorEastAsia"/>
      <w:b/>
      <w:bCs/>
      <w:sz w:val="20"/>
      <w:szCs w:val="20"/>
      <w:lang w:eastAsia="es-ES"/>
    </w:rPr>
  </w:style>
  <w:style w:type="paragraph" w:styleId="Piedepgina">
    <w:name w:val="footer"/>
    <w:basedOn w:val="Normal"/>
    <w:link w:val="PiedepginaCar"/>
    <w:uiPriority w:val="99"/>
    <w:unhideWhenUsed/>
    <w:rsid w:val="00672B3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672B38"/>
    <w:rPr>
      <w:rFonts w:eastAsiaTheme="minorEastAsia"/>
      <w:lang w:eastAsia="es-ES"/>
    </w:rPr>
  </w:style>
  <w:style w:type="paragraph" w:styleId="Textodeglobo">
    <w:name w:val="Balloon Text"/>
    <w:basedOn w:val="Normal"/>
    <w:link w:val="TextodegloboCar"/>
    <w:uiPriority w:val="99"/>
    <w:semiHidden/>
    <w:unhideWhenUsed/>
    <w:rsid w:val="00AF56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5628"/>
    <w:rPr>
      <w:rFonts w:ascii="Segoe UI" w:eastAsiaTheme="minorEastAsia"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DB5DB-7C23-4B56-BB5C-DB95901C3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403</Words>
  <Characters>2301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BST</Company>
  <LinksUpToDate>false</LinksUpToDate>
  <CharactersWithSpaces>2699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Ignacio Rodriguez Martinez</dc:creator>
  <cp:keywords/>
  <dc:description/>
  <cp:lastModifiedBy>Jose Ignacio Rodriguez Martinez</cp:lastModifiedBy>
  <cp:revision>4</cp:revision>
  <dcterms:created xsi:type="dcterms:W3CDTF">2024-11-28T15:18:00Z</dcterms:created>
  <dcterms:modified xsi:type="dcterms:W3CDTF">2025-01-22T16:47:00Z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http://www.zotero.org/styles/acta-biomaterialia</vt:lpwstr>
  </property>
  <property fmtid="{D5CDD505-2E9C-101B-9397-08002B2CF9AE}" pid="3" name="Mendeley Recent Style Name 0_1">
    <vt:lpwstr>Acta Biomaterialia</vt:lpwstr>
  </property>
  <property fmtid="{D5CDD505-2E9C-101B-9397-08002B2CF9AE}" pid="4" name="Mendeley Recent Style Id 1_1">
    <vt:lpwstr>http://www.zotero.org/styles/american-journal-of-translational-research</vt:lpwstr>
  </property>
  <property fmtid="{D5CDD505-2E9C-101B-9397-08002B2CF9AE}" pid="5" name="Mendeley Recent Style Name 1_1">
    <vt:lpwstr>American Journal of Translational Research</vt:lpwstr>
  </property>
  <property fmtid="{D5CDD505-2E9C-101B-9397-08002B2CF9AE}" pid="6" name="Mendeley Recent Style Id 2_1">
    <vt:lpwstr>http://www.zotero.org/styles/american-medical-association</vt:lpwstr>
  </property>
  <property fmtid="{D5CDD505-2E9C-101B-9397-08002B2CF9AE}" pid="7" name="Mendeley Recent Style Name 2_1">
    <vt:lpwstr>American Medical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http://www.zotero.org/styles/journal-of-nanoscience-and-nanotechnology</vt:lpwstr>
  </property>
  <property fmtid="{D5CDD505-2E9C-101B-9397-08002B2CF9AE}" pid="13" name="Mendeley Recent Style Name 5_1">
    <vt:lpwstr>Journal of Nanoscience and Nanotechnology</vt:lpwstr>
  </property>
  <property fmtid="{D5CDD505-2E9C-101B-9397-08002B2CF9AE}" pid="14" name="Mendeley Recent Style Id 6_1">
    <vt:lpwstr>http://www.zotero.org/styles/materials-today-communications</vt:lpwstr>
  </property>
  <property fmtid="{D5CDD505-2E9C-101B-9397-08002B2CF9AE}" pid="15" name="Mendeley Recent Style Name 6_1">
    <vt:lpwstr>Materials Today Communications</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http://www.zotero.org/styles/tissue-engineering</vt:lpwstr>
  </property>
  <property fmtid="{D5CDD505-2E9C-101B-9397-08002B2CF9AE}" pid="19" name="Mendeley Recent Style Name 8_1">
    <vt:lpwstr>Tissue Engineering</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ClassificationContentMarkingFooterShapeIds">
    <vt:lpwstr>258ee992,1b602602,1d01e57b</vt:lpwstr>
  </property>
  <property fmtid="{D5CDD505-2E9C-101B-9397-08002B2CF9AE}" pid="23" name="ClassificationContentMarkingFooterFontProps">
    <vt:lpwstr>#0078d7,9,Rockwell</vt:lpwstr>
  </property>
  <property fmtid="{D5CDD505-2E9C-101B-9397-08002B2CF9AE}" pid="24" name="ClassificationContentMarkingFooterText">
    <vt:lpwstr>Information Classification: General</vt:lpwstr>
  </property>
  <property fmtid="{D5CDD505-2E9C-101B-9397-08002B2CF9AE}" pid="25" name="MSIP_Label_2bbab825-a111-45e4-86a1-18cee0005896_Enabled">
    <vt:lpwstr>true</vt:lpwstr>
  </property>
  <property fmtid="{D5CDD505-2E9C-101B-9397-08002B2CF9AE}" pid="26" name="MSIP_Label_2bbab825-a111-45e4-86a1-18cee0005896_SetDate">
    <vt:lpwstr>2024-11-27T02:02:36Z</vt:lpwstr>
  </property>
  <property fmtid="{D5CDD505-2E9C-101B-9397-08002B2CF9AE}" pid="27" name="MSIP_Label_2bbab825-a111-45e4-86a1-18cee0005896_Method">
    <vt:lpwstr>Standard</vt:lpwstr>
  </property>
  <property fmtid="{D5CDD505-2E9C-101B-9397-08002B2CF9AE}" pid="28" name="MSIP_Label_2bbab825-a111-45e4-86a1-18cee0005896_Name">
    <vt:lpwstr>2bbab825-a111-45e4-86a1-18cee0005896</vt:lpwstr>
  </property>
  <property fmtid="{D5CDD505-2E9C-101B-9397-08002B2CF9AE}" pid="29" name="MSIP_Label_2bbab825-a111-45e4-86a1-18cee0005896_SiteId">
    <vt:lpwstr>2567d566-604c-408a-8a60-55d0dc9d9d6b</vt:lpwstr>
  </property>
  <property fmtid="{D5CDD505-2E9C-101B-9397-08002B2CF9AE}" pid="30" name="MSIP_Label_2bbab825-a111-45e4-86a1-18cee0005896_ActionId">
    <vt:lpwstr>a8199975-0f91-4c0e-b8fa-8491e9d62f1a</vt:lpwstr>
  </property>
  <property fmtid="{D5CDD505-2E9C-101B-9397-08002B2CF9AE}" pid="31" name="MSIP_Label_2bbab825-a111-45e4-86a1-18cee0005896_ContentBits">
    <vt:lpwstr>2</vt:lpwstr>
  </property>
</Properties>
</file>