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9DFE3F" w14:textId="77777777" w:rsidR="00EF6429" w:rsidRPr="009F18EA" w:rsidRDefault="00EF6429" w:rsidP="0097049F">
      <w:pPr>
        <w:adjustRightInd w:val="0"/>
        <w:snapToGrid w:val="0"/>
        <w:spacing w:line="480" w:lineRule="auto"/>
        <w:rPr>
          <w:b/>
          <w:bCs/>
          <w:sz w:val="32"/>
          <w:szCs w:val="32"/>
        </w:rPr>
      </w:pPr>
      <w:r w:rsidRPr="009F18EA">
        <w:rPr>
          <w:b/>
          <w:bCs/>
          <w:sz w:val="32"/>
          <w:szCs w:val="32"/>
        </w:rPr>
        <w:t xml:space="preserve">Dual-Stimulus Responsive Nanocarrier for Enhanced Antitumor Responses </w:t>
      </w:r>
      <w:r w:rsidRPr="009F18EA">
        <w:rPr>
          <w:rFonts w:hint="eastAsia"/>
          <w:b/>
          <w:bCs/>
          <w:sz w:val="32"/>
          <w:szCs w:val="32"/>
        </w:rPr>
        <w:t>ag</w:t>
      </w:r>
      <w:r w:rsidRPr="009F18EA">
        <w:rPr>
          <w:b/>
          <w:bCs/>
          <w:sz w:val="32"/>
          <w:szCs w:val="32"/>
        </w:rPr>
        <w:t xml:space="preserve">ainst Hepatocellular Carcinoma </w:t>
      </w:r>
    </w:p>
    <w:p w14:paraId="55DB032D" w14:textId="3548438F" w:rsidR="00830625" w:rsidRDefault="00830625" w:rsidP="0097049F">
      <w:pPr>
        <w:adjustRightInd w:val="0"/>
        <w:snapToGrid w:val="0"/>
        <w:spacing w:line="480" w:lineRule="auto"/>
      </w:pPr>
      <w:proofErr w:type="spellStart"/>
      <w:r w:rsidRPr="00F41ABF">
        <w:rPr>
          <w:sz w:val="21"/>
          <w:szCs w:val="21"/>
        </w:rPr>
        <w:t>Deteng</w:t>
      </w:r>
      <w:proofErr w:type="spellEnd"/>
      <w:r w:rsidR="001953E0" w:rsidRPr="001953E0">
        <w:rPr>
          <w:rFonts w:hint="eastAsia"/>
          <w:sz w:val="21"/>
          <w:szCs w:val="21"/>
        </w:rPr>
        <w:t xml:space="preserve"> </w:t>
      </w:r>
      <w:proofErr w:type="spellStart"/>
      <w:r w:rsidR="001953E0" w:rsidRPr="00F41ABF">
        <w:rPr>
          <w:rFonts w:hint="eastAsia"/>
          <w:sz w:val="21"/>
          <w:szCs w:val="21"/>
        </w:rPr>
        <w:t>Zhang</w:t>
      </w:r>
      <w:r w:rsidRPr="00F41ABF">
        <w:rPr>
          <w:sz w:val="21"/>
          <w:szCs w:val="21"/>
          <w:vertAlign w:val="superscript"/>
        </w:rPr>
        <w:t>c</w:t>
      </w:r>
      <w:proofErr w:type="spellEnd"/>
      <w:r w:rsidRPr="009F18EA">
        <w:rPr>
          <w:sz w:val="21"/>
          <w:szCs w:val="21"/>
        </w:rPr>
        <w:t xml:space="preserve">, </w:t>
      </w:r>
      <w:proofErr w:type="spellStart"/>
      <w:r>
        <w:rPr>
          <w:sz w:val="21"/>
          <w:szCs w:val="21"/>
        </w:rPr>
        <w:t>Jinxiao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Song</w:t>
      </w:r>
      <w:r w:rsidRPr="00F41ABF">
        <w:rPr>
          <w:sz w:val="21"/>
          <w:szCs w:val="21"/>
          <w:vertAlign w:val="superscript"/>
        </w:rPr>
        <w:t>d</w:t>
      </w:r>
      <w:proofErr w:type="spellEnd"/>
      <w:r>
        <w:rPr>
          <w:sz w:val="21"/>
          <w:szCs w:val="21"/>
        </w:rPr>
        <w:t xml:space="preserve">, </w:t>
      </w:r>
      <w:proofErr w:type="spellStart"/>
      <w:r w:rsidRPr="009F18EA">
        <w:rPr>
          <w:sz w:val="21"/>
          <w:szCs w:val="21"/>
        </w:rPr>
        <w:t>Zhenghui</w:t>
      </w:r>
      <w:proofErr w:type="spellEnd"/>
      <w:r w:rsidRPr="009F18EA">
        <w:rPr>
          <w:sz w:val="21"/>
          <w:szCs w:val="21"/>
        </w:rPr>
        <w:t xml:space="preserve"> </w:t>
      </w:r>
      <w:proofErr w:type="spellStart"/>
      <w:r w:rsidRPr="009F18EA">
        <w:rPr>
          <w:sz w:val="21"/>
          <w:szCs w:val="21"/>
        </w:rPr>
        <w:t>Jing</w:t>
      </w:r>
      <w:r w:rsidRPr="00F41ABF">
        <w:rPr>
          <w:sz w:val="21"/>
          <w:szCs w:val="21"/>
          <w:vertAlign w:val="superscript"/>
        </w:rPr>
        <w:t>d</w:t>
      </w:r>
      <w:proofErr w:type="spellEnd"/>
      <w:r w:rsidRPr="009F18EA">
        <w:rPr>
          <w:sz w:val="21"/>
          <w:szCs w:val="21"/>
        </w:rPr>
        <w:t xml:space="preserve">, Huan </w:t>
      </w:r>
      <w:proofErr w:type="spellStart"/>
      <w:r w:rsidRPr="009F18EA">
        <w:rPr>
          <w:sz w:val="21"/>
          <w:szCs w:val="21"/>
        </w:rPr>
        <w:t>Qin</w:t>
      </w:r>
      <w:r>
        <w:rPr>
          <w:sz w:val="21"/>
          <w:szCs w:val="21"/>
          <w:vertAlign w:val="superscript"/>
        </w:rPr>
        <w:t>d</w:t>
      </w:r>
      <w:proofErr w:type="spellEnd"/>
      <w:r w:rsidRPr="009F18EA">
        <w:rPr>
          <w:sz w:val="21"/>
          <w:szCs w:val="21"/>
        </w:rPr>
        <w:t xml:space="preserve">, </w:t>
      </w:r>
      <w:r w:rsidRPr="009F18EA">
        <w:rPr>
          <w:rFonts w:hint="eastAsia"/>
          <w:sz w:val="21"/>
          <w:szCs w:val="21"/>
        </w:rPr>
        <w:t>You</w:t>
      </w:r>
      <w:r w:rsidRPr="009F18EA">
        <w:rPr>
          <w:sz w:val="21"/>
          <w:szCs w:val="21"/>
        </w:rPr>
        <w:t xml:space="preserve"> </w:t>
      </w:r>
      <w:proofErr w:type="spellStart"/>
      <w:r w:rsidRPr="009F18EA">
        <w:rPr>
          <w:sz w:val="21"/>
          <w:szCs w:val="21"/>
        </w:rPr>
        <w:t>Wu</w:t>
      </w:r>
      <w:r>
        <w:rPr>
          <w:sz w:val="21"/>
          <w:szCs w:val="21"/>
          <w:vertAlign w:val="superscript"/>
        </w:rPr>
        <w:t>c</w:t>
      </w:r>
      <w:proofErr w:type="spellEnd"/>
      <w:r w:rsidRPr="009F18EA">
        <w:rPr>
          <w:sz w:val="21"/>
          <w:szCs w:val="21"/>
        </w:rPr>
        <w:t xml:space="preserve">, Jingyi </w:t>
      </w:r>
      <w:proofErr w:type="spellStart"/>
      <w:r w:rsidRPr="009F18EA">
        <w:rPr>
          <w:sz w:val="21"/>
          <w:szCs w:val="21"/>
        </w:rPr>
        <w:t>Zhou</w:t>
      </w:r>
      <w:r>
        <w:rPr>
          <w:sz w:val="21"/>
          <w:szCs w:val="21"/>
          <w:vertAlign w:val="superscript"/>
        </w:rPr>
        <w:t>d</w:t>
      </w:r>
      <w:proofErr w:type="spellEnd"/>
      <w:r w:rsidRPr="009F18EA">
        <w:rPr>
          <w:sz w:val="21"/>
          <w:szCs w:val="21"/>
        </w:rPr>
        <w:t xml:space="preserve"> and Xinlong</w:t>
      </w:r>
      <w:r>
        <w:rPr>
          <w:sz w:val="21"/>
          <w:szCs w:val="21"/>
        </w:rPr>
        <w:t xml:space="preserve"> </w:t>
      </w:r>
      <w:proofErr w:type="spellStart"/>
      <w:proofErr w:type="gramStart"/>
      <w:r>
        <w:rPr>
          <w:sz w:val="21"/>
          <w:szCs w:val="21"/>
        </w:rPr>
        <w:t>Zang</w:t>
      </w:r>
      <w:r w:rsidRPr="00F41ABF">
        <w:rPr>
          <w:vertAlign w:val="superscript"/>
        </w:rPr>
        <w:t>a</w:t>
      </w:r>
      <w:r>
        <w:rPr>
          <w:vertAlign w:val="superscript"/>
        </w:rPr>
        <w:t>,</w:t>
      </w:r>
      <w:r>
        <w:rPr>
          <w:rFonts w:hint="eastAsia"/>
          <w:vertAlign w:val="superscript"/>
        </w:rPr>
        <w:t>b</w:t>
      </w:r>
      <w:proofErr w:type="gramEnd"/>
      <w:r>
        <w:rPr>
          <w:vertAlign w:val="superscript"/>
        </w:rPr>
        <w:t>,c,d</w:t>
      </w:r>
      <w:proofErr w:type="spellEnd"/>
      <w:r w:rsidRPr="00F02341">
        <w:t xml:space="preserve"> </w:t>
      </w:r>
    </w:p>
    <w:p w14:paraId="4E15C3B7" w14:textId="77777777" w:rsidR="00830625" w:rsidRPr="00F41ABF" w:rsidRDefault="00830625" w:rsidP="0097049F">
      <w:pPr>
        <w:adjustRightInd w:val="0"/>
        <w:snapToGrid w:val="0"/>
        <w:spacing w:line="480" w:lineRule="auto"/>
        <w:rPr>
          <w:sz w:val="21"/>
          <w:szCs w:val="21"/>
        </w:rPr>
      </w:pPr>
      <w:r w:rsidRPr="00F41ABF">
        <w:rPr>
          <w:sz w:val="21"/>
          <w:szCs w:val="21"/>
        </w:rPr>
        <w:t xml:space="preserve">a. The Affiliated Hospital of Qingdao University, Qingdao University, Qingdao, Shandong, China </w:t>
      </w:r>
    </w:p>
    <w:p w14:paraId="340232AD" w14:textId="77777777" w:rsidR="00830625" w:rsidRPr="00F41ABF" w:rsidRDefault="00830625" w:rsidP="0097049F">
      <w:pPr>
        <w:adjustRightInd w:val="0"/>
        <w:snapToGrid w:val="0"/>
        <w:spacing w:line="480" w:lineRule="auto"/>
        <w:rPr>
          <w:sz w:val="21"/>
          <w:szCs w:val="21"/>
        </w:rPr>
      </w:pPr>
      <w:r w:rsidRPr="00F41ABF">
        <w:rPr>
          <w:rFonts w:hint="eastAsia"/>
          <w:sz w:val="21"/>
          <w:szCs w:val="21"/>
        </w:rPr>
        <w:t>b</w:t>
      </w:r>
      <w:r w:rsidRPr="00F41ABF">
        <w:rPr>
          <w:sz w:val="21"/>
          <w:szCs w:val="21"/>
        </w:rPr>
        <w:t>. Qingdao Cancer Institute, Qingdao University, Qingdao, China</w:t>
      </w:r>
    </w:p>
    <w:p w14:paraId="535EDF9A" w14:textId="77777777" w:rsidR="00830625" w:rsidRPr="00F41ABF" w:rsidRDefault="00830625" w:rsidP="0097049F">
      <w:pPr>
        <w:adjustRightInd w:val="0"/>
        <w:snapToGrid w:val="0"/>
        <w:spacing w:line="480" w:lineRule="auto"/>
        <w:rPr>
          <w:sz w:val="21"/>
          <w:szCs w:val="21"/>
        </w:rPr>
      </w:pPr>
      <w:r w:rsidRPr="00F41ABF">
        <w:rPr>
          <w:rFonts w:hint="eastAsia"/>
          <w:sz w:val="21"/>
          <w:szCs w:val="21"/>
        </w:rPr>
        <w:t>c</w:t>
      </w:r>
      <w:r w:rsidRPr="00F41ABF">
        <w:rPr>
          <w:sz w:val="21"/>
          <w:szCs w:val="21"/>
        </w:rPr>
        <w:t xml:space="preserve">. Institute of </w:t>
      </w:r>
      <w:proofErr w:type="spellStart"/>
      <w:r w:rsidRPr="00F41ABF">
        <w:rPr>
          <w:sz w:val="21"/>
          <w:szCs w:val="21"/>
        </w:rPr>
        <w:t>Neuroregeneration</w:t>
      </w:r>
      <w:proofErr w:type="spellEnd"/>
      <w:r w:rsidRPr="00F41ABF">
        <w:rPr>
          <w:sz w:val="21"/>
          <w:szCs w:val="21"/>
        </w:rPr>
        <w:t xml:space="preserve"> and Neurorehabilitation, Qingdao University, Qingdao, China.</w:t>
      </w:r>
    </w:p>
    <w:p w14:paraId="79B4FF18" w14:textId="77777777" w:rsidR="00830625" w:rsidRPr="00F41ABF" w:rsidRDefault="00830625" w:rsidP="0097049F">
      <w:pPr>
        <w:adjustRightInd w:val="0"/>
        <w:snapToGrid w:val="0"/>
        <w:spacing w:line="480" w:lineRule="auto"/>
        <w:rPr>
          <w:sz w:val="21"/>
          <w:szCs w:val="21"/>
        </w:rPr>
      </w:pPr>
      <w:r w:rsidRPr="00F41ABF">
        <w:rPr>
          <w:sz w:val="21"/>
          <w:szCs w:val="21"/>
        </w:rPr>
        <w:t xml:space="preserve">d. School of basic medicine, Qingdao medical college, Qingdao </w:t>
      </w:r>
      <w:r w:rsidRPr="00F41ABF">
        <w:rPr>
          <w:rFonts w:hint="eastAsia"/>
          <w:sz w:val="21"/>
          <w:szCs w:val="21"/>
        </w:rPr>
        <w:t>Uni</w:t>
      </w:r>
      <w:r w:rsidRPr="00F41ABF">
        <w:rPr>
          <w:sz w:val="21"/>
          <w:szCs w:val="21"/>
        </w:rPr>
        <w:t>versity, PR China</w:t>
      </w:r>
    </w:p>
    <w:p w14:paraId="2FAB27FE" w14:textId="77777777" w:rsidR="00830625" w:rsidRPr="009F18EA" w:rsidRDefault="00830625" w:rsidP="0097049F">
      <w:pPr>
        <w:adjustRightInd w:val="0"/>
        <w:snapToGrid w:val="0"/>
        <w:spacing w:line="480" w:lineRule="auto"/>
        <w:rPr>
          <w:sz w:val="21"/>
          <w:szCs w:val="21"/>
        </w:rPr>
      </w:pPr>
      <w:r w:rsidRPr="009F18EA">
        <w:rPr>
          <w:sz w:val="21"/>
          <w:szCs w:val="21"/>
        </w:rPr>
        <w:t xml:space="preserve">*Corresponding author: </w:t>
      </w:r>
    </w:p>
    <w:p w14:paraId="52866822" w14:textId="542A00E2" w:rsidR="007D4C7A" w:rsidRPr="00830625" w:rsidRDefault="00830625" w:rsidP="0097049F">
      <w:pPr>
        <w:adjustRightInd w:val="0"/>
        <w:snapToGrid w:val="0"/>
        <w:spacing w:line="480" w:lineRule="auto"/>
        <w:rPr>
          <w:sz w:val="21"/>
          <w:szCs w:val="21"/>
        </w:rPr>
      </w:pPr>
      <w:r w:rsidRPr="00830625">
        <w:rPr>
          <w:sz w:val="21"/>
          <w:szCs w:val="21"/>
        </w:rPr>
        <w:t xml:space="preserve">Xinlong Zang, E-mail: </w:t>
      </w:r>
      <w:r w:rsidRPr="00830625">
        <w:rPr>
          <w:sz w:val="21"/>
          <w:szCs w:val="21"/>
          <w:u w:val="single"/>
        </w:rPr>
        <w:t>zangxinlong@126.com</w:t>
      </w:r>
      <w:r w:rsidRPr="00830625">
        <w:rPr>
          <w:sz w:val="21"/>
          <w:szCs w:val="21"/>
        </w:rPr>
        <w:t>;</w:t>
      </w:r>
    </w:p>
    <w:p w14:paraId="44387411" w14:textId="1911A52B" w:rsidR="00532182" w:rsidRPr="0070232A" w:rsidRDefault="00532182" w:rsidP="0097049F">
      <w:pPr>
        <w:adjustRightInd w:val="0"/>
        <w:snapToGrid w:val="0"/>
        <w:spacing w:line="480" w:lineRule="auto"/>
        <w:jc w:val="left"/>
        <w:rPr>
          <w:b/>
          <w:bCs/>
        </w:rPr>
      </w:pPr>
      <w:r w:rsidRPr="0070232A">
        <w:rPr>
          <w:rFonts w:hint="eastAsia"/>
          <w:b/>
          <w:bCs/>
        </w:rPr>
        <w:t>S</w:t>
      </w:r>
      <w:r w:rsidRPr="0070232A">
        <w:rPr>
          <w:b/>
          <w:bCs/>
        </w:rPr>
        <w:t>upporting information</w:t>
      </w:r>
    </w:p>
    <w:p w14:paraId="7EAC5827" w14:textId="05695C94" w:rsidR="0070232A" w:rsidRPr="009F18EA" w:rsidRDefault="0070232A" w:rsidP="0097049F">
      <w:pPr>
        <w:adjustRightInd w:val="0"/>
        <w:snapToGrid w:val="0"/>
        <w:spacing w:line="480" w:lineRule="auto"/>
        <w:rPr>
          <w:b/>
          <w:bCs/>
        </w:rPr>
      </w:pPr>
      <w:r>
        <w:rPr>
          <w:b/>
          <w:bCs/>
        </w:rPr>
        <w:t xml:space="preserve">1 </w:t>
      </w:r>
      <w:r w:rsidRPr="009F18EA">
        <w:rPr>
          <w:b/>
          <w:bCs/>
        </w:rPr>
        <w:t xml:space="preserve">Synthesis </w:t>
      </w:r>
      <w:r w:rsidR="0080159D">
        <w:rPr>
          <w:rFonts w:hint="eastAsia"/>
          <w:b/>
          <w:bCs/>
        </w:rPr>
        <w:t>of</w:t>
      </w:r>
      <w:r w:rsidR="0080159D">
        <w:rPr>
          <w:b/>
          <w:bCs/>
        </w:rPr>
        <w:t xml:space="preserve"> </w:t>
      </w:r>
      <w:r w:rsidRPr="009F18EA">
        <w:rPr>
          <w:b/>
          <w:bCs/>
        </w:rPr>
        <w:t>copolymers</w:t>
      </w:r>
    </w:p>
    <w:p w14:paraId="34BECB93" w14:textId="0AEC35DE" w:rsidR="0070232A" w:rsidRPr="009F18EA" w:rsidRDefault="0070232A" w:rsidP="0097049F">
      <w:pPr>
        <w:adjustRightInd w:val="0"/>
        <w:snapToGrid w:val="0"/>
        <w:spacing w:line="480" w:lineRule="auto"/>
        <w:rPr>
          <w:b/>
          <w:bCs/>
        </w:rPr>
      </w:pPr>
      <w:r>
        <w:rPr>
          <w:b/>
          <w:bCs/>
        </w:rPr>
        <w:t>1</w:t>
      </w:r>
      <w:r w:rsidRPr="009F18EA">
        <w:rPr>
          <w:b/>
          <w:bCs/>
        </w:rPr>
        <w:t xml:space="preserve">.1 Synthesis of </w:t>
      </w:r>
      <w:proofErr w:type="spellStart"/>
      <w:r w:rsidRPr="009F18EA">
        <w:rPr>
          <w:b/>
          <w:bCs/>
        </w:rPr>
        <w:t>P</w:t>
      </w:r>
      <w:r w:rsidR="00355FFD">
        <w:rPr>
          <w:b/>
          <w:bCs/>
        </w:rPr>
        <w:t>Gal</w:t>
      </w:r>
      <w:proofErr w:type="spellEnd"/>
      <w:r w:rsidRPr="009F18EA">
        <w:rPr>
          <w:b/>
          <w:bCs/>
        </w:rPr>
        <w:t>-PEG-PPBP</w:t>
      </w:r>
    </w:p>
    <w:p w14:paraId="1694A68A" w14:textId="7E4A687B" w:rsidR="0070232A" w:rsidRPr="009F18EA" w:rsidRDefault="0070232A" w:rsidP="0097049F">
      <w:pPr>
        <w:adjustRightInd w:val="0"/>
        <w:snapToGrid w:val="0"/>
        <w:spacing w:line="480" w:lineRule="auto"/>
        <w:ind w:firstLineChars="200" w:firstLine="480"/>
      </w:pPr>
      <w:r w:rsidRPr="005D395A">
        <w:t xml:space="preserve">The </w:t>
      </w:r>
      <w:proofErr w:type="spellStart"/>
      <w:r w:rsidRPr="005D395A">
        <w:t>P</w:t>
      </w:r>
      <w:r w:rsidR="00355FFD">
        <w:t>Gal</w:t>
      </w:r>
      <w:proofErr w:type="spellEnd"/>
      <w:r w:rsidRPr="005D395A">
        <w:t>-PEG-PPBP block copolymer was synthesized via the reversible addition fragmentation chain transfer (RAFT) polymerization technique, as previously reported, with some modifications</w:t>
      </w:r>
      <w:r w:rsidR="000F556D">
        <w:t xml:space="preserve"> </w:t>
      </w:r>
      <w:r w:rsidR="000F556D" w:rsidRPr="000F556D">
        <w:rPr>
          <w:rFonts w:hint="eastAsia"/>
          <w:color w:val="FF0000"/>
        </w:rPr>
        <w:t>(</w:t>
      </w:r>
      <w:r w:rsidR="000F556D" w:rsidRPr="000F556D">
        <w:rPr>
          <w:color w:val="FF0000"/>
        </w:rPr>
        <w:t>Figure S1</w:t>
      </w:r>
      <w:r w:rsidR="000F556D">
        <w:t>A)</w:t>
      </w:r>
      <w:r w:rsidRPr="009F18EA">
        <w:fldChar w:fldCharType="begin"/>
      </w:r>
      <w:r w:rsidR="00383069">
        <w:instrText xml:space="preserve"> ADDIN EN.CITE &lt;EndNote&gt;&lt;Cite&gt;&lt;Author&gt;Zhou&lt;/Author&gt;&lt;Year&gt;2023&lt;/Year&gt;&lt;RecNum&gt;547&lt;/RecNum&gt;&lt;DisplayText&gt;[1]&lt;/DisplayText&gt;&lt;record&gt;&lt;rec-number&gt;547&lt;/rec-number&gt;&lt;foreign-keys&gt;&lt;key app="EN" db-id="fexttp0r7afestevvdh5w5t0z5f92e9spxsx" timestamp="1689225933"&gt;547&lt;/key&gt;&lt;/foreign-keys&gt;&lt;ref-type name="Journal Article"&gt;17&lt;/ref-type&gt;&lt;contributors&gt;&lt;authors&gt;&lt;author&gt;Zhou, J. Y.&lt;/author&gt;&lt;author&gt;Li, K. K.&lt;/author&gt;&lt;author&gt;Zang, X. L.&lt;/author&gt;&lt;author&gt;Xie, Y.&lt;/author&gt;&lt;author&gt;Song, J. X.&lt;/author&gt;&lt;author&gt;Chen, X. H.&lt;/author&gt;&lt;/authors&gt;&lt;/contributors&gt;&lt;titles&gt;&lt;title&gt;ROS-responsive Galactosylated-nanoparticles with Doxorubicin Entrapment for Triple Negative Breast Cancer Therapy&lt;/title&gt;&lt;secondary-title&gt;INTERNATIONAL JOURNAL OF NANOMEDICINE&lt;/secondary-title&gt;&lt;/titles&gt;&lt;periodical&gt;&lt;full-title&gt;INTERNATIONAL JOURNAL OF NANOMEDICINE&lt;/full-title&gt;&lt;/periodical&gt;&lt;pages&gt;1381-1397&lt;/pages&gt;&lt;volume&gt;18&lt;/volume&gt;&lt;dates&gt;&lt;year&gt;2023&lt;/year&gt;&lt;/dates&gt;&lt;isbn&gt;1178-2013&lt;/isbn&gt;&lt;accession-num&gt;WOS:000954036800001&lt;/accession-num&gt;&lt;urls&gt;&lt;/urls&gt;&lt;electronic-resource-num&gt;10.2147/IJN.S396087&lt;/electronic-resource-num&gt;&lt;/record&gt;&lt;/Cite&gt;&lt;/EndNote&gt;</w:instrText>
      </w:r>
      <w:r w:rsidRPr="009F18EA">
        <w:fldChar w:fldCharType="separate"/>
      </w:r>
      <w:r w:rsidR="00383069">
        <w:rPr>
          <w:noProof/>
        </w:rPr>
        <w:t>[1]</w:t>
      </w:r>
      <w:r w:rsidRPr="009F18EA">
        <w:fldChar w:fldCharType="end"/>
      </w:r>
      <w:r w:rsidRPr="009F18EA">
        <w:t>.</w:t>
      </w:r>
      <w:r w:rsidRPr="005D395A">
        <w:t xml:space="preserve"> In summary, </w:t>
      </w:r>
      <w:proofErr w:type="spellStart"/>
      <w:r w:rsidRPr="005D395A">
        <w:t>MA</w:t>
      </w:r>
      <w:r w:rsidR="00355FFD">
        <w:t>Gal</w:t>
      </w:r>
      <w:r w:rsidRPr="005D395A">
        <w:t>Ac</w:t>
      </w:r>
      <w:proofErr w:type="spellEnd"/>
      <w:r w:rsidRPr="005D395A">
        <w:t>, MAPB</w:t>
      </w:r>
      <w:r w:rsidR="00575924">
        <w:t>B</w:t>
      </w:r>
      <w:r w:rsidRPr="005D395A">
        <w:t xml:space="preserve">, PEGMA, and DDMAT were combined in a round-bottom flask containing 3 mL of DMF. The reaction occurred at 75°C for 24 hours with AIBN acting as the initiator. The resulting product was precipitated in cold ethyl ether overnight and collected as a light-yellow oil through centrifugation. This oil was then mixed with CH3ONa at 0°C, and the pH was adjusted to 7.4. The resulting pellets were dialyzed against distilled deionized water and freeze-dried to yield light-yellow powders of </w:t>
      </w:r>
      <w:proofErr w:type="spellStart"/>
      <w:r w:rsidRPr="005D395A">
        <w:t>P</w:t>
      </w:r>
      <w:r w:rsidR="00355FFD">
        <w:t>Gal</w:t>
      </w:r>
      <w:proofErr w:type="spellEnd"/>
      <w:r w:rsidRPr="005D395A">
        <w:t>-PEG-PPBP.</w:t>
      </w:r>
    </w:p>
    <w:p w14:paraId="5FC5B155" w14:textId="524A7C50" w:rsidR="0070232A" w:rsidRPr="009F18EA" w:rsidRDefault="0070232A" w:rsidP="0097049F">
      <w:pPr>
        <w:adjustRightInd w:val="0"/>
        <w:snapToGrid w:val="0"/>
        <w:spacing w:line="480" w:lineRule="auto"/>
        <w:rPr>
          <w:b/>
          <w:bCs/>
        </w:rPr>
      </w:pPr>
      <w:r>
        <w:rPr>
          <w:b/>
          <w:bCs/>
        </w:rPr>
        <w:t>1</w:t>
      </w:r>
      <w:r w:rsidRPr="009F18EA">
        <w:rPr>
          <w:b/>
          <w:bCs/>
        </w:rPr>
        <w:t>.2 Synthesis of PBA-PEG</w:t>
      </w:r>
    </w:p>
    <w:p w14:paraId="3E30E25F" w14:textId="0052328D" w:rsidR="0070232A" w:rsidRPr="009F18EA" w:rsidRDefault="0070232A" w:rsidP="0097049F">
      <w:pPr>
        <w:adjustRightInd w:val="0"/>
        <w:snapToGrid w:val="0"/>
        <w:spacing w:line="480" w:lineRule="auto"/>
        <w:ind w:firstLineChars="200" w:firstLine="480"/>
      </w:pPr>
      <w:r w:rsidRPr="002167C2">
        <w:t xml:space="preserve">PBA-PEG was prepared through </w:t>
      </w:r>
      <w:r w:rsidR="00C77E93">
        <w:rPr>
          <w:rFonts w:hint="eastAsia"/>
        </w:rPr>
        <w:t>ester</w:t>
      </w:r>
      <w:r w:rsidR="00C77E93">
        <w:t xml:space="preserve"> </w:t>
      </w:r>
      <w:r w:rsidRPr="002167C2">
        <w:t>coupling reactions as described in a previous study</w:t>
      </w:r>
      <w:r w:rsidR="000F556D">
        <w:t xml:space="preserve"> (Figure S1B)</w:t>
      </w:r>
      <w:r w:rsidR="00C77E93">
        <w:fldChar w:fldCharType="begin"/>
      </w:r>
      <w:r w:rsidR="00C77E93">
        <w:instrText xml:space="preserve"> ADDIN EN.CITE &lt;EndNote&gt;&lt;Cite&gt;&lt;Author&gt;Zhao&lt;/Author&gt;&lt;Year&gt;2016&lt;/Year&gt;&lt;RecNum&gt;949&lt;/RecNum&gt;&lt;DisplayText&gt;[2]&lt;/DisplayText&gt;&lt;record&gt;&lt;rec-number&gt;949&lt;/rec-number&gt;&lt;foreign-keys&gt;&lt;key app="EN" db-id="fexttp0r7afestevvdh5w5t0z5f92e9spxsx" timestamp="1732084123"&gt;949&lt;/key&gt;&lt;/foreign-keys&gt;&lt;ref-type name="Journal Article"&gt;17&lt;/ref-type&gt;&lt;contributors&gt;&lt;authors&gt;&lt;author&gt;Zhao, Dan&lt;/author&gt;&lt;author&gt;Xu, Jia-Qi&lt;/author&gt;&lt;author&gt;Yi, Xiao-Qing&lt;/author&gt;&lt;author&gt;Zhang, Quan&lt;/author&gt;&lt;author&gt;Cheng, Si-Xue&lt;/author&gt;&lt;author&gt;Zhuo, Ren-Xi&lt;/author&gt;&lt;author&gt;Li, Feng&lt;/author&gt;&lt;/authors&gt;&lt;/contributors&gt;&lt;titles&gt;&lt;title&gt;pH-Activated Targeting Drug Delivery System Based on the Selective Binding of Phenylboronic Acid&lt;/title&gt;&lt;secondary-title&gt;ACS Applied Materials &amp;amp; Interfaces&lt;/secondary-title&gt;&lt;/titles&gt;&lt;periodical&gt;&lt;full-title&gt;ACS Applied Materials &amp;amp; Interfaces&lt;/full-title&gt;&lt;/periodical&gt;&lt;pages&gt;14845-14854&lt;/pages&gt;&lt;volume&gt;8&lt;/volume&gt;&lt;number&gt;23&lt;/number&gt;&lt;dates&gt;&lt;year&gt;2016&lt;/year&gt;&lt;pub-dates&gt;&lt;date&gt;2016/06/15&lt;/date&gt;&lt;/pub-dates&gt;&lt;/dates&gt;&lt;publisher&gt;American Chemical Society&lt;/publisher&gt;&lt;isbn&gt;1944-8244&lt;/isbn&gt;&lt;urls&gt;&lt;related-urls&gt;&lt;url&gt;https://doi.org/10.1021/acsami.6b04737&lt;/url&gt;&lt;/related-urls&gt;&lt;/urls&gt;&lt;electronic-resource-num&gt;10.1021/acsami.6b04737&lt;/electronic-resource-num&gt;&lt;/record&gt;&lt;/Cite&gt;&lt;/EndNote&gt;</w:instrText>
      </w:r>
      <w:r w:rsidR="00C77E93">
        <w:fldChar w:fldCharType="separate"/>
      </w:r>
      <w:r w:rsidR="00C77E93">
        <w:rPr>
          <w:noProof/>
        </w:rPr>
        <w:t>[2]</w:t>
      </w:r>
      <w:r w:rsidR="00C77E93">
        <w:fldChar w:fldCharType="end"/>
      </w:r>
      <w:r w:rsidRPr="002167C2">
        <w:t xml:space="preserve">. In summary, a solution was created by dissolving </w:t>
      </w:r>
      <w:r w:rsidR="00C77E93">
        <w:lastRenderedPageBreak/>
        <w:t xml:space="preserve">0.206g </w:t>
      </w:r>
      <w:r w:rsidRPr="002167C2">
        <w:t xml:space="preserve">4-carboxyphenylboronic acid, </w:t>
      </w:r>
      <w:r w:rsidR="00C77E93">
        <w:t xml:space="preserve">1.0g </w:t>
      </w:r>
      <w:r w:rsidRPr="002167C2">
        <w:t xml:space="preserve">PEG-OH, and </w:t>
      </w:r>
      <w:r w:rsidR="00C77E93">
        <w:t xml:space="preserve">0.061g </w:t>
      </w:r>
      <w:r w:rsidRPr="002167C2">
        <w:t>DMAP in a DCM-THF mixture</w:t>
      </w:r>
      <w:r w:rsidR="00C77E93">
        <w:t xml:space="preserve"> (1:1, V/V)</w:t>
      </w:r>
      <w:r w:rsidRPr="002167C2">
        <w:t xml:space="preserve">. </w:t>
      </w:r>
      <w:r w:rsidR="002708D6">
        <w:t xml:space="preserve">After 10min, </w:t>
      </w:r>
      <w:r w:rsidRPr="002167C2">
        <w:t>DCC (</w:t>
      </w:r>
      <w:r w:rsidR="00834C5D">
        <w:t>0.</w:t>
      </w:r>
      <w:r w:rsidRPr="002167C2">
        <w:t>21g, 1mmol) was then added dropwise</w:t>
      </w:r>
      <w:r w:rsidR="00D02C3F">
        <w:t xml:space="preserve"> as a solid</w:t>
      </w:r>
      <w:r w:rsidRPr="002167C2">
        <w:t xml:space="preserve"> to the solution while keeping it on ice. After a reaction period of 48 hours</w:t>
      </w:r>
      <w:r w:rsidR="002708D6">
        <w:t xml:space="preserve"> at room temperature</w:t>
      </w:r>
      <w:r w:rsidRPr="002167C2">
        <w:t xml:space="preserve">, the resulting mixture was precipitated using </w:t>
      </w:r>
      <w:r w:rsidR="00E7792D">
        <w:t xml:space="preserve">100mL </w:t>
      </w:r>
      <w:r w:rsidRPr="002167C2">
        <w:t>Et</w:t>
      </w:r>
      <w:r w:rsidRPr="00F90190">
        <w:rPr>
          <w:vertAlign w:val="subscript"/>
        </w:rPr>
        <w:t>2</w:t>
      </w:r>
      <w:r w:rsidRPr="002167C2">
        <w:t>O</w:t>
      </w:r>
      <w:r w:rsidR="002708D6">
        <w:t>, collected by centrifugation</w:t>
      </w:r>
      <w:r w:rsidRPr="002167C2">
        <w:t xml:space="preserve"> and subsequently dried under vacuum to yield PBA-PEG.</w:t>
      </w:r>
    </w:p>
    <w:p w14:paraId="74691DD7" w14:textId="074C198D" w:rsidR="0070232A" w:rsidRPr="009F18EA" w:rsidRDefault="0080159D" w:rsidP="0097049F">
      <w:pPr>
        <w:adjustRightInd w:val="0"/>
        <w:snapToGrid w:val="0"/>
        <w:spacing w:line="480" w:lineRule="auto"/>
        <w:rPr>
          <w:b/>
          <w:bCs/>
        </w:rPr>
      </w:pPr>
      <w:r>
        <w:rPr>
          <w:b/>
          <w:bCs/>
        </w:rPr>
        <w:t>2</w:t>
      </w:r>
      <w:r w:rsidR="0070232A" w:rsidRPr="009F18EA">
        <w:rPr>
          <w:b/>
          <w:bCs/>
        </w:rPr>
        <w:t xml:space="preserve"> C</w:t>
      </w:r>
      <w:r w:rsidRPr="009F18EA">
        <w:rPr>
          <w:b/>
          <w:bCs/>
        </w:rPr>
        <w:t>haracterization of</w:t>
      </w:r>
      <w:r>
        <w:rPr>
          <w:b/>
          <w:bCs/>
        </w:rPr>
        <w:t xml:space="preserve"> </w:t>
      </w:r>
      <w:r w:rsidRPr="009F18EA">
        <w:rPr>
          <w:b/>
          <w:bCs/>
        </w:rPr>
        <w:t>copolymers</w:t>
      </w:r>
    </w:p>
    <w:p w14:paraId="643B2FD8" w14:textId="5FC526A2" w:rsidR="0070232A" w:rsidRDefault="0070232A" w:rsidP="0097049F">
      <w:pPr>
        <w:adjustRightInd w:val="0"/>
        <w:snapToGrid w:val="0"/>
        <w:spacing w:line="480" w:lineRule="auto"/>
        <w:ind w:firstLineChars="200" w:firstLine="480"/>
        <w:rPr>
          <w:b/>
          <w:bCs/>
          <w:sz w:val="21"/>
          <w:szCs w:val="21"/>
        </w:rPr>
      </w:pPr>
      <w:r w:rsidRPr="000A41C1">
        <w:t xml:space="preserve">The </w:t>
      </w:r>
      <w:r w:rsidRPr="004579A5">
        <w:rPr>
          <w:vertAlign w:val="superscript"/>
        </w:rPr>
        <w:t>1</w:t>
      </w:r>
      <w:r w:rsidRPr="000A41C1">
        <w:t xml:space="preserve">H NMR spectra of </w:t>
      </w:r>
      <w:proofErr w:type="spellStart"/>
      <w:r w:rsidRPr="000A41C1">
        <w:t>P</w:t>
      </w:r>
      <w:r w:rsidR="00355FFD">
        <w:t>Gal</w:t>
      </w:r>
      <w:proofErr w:type="spellEnd"/>
      <w:r w:rsidRPr="000A41C1">
        <w:t xml:space="preserve">-PEG-PPBP, PBA-PEG, and their intermediates were acquired using an AVANCE III HD 400MHz spectrometer (Bruker, Switzerland). To evaluate the suitability of these materials for </w:t>
      </w:r>
      <w:r w:rsidRPr="00A93E2B">
        <w:rPr>
          <w:i/>
          <w:iCs/>
        </w:rPr>
        <w:t>in vivo</w:t>
      </w:r>
      <w:r w:rsidRPr="000A41C1">
        <w:t xml:space="preserve"> use, a hemolytic assay was conducted. Specifically, fresh rabbit erythrocytes were treated with </w:t>
      </w:r>
      <w:proofErr w:type="spellStart"/>
      <w:r w:rsidRPr="000A41C1">
        <w:t>P</w:t>
      </w:r>
      <w:r w:rsidR="00355FFD">
        <w:t>Gal</w:t>
      </w:r>
      <w:proofErr w:type="spellEnd"/>
      <w:r w:rsidRPr="000A41C1">
        <w:t>-PEG-PPBP and PBA-PEG at polymer concentrations ranging from 0.05 to 1 mg/mL</w:t>
      </w:r>
      <w:r w:rsidR="00E67C90">
        <w:t xml:space="preserve"> </w:t>
      </w:r>
      <w:r w:rsidR="00E67C90">
        <w:rPr>
          <w:rFonts w:hint="eastAsia"/>
        </w:rPr>
        <w:t>in</w:t>
      </w:r>
      <w:r w:rsidR="00E67C90">
        <w:t xml:space="preserve"> </w:t>
      </w:r>
      <w:r w:rsidR="00E67C90">
        <w:rPr>
          <w:rFonts w:hint="eastAsia"/>
        </w:rPr>
        <w:t>PBS</w:t>
      </w:r>
      <w:r w:rsidRPr="000A41C1">
        <w:t>. The samples were incubated at 37°C for 2 hours and subsequently examined to determine their hemolytic potential.</w:t>
      </w:r>
    </w:p>
    <w:p w14:paraId="214BEE63" w14:textId="47FC55CC" w:rsidR="000C63C9" w:rsidRDefault="00CC696B" w:rsidP="0097049F">
      <w:pPr>
        <w:adjustRightInd w:val="0"/>
        <w:snapToGrid w:val="0"/>
        <w:spacing w:line="480" w:lineRule="auto"/>
        <w:jc w:val="center"/>
        <w:rPr>
          <w:b/>
          <w:bCs/>
          <w:sz w:val="21"/>
          <w:szCs w:val="21"/>
        </w:rPr>
      </w:pPr>
      <w:r>
        <w:rPr>
          <w:b/>
          <w:bCs/>
          <w:noProof/>
          <w:sz w:val="21"/>
          <w:szCs w:val="21"/>
        </w:rPr>
        <w:drawing>
          <wp:inline distT="0" distB="0" distL="0" distR="0" wp14:anchorId="367456FE" wp14:editId="17DDB8F7">
            <wp:extent cx="4485081" cy="3760967"/>
            <wp:effectExtent l="0" t="0" r="0" b="0"/>
            <wp:docPr id="17109661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966118" name="图片 171096611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563" cy="376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E7B08" w14:textId="609C1E5C" w:rsidR="000C63C9" w:rsidRPr="00532182" w:rsidRDefault="000C63C9" w:rsidP="0097049F">
      <w:pPr>
        <w:adjustRightInd w:val="0"/>
        <w:snapToGrid w:val="0"/>
        <w:spacing w:line="480" w:lineRule="auto"/>
        <w:jc w:val="center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Figure</w:t>
      </w:r>
      <w:r>
        <w:rPr>
          <w:b/>
          <w:bCs/>
          <w:sz w:val="21"/>
          <w:szCs w:val="21"/>
        </w:rPr>
        <w:t xml:space="preserve"> S1. </w:t>
      </w:r>
      <w:r w:rsidRPr="00CE6764">
        <w:rPr>
          <w:sz w:val="21"/>
          <w:szCs w:val="21"/>
        </w:rPr>
        <w:t xml:space="preserve">Schematic illustration of </w:t>
      </w:r>
      <w:proofErr w:type="spellStart"/>
      <w:r w:rsidR="00CE6764" w:rsidRPr="00CE6764">
        <w:rPr>
          <w:sz w:val="21"/>
          <w:szCs w:val="21"/>
        </w:rPr>
        <w:t>P</w:t>
      </w:r>
      <w:r w:rsidR="00355FFD">
        <w:rPr>
          <w:sz w:val="21"/>
          <w:szCs w:val="21"/>
        </w:rPr>
        <w:t>Gal</w:t>
      </w:r>
      <w:proofErr w:type="spellEnd"/>
      <w:r w:rsidR="00CE6764" w:rsidRPr="00CE6764">
        <w:rPr>
          <w:sz w:val="21"/>
          <w:szCs w:val="21"/>
        </w:rPr>
        <w:t>-PEG-PPBP</w:t>
      </w:r>
      <w:r w:rsidR="0043179B">
        <w:rPr>
          <w:sz w:val="21"/>
          <w:szCs w:val="21"/>
        </w:rPr>
        <w:t xml:space="preserve"> </w:t>
      </w:r>
      <w:r w:rsidR="006A1E3D">
        <w:rPr>
          <w:sz w:val="21"/>
          <w:szCs w:val="21"/>
        </w:rPr>
        <w:t xml:space="preserve">(A) and PEG-PBA (B) </w:t>
      </w:r>
      <w:r w:rsidR="0043179B">
        <w:rPr>
          <w:sz w:val="21"/>
          <w:szCs w:val="21"/>
        </w:rPr>
        <w:t>synthesis</w:t>
      </w:r>
      <w:r w:rsidR="00CE6764" w:rsidRPr="00CE6764">
        <w:rPr>
          <w:sz w:val="21"/>
          <w:szCs w:val="21"/>
        </w:rPr>
        <w:t>.</w:t>
      </w:r>
    </w:p>
    <w:p w14:paraId="036185E3" w14:textId="08B11BB7" w:rsidR="00532182" w:rsidRDefault="00B813E9" w:rsidP="0097049F">
      <w:pPr>
        <w:adjustRightInd w:val="0"/>
        <w:snapToGrid w:val="0"/>
        <w:spacing w:line="480" w:lineRule="auto"/>
        <w:jc w:val="center"/>
        <w:rPr>
          <w:b/>
          <w:bCs/>
          <w:sz w:val="21"/>
          <w:szCs w:val="21"/>
        </w:rPr>
      </w:pPr>
      <w:r>
        <w:rPr>
          <w:b/>
          <w:bCs/>
          <w:noProof/>
          <w:sz w:val="21"/>
          <w:szCs w:val="21"/>
        </w:rPr>
        <w:lastRenderedPageBreak/>
        <w:drawing>
          <wp:inline distT="0" distB="0" distL="0" distR="0" wp14:anchorId="49EB0BFA" wp14:editId="3E5B0F8E">
            <wp:extent cx="3673503" cy="2564968"/>
            <wp:effectExtent l="0" t="0" r="3175" b="6985"/>
            <wp:docPr id="17586574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956" cy="2583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6E6E2E" w14:textId="73DC0338" w:rsidR="000C63C9" w:rsidRDefault="000C63C9" w:rsidP="0097049F">
      <w:pPr>
        <w:adjustRightInd w:val="0"/>
        <w:snapToGrid w:val="0"/>
        <w:spacing w:line="480" w:lineRule="auto"/>
        <w:jc w:val="center"/>
        <w:rPr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Figure</w:t>
      </w:r>
      <w:r>
        <w:rPr>
          <w:b/>
          <w:bCs/>
          <w:sz w:val="21"/>
          <w:szCs w:val="21"/>
        </w:rPr>
        <w:t xml:space="preserve"> S2. </w:t>
      </w:r>
      <w:r w:rsidR="00117341" w:rsidRPr="00117341">
        <w:rPr>
          <w:sz w:val="21"/>
          <w:szCs w:val="21"/>
          <w:vertAlign w:val="superscript"/>
        </w:rPr>
        <w:t>1</w:t>
      </w:r>
      <w:r w:rsidRPr="00117341">
        <w:rPr>
          <w:sz w:val="21"/>
          <w:szCs w:val="21"/>
        </w:rPr>
        <w:t>H NMR of</w:t>
      </w:r>
      <w:r>
        <w:rPr>
          <w:b/>
          <w:bCs/>
          <w:sz w:val="21"/>
          <w:szCs w:val="21"/>
        </w:rPr>
        <w:t xml:space="preserve"> </w:t>
      </w:r>
      <w:proofErr w:type="spellStart"/>
      <w:r w:rsidR="000F5A98" w:rsidRPr="000F5A98">
        <w:rPr>
          <w:sz w:val="21"/>
          <w:szCs w:val="21"/>
        </w:rPr>
        <w:t>MA</w:t>
      </w:r>
      <w:r w:rsidR="00355FFD">
        <w:rPr>
          <w:sz w:val="21"/>
          <w:szCs w:val="21"/>
        </w:rPr>
        <w:t>Gal</w:t>
      </w:r>
      <w:r w:rsidR="000F5A98" w:rsidRPr="000F5A98">
        <w:rPr>
          <w:sz w:val="21"/>
          <w:szCs w:val="21"/>
        </w:rPr>
        <w:t>Ac</w:t>
      </w:r>
      <w:proofErr w:type="spellEnd"/>
      <w:r w:rsidR="003071D2">
        <w:rPr>
          <w:sz w:val="21"/>
          <w:szCs w:val="21"/>
        </w:rPr>
        <w:t xml:space="preserve"> in </w:t>
      </w:r>
      <w:bookmarkStart w:id="0" w:name="OLE_LINK1"/>
      <w:r w:rsidR="003071D2">
        <w:rPr>
          <w:sz w:val="21"/>
          <w:szCs w:val="21"/>
        </w:rPr>
        <w:t>CDCl</w:t>
      </w:r>
      <w:r w:rsidR="003071D2" w:rsidRPr="003071D2">
        <w:rPr>
          <w:sz w:val="21"/>
          <w:szCs w:val="21"/>
          <w:vertAlign w:val="subscript"/>
        </w:rPr>
        <w:t>3</w:t>
      </w:r>
      <w:bookmarkEnd w:id="0"/>
      <w:r w:rsidR="000F5A98" w:rsidRPr="000F5A98">
        <w:rPr>
          <w:sz w:val="21"/>
          <w:szCs w:val="21"/>
        </w:rPr>
        <w:t>.</w:t>
      </w:r>
    </w:p>
    <w:p w14:paraId="4BED9908" w14:textId="79B16FC9" w:rsidR="00532182" w:rsidRDefault="00B813E9" w:rsidP="0097049F">
      <w:pPr>
        <w:adjustRightInd w:val="0"/>
        <w:snapToGrid w:val="0"/>
        <w:spacing w:line="480" w:lineRule="auto"/>
        <w:jc w:val="center"/>
        <w:rPr>
          <w:b/>
          <w:bCs/>
          <w:sz w:val="21"/>
          <w:szCs w:val="21"/>
        </w:rPr>
      </w:pPr>
      <w:r>
        <w:rPr>
          <w:b/>
          <w:bCs/>
          <w:noProof/>
          <w:sz w:val="21"/>
          <w:szCs w:val="21"/>
        </w:rPr>
        <w:drawing>
          <wp:inline distT="0" distB="0" distL="0" distR="0" wp14:anchorId="007D4B93" wp14:editId="6D309C6F">
            <wp:extent cx="3412385" cy="2381415"/>
            <wp:effectExtent l="0" t="0" r="0" b="0"/>
            <wp:docPr id="193184627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123" cy="2407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89296E" w14:textId="694D3BAC" w:rsidR="000C63C9" w:rsidRDefault="000C63C9" w:rsidP="0097049F">
      <w:pPr>
        <w:adjustRightInd w:val="0"/>
        <w:snapToGrid w:val="0"/>
        <w:spacing w:line="480" w:lineRule="auto"/>
        <w:jc w:val="center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Figure</w:t>
      </w:r>
      <w:r>
        <w:rPr>
          <w:b/>
          <w:bCs/>
          <w:sz w:val="21"/>
          <w:szCs w:val="21"/>
        </w:rPr>
        <w:t xml:space="preserve"> S</w:t>
      </w:r>
      <w:r w:rsidR="00CE6764">
        <w:rPr>
          <w:b/>
          <w:bCs/>
          <w:sz w:val="21"/>
          <w:szCs w:val="21"/>
        </w:rPr>
        <w:t>3</w:t>
      </w:r>
      <w:r>
        <w:rPr>
          <w:b/>
          <w:bCs/>
          <w:sz w:val="21"/>
          <w:szCs w:val="21"/>
        </w:rPr>
        <w:t xml:space="preserve">. </w:t>
      </w:r>
      <w:r w:rsidR="00117341" w:rsidRPr="00117341">
        <w:rPr>
          <w:sz w:val="21"/>
          <w:szCs w:val="21"/>
          <w:vertAlign w:val="superscript"/>
        </w:rPr>
        <w:t>1</w:t>
      </w:r>
      <w:r w:rsidR="00117341" w:rsidRPr="00117341">
        <w:rPr>
          <w:sz w:val="21"/>
          <w:szCs w:val="21"/>
        </w:rPr>
        <w:t>H</w:t>
      </w:r>
      <w:r w:rsidR="00117341" w:rsidRPr="0029406C">
        <w:rPr>
          <w:sz w:val="21"/>
          <w:szCs w:val="21"/>
        </w:rPr>
        <w:t xml:space="preserve"> NMR of</w:t>
      </w:r>
      <w:r w:rsidRPr="0029406C">
        <w:rPr>
          <w:sz w:val="21"/>
          <w:szCs w:val="21"/>
        </w:rPr>
        <w:t xml:space="preserve"> </w:t>
      </w:r>
      <w:r w:rsidR="0029406C" w:rsidRPr="0029406C">
        <w:rPr>
          <w:sz w:val="21"/>
          <w:szCs w:val="21"/>
        </w:rPr>
        <w:t>MAPBP</w:t>
      </w:r>
      <w:r w:rsidR="003071D2">
        <w:rPr>
          <w:sz w:val="21"/>
          <w:szCs w:val="21"/>
        </w:rPr>
        <w:t xml:space="preserve"> in CDCl</w:t>
      </w:r>
      <w:r w:rsidR="003071D2" w:rsidRPr="003071D2">
        <w:rPr>
          <w:sz w:val="21"/>
          <w:szCs w:val="21"/>
          <w:vertAlign w:val="subscript"/>
        </w:rPr>
        <w:t>3</w:t>
      </w:r>
      <w:r w:rsidR="0029406C" w:rsidRPr="0029406C">
        <w:rPr>
          <w:sz w:val="21"/>
          <w:szCs w:val="21"/>
        </w:rPr>
        <w:t>.</w:t>
      </w:r>
    </w:p>
    <w:p w14:paraId="5F647385" w14:textId="6B5A9890" w:rsidR="00B813E9" w:rsidRDefault="005137C0" w:rsidP="0097049F">
      <w:pPr>
        <w:adjustRightInd w:val="0"/>
        <w:snapToGrid w:val="0"/>
        <w:spacing w:line="480" w:lineRule="auto"/>
        <w:jc w:val="center"/>
        <w:rPr>
          <w:b/>
          <w:bCs/>
          <w:sz w:val="21"/>
          <w:szCs w:val="21"/>
        </w:rPr>
      </w:pPr>
      <w:r>
        <w:rPr>
          <w:rFonts w:hint="eastAsia"/>
          <w:b/>
          <w:bCs/>
          <w:noProof/>
          <w:sz w:val="21"/>
          <w:szCs w:val="21"/>
        </w:rPr>
        <w:drawing>
          <wp:inline distT="0" distB="0" distL="0" distR="0" wp14:anchorId="0D9BAA80" wp14:editId="27E8B06A">
            <wp:extent cx="3141103" cy="2564295"/>
            <wp:effectExtent l="0" t="0" r="2540" b="7620"/>
            <wp:docPr id="1642559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55905" name="图片 16425590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301" cy="256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7528E" w14:textId="06E3214B" w:rsidR="000C63C9" w:rsidRPr="00FF21BB" w:rsidRDefault="000C63C9" w:rsidP="0097049F">
      <w:pPr>
        <w:adjustRightInd w:val="0"/>
        <w:snapToGrid w:val="0"/>
        <w:spacing w:line="480" w:lineRule="auto"/>
        <w:jc w:val="center"/>
        <w:rPr>
          <w:sz w:val="21"/>
          <w:szCs w:val="21"/>
        </w:rPr>
      </w:pPr>
      <w:r w:rsidRPr="005137C0">
        <w:rPr>
          <w:rFonts w:hint="eastAsia"/>
          <w:b/>
          <w:bCs/>
          <w:sz w:val="21"/>
          <w:szCs w:val="21"/>
        </w:rPr>
        <w:t>Figure</w:t>
      </w:r>
      <w:r w:rsidRPr="005137C0">
        <w:rPr>
          <w:b/>
          <w:bCs/>
          <w:sz w:val="21"/>
          <w:szCs w:val="21"/>
        </w:rPr>
        <w:t xml:space="preserve"> S</w:t>
      </w:r>
      <w:r w:rsidR="00CE6764" w:rsidRPr="005137C0">
        <w:rPr>
          <w:b/>
          <w:bCs/>
          <w:sz w:val="21"/>
          <w:szCs w:val="21"/>
        </w:rPr>
        <w:t>4</w:t>
      </w:r>
      <w:r w:rsidRPr="005137C0">
        <w:rPr>
          <w:b/>
          <w:bCs/>
          <w:sz w:val="21"/>
          <w:szCs w:val="21"/>
        </w:rPr>
        <w:t>.</w:t>
      </w:r>
      <w:r w:rsidRPr="005137C0">
        <w:rPr>
          <w:sz w:val="21"/>
          <w:szCs w:val="21"/>
        </w:rPr>
        <w:t xml:space="preserve"> </w:t>
      </w:r>
      <w:r w:rsidR="00117341" w:rsidRPr="005137C0">
        <w:rPr>
          <w:sz w:val="21"/>
          <w:szCs w:val="21"/>
          <w:vertAlign w:val="superscript"/>
        </w:rPr>
        <w:t>1</w:t>
      </w:r>
      <w:r w:rsidR="00117341" w:rsidRPr="005137C0">
        <w:rPr>
          <w:sz w:val="21"/>
          <w:szCs w:val="21"/>
        </w:rPr>
        <w:t>H NMR of</w:t>
      </w:r>
      <w:r w:rsidRPr="005137C0">
        <w:rPr>
          <w:sz w:val="21"/>
          <w:szCs w:val="21"/>
        </w:rPr>
        <w:t xml:space="preserve"> </w:t>
      </w:r>
      <w:proofErr w:type="spellStart"/>
      <w:r w:rsidR="00FF21BB" w:rsidRPr="005137C0">
        <w:rPr>
          <w:sz w:val="21"/>
          <w:szCs w:val="21"/>
        </w:rPr>
        <w:t>P</w:t>
      </w:r>
      <w:r w:rsidR="00355FFD" w:rsidRPr="005137C0">
        <w:rPr>
          <w:sz w:val="21"/>
          <w:szCs w:val="21"/>
        </w:rPr>
        <w:t>Gal</w:t>
      </w:r>
      <w:r w:rsidR="00FF21BB" w:rsidRPr="005137C0">
        <w:rPr>
          <w:sz w:val="21"/>
          <w:szCs w:val="21"/>
        </w:rPr>
        <w:t>Ac</w:t>
      </w:r>
      <w:proofErr w:type="spellEnd"/>
      <w:r w:rsidR="00FC22BF" w:rsidRPr="005137C0">
        <w:rPr>
          <w:sz w:val="21"/>
          <w:szCs w:val="21"/>
        </w:rPr>
        <w:t xml:space="preserve"> in </w:t>
      </w:r>
      <w:r w:rsidR="005137C0" w:rsidRPr="005137C0">
        <w:rPr>
          <w:rFonts w:hint="eastAsia"/>
          <w:sz w:val="21"/>
          <w:szCs w:val="21"/>
        </w:rPr>
        <w:t>CD</w:t>
      </w:r>
      <w:r w:rsidR="005137C0" w:rsidRPr="005137C0">
        <w:rPr>
          <w:sz w:val="21"/>
          <w:szCs w:val="21"/>
        </w:rPr>
        <w:t>Cl</w:t>
      </w:r>
      <w:r w:rsidR="005137C0" w:rsidRPr="005137C0">
        <w:rPr>
          <w:sz w:val="21"/>
          <w:szCs w:val="21"/>
          <w:vertAlign w:val="subscript"/>
        </w:rPr>
        <w:t>3</w:t>
      </w:r>
      <w:r w:rsidR="00FF21BB" w:rsidRPr="005137C0">
        <w:rPr>
          <w:sz w:val="21"/>
          <w:szCs w:val="21"/>
        </w:rPr>
        <w:t>.</w:t>
      </w:r>
    </w:p>
    <w:p w14:paraId="4A82F90D" w14:textId="5ADBC48F" w:rsidR="00B813E9" w:rsidRDefault="00B813E9" w:rsidP="0097049F">
      <w:pPr>
        <w:adjustRightInd w:val="0"/>
        <w:snapToGrid w:val="0"/>
        <w:spacing w:line="480" w:lineRule="auto"/>
        <w:jc w:val="center"/>
        <w:rPr>
          <w:b/>
          <w:bCs/>
          <w:sz w:val="21"/>
          <w:szCs w:val="21"/>
        </w:rPr>
      </w:pPr>
      <w:r>
        <w:rPr>
          <w:b/>
          <w:bCs/>
          <w:noProof/>
          <w:sz w:val="21"/>
          <w:szCs w:val="21"/>
        </w:rPr>
        <w:lastRenderedPageBreak/>
        <w:drawing>
          <wp:inline distT="0" distB="0" distL="0" distR="0" wp14:anchorId="1C43F9AD" wp14:editId="73B0F4E2">
            <wp:extent cx="3752068" cy="2500685"/>
            <wp:effectExtent l="0" t="0" r="1270" b="0"/>
            <wp:docPr id="8096765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742" cy="2523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F6D326" w14:textId="0905B2B8" w:rsidR="000C63C9" w:rsidRDefault="000C63C9" w:rsidP="0097049F">
      <w:pPr>
        <w:adjustRightInd w:val="0"/>
        <w:snapToGrid w:val="0"/>
        <w:spacing w:line="480" w:lineRule="auto"/>
        <w:jc w:val="center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Figure</w:t>
      </w:r>
      <w:r>
        <w:rPr>
          <w:b/>
          <w:bCs/>
          <w:sz w:val="21"/>
          <w:szCs w:val="21"/>
        </w:rPr>
        <w:t xml:space="preserve"> S</w:t>
      </w:r>
      <w:r w:rsidR="00CE6764">
        <w:rPr>
          <w:b/>
          <w:bCs/>
          <w:sz w:val="21"/>
          <w:szCs w:val="21"/>
        </w:rPr>
        <w:t>5</w:t>
      </w:r>
      <w:r>
        <w:rPr>
          <w:b/>
          <w:bCs/>
          <w:sz w:val="21"/>
          <w:szCs w:val="21"/>
        </w:rPr>
        <w:t xml:space="preserve">. </w:t>
      </w:r>
      <w:r w:rsidR="00117341" w:rsidRPr="00117341">
        <w:rPr>
          <w:sz w:val="21"/>
          <w:szCs w:val="21"/>
          <w:vertAlign w:val="superscript"/>
        </w:rPr>
        <w:t>1</w:t>
      </w:r>
      <w:r w:rsidR="00117341" w:rsidRPr="00117341">
        <w:rPr>
          <w:sz w:val="21"/>
          <w:szCs w:val="21"/>
        </w:rPr>
        <w:t>H NMR of</w:t>
      </w:r>
      <w:r w:rsidR="00117341">
        <w:rPr>
          <w:sz w:val="21"/>
          <w:szCs w:val="21"/>
        </w:rPr>
        <w:t xml:space="preserve"> </w:t>
      </w:r>
      <w:proofErr w:type="spellStart"/>
      <w:r w:rsidR="00117341">
        <w:rPr>
          <w:sz w:val="21"/>
          <w:szCs w:val="21"/>
        </w:rPr>
        <w:t>P</w:t>
      </w:r>
      <w:r w:rsidR="00355FFD">
        <w:rPr>
          <w:sz w:val="21"/>
          <w:szCs w:val="21"/>
        </w:rPr>
        <w:t>Gal</w:t>
      </w:r>
      <w:r w:rsidR="00D429A1">
        <w:rPr>
          <w:sz w:val="21"/>
          <w:szCs w:val="21"/>
        </w:rPr>
        <w:t>Ac</w:t>
      </w:r>
      <w:proofErr w:type="spellEnd"/>
      <w:r w:rsidR="00D429A1">
        <w:rPr>
          <w:sz w:val="21"/>
          <w:szCs w:val="21"/>
        </w:rPr>
        <w:t>-PEG</w:t>
      </w:r>
      <w:r w:rsidR="003071D2">
        <w:rPr>
          <w:sz w:val="21"/>
          <w:szCs w:val="21"/>
        </w:rPr>
        <w:t xml:space="preserve"> in CDCl</w:t>
      </w:r>
      <w:r w:rsidR="003071D2" w:rsidRPr="003071D2">
        <w:rPr>
          <w:sz w:val="21"/>
          <w:szCs w:val="21"/>
          <w:vertAlign w:val="subscript"/>
        </w:rPr>
        <w:t>3</w:t>
      </w:r>
      <w:r w:rsidR="00AE3DA8">
        <w:rPr>
          <w:rFonts w:hint="eastAsia"/>
          <w:sz w:val="21"/>
          <w:szCs w:val="21"/>
        </w:rPr>
        <w:t>.</w:t>
      </w:r>
    </w:p>
    <w:p w14:paraId="4FE3FE87" w14:textId="77777777" w:rsidR="00B813E9" w:rsidRDefault="00B813E9" w:rsidP="0097049F">
      <w:pPr>
        <w:adjustRightInd w:val="0"/>
        <w:snapToGrid w:val="0"/>
        <w:spacing w:line="480" w:lineRule="auto"/>
        <w:jc w:val="center"/>
        <w:rPr>
          <w:b/>
          <w:bCs/>
          <w:sz w:val="21"/>
          <w:szCs w:val="21"/>
        </w:rPr>
      </w:pPr>
    </w:p>
    <w:p w14:paraId="710EDB1A" w14:textId="261BC851" w:rsidR="00B813E9" w:rsidRDefault="00B813E9" w:rsidP="0097049F">
      <w:pPr>
        <w:adjustRightInd w:val="0"/>
        <w:snapToGrid w:val="0"/>
        <w:spacing w:line="480" w:lineRule="auto"/>
        <w:jc w:val="center"/>
        <w:rPr>
          <w:b/>
          <w:bCs/>
          <w:sz w:val="21"/>
          <w:szCs w:val="21"/>
        </w:rPr>
      </w:pPr>
      <w:r>
        <w:rPr>
          <w:b/>
          <w:bCs/>
          <w:noProof/>
          <w:sz w:val="21"/>
          <w:szCs w:val="21"/>
        </w:rPr>
        <w:drawing>
          <wp:inline distT="0" distB="0" distL="0" distR="0" wp14:anchorId="12E21E97" wp14:editId="3F164223">
            <wp:extent cx="3772886" cy="2731273"/>
            <wp:effectExtent l="0" t="0" r="0" b="0"/>
            <wp:docPr id="32258730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91" cy="2760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0F302C" w14:textId="08D3A48E" w:rsidR="000C63C9" w:rsidRPr="00CE6764" w:rsidRDefault="000C63C9" w:rsidP="0097049F">
      <w:pPr>
        <w:adjustRightInd w:val="0"/>
        <w:snapToGrid w:val="0"/>
        <w:spacing w:line="480" w:lineRule="auto"/>
        <w:jc w:val="center"/>
        <w:rPr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Figure</w:t>
      </w:r>
      <w:r>
        <w:rPr>
          <w:b/>
          <w:bCs/>
          <w:sz w:val="21"/>
          <w:szCs w:val="21"/>
        </w:rPr>
        <w:t xml:space="preserve"> S</w:t>
      </w:r>
      <w:r w:rsidR="00CE6764">
        <w:rPr>
          <w:b/>
          <w:bCs/>
          <w:sz w:val="21"/>
          <w:szCs w:val="21"/>
        </w:rPr>
        <w:t>6</w:t>
      </w:r>
      <w:r>
        <w:rPr>
          <w:b/>
          <w:bCs/>
          <w:sz w:val="21"/>
          <w:szCs w:val="21"/>
        </w:rPr>
        <w:t xml:space="preserve">. </w:t>
      </w:r>
      <w:r w:rsidR="00CE6764" w:rsidRPr="00CE6764">
        <w:rPr>
          <w:sz w:val="21"/>
          <w:szCs w:val="21"/>
          <w:vertAlign w:val="superscript"/>
        </w:rPr>
        <w:t>1</w:t>
      </w:r>
      <w:r w:rsidRPr="00CE6764">
        <w:rPr>
          <w:sz w:val="21"/>
          <w:szCs w:val="21"/>
        </w:rPr>
        <w:t xml:space="preserve">H NMR of </w:t>
      </w:r>
      <w:proofErr w:type="spellStart"/>
      <w:r w:rsidR="00CE6764" w:rsidRPr="00CE6764">
        <w:rPr>
          <w:sz w:val="21"/>
          <w:szCs w:val="21"/>
        </w:rPr>
        <w:t>P</w:t>
      </w:r>
      <w:r w:rsidR="00355FFD">
        <w:rPr>
          <w:sz w:val="21"/>
          <w:szCs w:val="21"/>
        </w:rPr>
        <w:t>Gal</w:t>
      </w:r>
      <w:r w:rsidR="00CE6764" w:rsidRPr="00CE6764">
        <w:rPr>
          <w:sz w:val="21"/>
          <w:szCs w:val="21"/>
        </w:rPr>
        <w:t>Ac</w:t>
      </w:r>
      <w:proofErr w:type="spellEnd"/>
      <w:r w:rsidR="0029406C">
        <w:rPr>
          <w:sz w:val="21"/>
          <w:szCs w:val="21"/>
        </w:rPr>
        <w:t>-</w:t>
      </w:r>
      <w:r w:rsidR="00CE6764" w:rsidRPr="00CE6764">
        <w:rPr>
          <w:sz w:val="21"/>
          <w:szCs w:val="21"/>
        </w:rPr>
        <w:t>PEG-PPBP</w:t>
      </w:r>
      <w:r w:rsidR="00B40D01">
        <w:rPr>
          <w:sz w:val="21"/>
          <w:szCs w:val="21"/>
        </w:rPr>
        <w:t xml:space="preserve"> in CDCl</w:t>
      </w:r>
      <w:r w:rsidR="00B40D01" w:rsidRPr="003071D2">
        <w:rPr>
          <w:sz w:val="21"/>
          <w:szCs w:val="21"/>
          <w:vertAlign w:val="subscript"/>
        </w:rPr>
        <w:t>3</w:t>
      </w:r>
      <w:r w:rsidR="00CE6764" w:rsidRPr="00CE6764">
        <w:rPr>
          <w:sz w:val="21"/>
          <w:szCs w:val="21"/>
        </w:rPr>
        <w:t>.</w:t>
      </w:r>
    </w:p>
    <w:p w14:paraId="495C37DB" w14:textId="4F5A07E4" w:rsidR="00EB7FCC" w:rsidRPr="005C5437" w:rsidRDefault="00EB7FCC" w:rsidP="0097049F">
      <w:pPr>
        <w:adjustRightInd w:val="0"/>
        <w:snapToGrid w:val="0"/>
        <w:spacing w:line="480" w:lineRule="auto"/>
        <w:jc w:val="center"/>
        <w:rPr>
          <w:sz w:val="21"/>
          <w:szCs w:val="21"/>
        </w:rPr>
      </w:pPr>
      <w:r w:rsidRPr="005C5437">
        <w:rPr>
          <w:b/>
          <w:bCs/>
          <w:sz w:val="21"/>
          <w:szCs w:val="21"/>
        </w:rPr>
        <w:t>Table S1.</w:t>
      </w:r>
      <w:r w:rsidRPr="005C5437">
        <w:rPr>
          <w:sz w:val="21"/>
          <w:szCs w:val="21"/>
        </w:rPr>
        <w:t xml:space="preserve"> Particle sizes of nanoparticles at different pHs and redox conditions (n=3).</w:t>
      </w:r>
    </w:p>
    <w:tbl>
      <w:tblPr>
        <w:tblStyle w:val="a3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1470"/>
        <w:gridCol w:w="1790"/>
        <w:gridCol w:w="1984"/>
      </w:tblGrid>
      <w:tr w:rsidR="00BC7D2E" w:rsidRPr="005C5437" w14:paraId="68DE7E91" w14:textId="1C795CD2" w:rsidTr="00CF1790">
        <w:trPr>
          <w:trHeight w:val="510"/>
          <w:jc w:val="center"/>
        </w:trPr>
        <w:tc>
          <w:tcPr>
            <w:tcW w:w="2694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7492008" w14:textId="5870DF66" w:rsidR="00BC7D2E" w:rsidRPr="005C5437" w:rsidRDefault="00BC7D2E" w:rsidP="00CF1790">
            <w:pPr>
              <w:adjustRightInd w:val="0"/>
              <w:snapToGrid w:val="0"/>
              <w:jc w:val="center"/>
              <w:rPr>
                <w:sz w:val="21"/>
                <w:szCs w:val="21"/>
              </w:rPr>
            </w:pPr>
            <w:r w:rsidRPr="005C5437">
              <w:rPr>
                <w:sz w:val="21"/>
                <w:szCs w:val="21"/>
              </w:rPr>
              <w:t>Formulations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4C0811" w14:textId="0BB83CB8" w:rsidR="00BC7D2E" w:rsidRPr="005C5437" w:rsidRDefault="00BC7D2E" w:rsidP="00CF1790">
            <w:pPr>
              <w:adjustRightInd w:val="0"/>
              <w:snapToGrid w:val="0"/>
              <w:jc w:val="center"/>
              <w:rPr>
                <w:sz w:val="21"/>
                <w:szCs w:val="21"/>
              </w:rPr>
            </w:pPr>
            <w:r w:rsidRPr="005C5437">
              <w:rPr>
                <w:sz w:val="21"/>
                <w:szCs w:val="21"/>
              </w:rPr>
              <w:t>Particle size</w:t>
            </w:r>
            <w:r w:rsidR="00F05A18" w:rsidRPr="005C5437">
              <w:rPr>
                <w:sz w:val="21"/>
                <w:szCs w:val="21"/>
              </w:rPr>
              <w:t>s</w:t>
            </w:r>
            <w:r w:rsidRPr="005C5437">
              <w:rPr>
                <w:sz w:val="21"/>
                <w:szCs w:val="21"/>
              </w:rPr>
              <w:t xml:space="preserve"> (nm)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  <w:vAlign w:val="center"/>
          </w:tcPr>
          <w:p w14:paraId="76EA998F" w14:textId="4D3C53AA" w:rsidR="00BC7D2E" w:rsidRPr="005C5437" w:rsidRDefault="00BC7D2E" w:rsidP="00CF1790">
            <w:pPr>
              <w:adjustRightInd w:val="0"/>
              <w:snapToGrid w:val="0"/>
              <w:jc w:val="center"/>
              <w:rPr>
                <w:sz w:val="21"/>
                <w:szCs w:val="21"/>
              </w:rPr>
            </w:pPr>
            <w:r w:rsidRPr="005C5437">
              <w:rPr>
                <w:sz w:val="21"/>
                <w:szCs w:val="21"/>
              </w:rPr>
              <w:t>Zeta potential (mV)</w:t>
            </w:r>
          </w:p>
        </w:tc>
      </w:tr>
      <w:tr w:rsidR="00BC7D2E" w:rsidRPr="005C5437" w14:paraId="19220370" w14:textId="211208C6" w:rsidTr="00CF1790">
        <w:trPr>
          <w:trHeight w:val="510"/>
          <w:jc w:val="center"/>
        </w:trPr>
        <w:tc>
          <w:tcPr>
            <w:tcW w:w="26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1B2F8D" w14:textId="77777777" w:rsidR="00BC7D2E" w:rsidRPr="005C5437" w:rsidRDefault="00BC7D2E" w:rsidP="00CF1790">
            <w:pPr>
              <w:adjustRightInd w:val="0"/>
              <w:snapToGri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FBF15D" w14:textId="605F6F4E" w:rsidR="00BC7D2E" w:rsidRPr="005C5437" w:rsidRDefault="00BC7D2E" w:rsidP="00CF1790">
            <w:pPr>
              <w:adjustRightInd w:val="0"/>
              <w:snapToGrid w:val="0"/>
              <w:jc w:val="center"/>
              <w:rPr>
                <w:sz w:val="21"/>
                <w:szCs w:val="21"/>
              </w:rPr>
            </w:pPr>
            <w:r w:rsidRPr="005C5437">
              <w:rPr>
                <w:sz w:val="21"/>
                <w:szCs w:val="21"/>
              </w:rPr>
              <w:t>Without H</w:t>
            </w:r>
            <w:r w:rsidRPr="005C5437">
              <w:rPr>
                <w:sz w:val="21"/>
                <w:szCs w:val="21"/>
                <w:vertAlign w:val="subscript"/>
              </w:rPr>
              <w:t>2</w:t>
            </w:r>
            <w:r w:rsidRPr="005C5437">
              <w:rPr>
                <w:sz w:val="21"/>
                <w:szCs w:val="21"/>
              </w:rPr>
              <w:t>O</w:t>
            </w:r>
            <w:r w:rsidRPr="005C5437">
              <w:rPr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1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B4FB50" w14:textId="0ACD8B37" w:rsidR="00BC7D2E" w:rsidRPr="005C5437" w:rsidRDefault="00BC7D2E" w:rsidP="00CF1790">
            <w:pPr>
              <w:adjustRightInd w:val="0"/>
              <w:snapToGrid w:val="0"/>
              <w:jc w:val="center"/>
              <w:rPr>
                <w:sz w:val="21"/>
                <w:szCs w:val="21"/>
              </w:rPr>
            </w:pPr>
            <w:r w:rsidRPr="005C5437">
              <w:rPr>
                <w:sz w:val="21"/>
                <w:szCs w:val="21"/>
              </w:rPr>
              <w:t>With H</w:t>
            </w:r>
            <w:r w:rsidRPr="005C5437">
              <w:rPr>
                <w:sz w:val="21"/>
                <w:szCs w:val="21"/>
                <w:vertAlign w:val="subscript"/>
              </w:rPr>
              <w:t>2</w:t>
            </w:r>
            <w:r w:rsidRPr="005C5437">
              <w:rPr>
                <w:sz w:val="21"/>
                <w:szCs w:val="21"/>
              </w:rPr>
              <w:t>O</w:t>
            </w:r>
            <w:r w:rsidRPr="005C5437">
              <w:rPr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14:paraId="4BE7574A" w14:textId="77777777" w:rsidR="00BC7D2E" w:rsidRPr="005C5437" w:rsidRDefault="00BC7D2E" w:rsidP="00CF1790">
            <w:pPr>
              <w:adjustRightInd w:val="0"/>
              <w:snapToGrid w:val="0"/>
              <w:jc w:val="center"/>
              <w:rPr>
                <w:sz w:val="21"/>
                <w:szCs w:val="21"/>
              </w:rPr>
            </w:pPr>
          </w:p>
        </w:tc>
      </w:tr>
      <w:tr w:rsidR="00BC7D2E" w:rsidRPr="005C5437" w14:paraId="29555FCF" w14:textId="050C970A" w:rsidTr="00CF1790">
        <w:trPr>
          <w:trHeight w:val="510"/>
          <w:jc w:val="center"/>
        </w:trPr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EAA0A6" w14:textId="39085F07" w:rsidR="00BC7D2E" w:rsidRPr="005C5437" w:rsidRDefault="00BC7D2E" w:rsidP="00CF1790">
            <w:pPr>
              <w:adjustRightInd w:val="0"/>
              <w:snapToGrid w:val="0"/>
              <w:jc w:val="center"/>
              <w:rPr>
                <w:sz w:val="21"/>
                <w:szCs w:val="21"/>
              </w:rPr>
            </w:pPr>
            <w:r w:rsidRPr="005C5437">
              <w:rPr>
                <w:rFonts w:eastAsia="等线"/>
                <w:sz w:val="21"/>
                <w:szCs w:val="21"/>
              </w:rPr>
              <w:t>PN@GPB NPs</w:t>
            </w:r>
          </w:p>
        </w:tc>
        <w:tc>
          <w:tcPr>
            <w:tcW w:w="14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C21ECA6" w14:textId="5F4940E5" w:rsidR="00BC7D2E" w:rsidRPr="005C5437" w:rsidRDefault="00BC7D2E" w:rsidP="00CF1790">
            <w:pPr>
              <w:adjustRightInd w:val="0"/>
              <w:snapToGrid w:val="0"/>
              <w:jc w:val="center"/>
              <w:rPr>
                <w:sz w:val="21"/>
                <w:szCs w:val="21"/>
              </w:rPr>
            </w:pPr>
            <w:r w:rsidRPr="005C5437">
              <w:rPr>
                <w:rFonts w:eastAsia="等线"/>
                <w:color w:val="000000"/>
                <w:sz w:val="21"/>
                <w:szCs w:val="21"/>
              </w:rPr>
              <w:t>103.36 ± 2.31</w:t>
            </w:r>
          </w:p>
        </w:tc>
        <w:tc>
          <w:tcPr>
            <w:tcW w:w="17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B014FFF" w14:textId="1D3B2C2D" w:rsidR="00BC7D2E" w:rsidRPr="005C5437" w:rsidRDefault="00BC7D2E" w:rsidP="00CF1790">
            <w:pPr>
              <w:adjustRightInd w:val="0"/>
              <w:snapToGrid w:val="0"/>
              <w:jc w:val="center"/>
              <w:rPr>
                <w:sz w:val="21"/>
                <w:szCs w:val="21"/>
              </w:rPr>
            </w:pPr>
            <w:r w:rsidRPr="005C5437">
              <w:rPr>
                <w:rFonts w:eastAsia="等线"/>
                <w:color w:val="000000"/>
                <w:sz w:val="21"/>
                <w:szCs w:val="21"/>
              </w:rPr>
              <w:t>873.3 ± 50.3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14:paraId="4F0B165A" w14:textId="07D3FA4B" w:rsidR="00BC7D2E" w:rsidRPr="005C5437" w:rsidRDefault="00BC7D2E" w:rsidP="00CF1790">
            <w:pPr>
              <w:adjustRightInd w:val="0"/>
              <w:snapToGrid w:val="0"/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5C5437">
              <w:rPr>
                <w:sz w:val="21"/>
                <w:szCs w:val="21"/>
              </w:rPr>
              <w:t>-14.7</w:t>
            </w:r>
            <w:r w:rsidR="00F05A18" w:rsidRPr="005C5437">
              <w:rPr>
                <w:sz w:val="21"/>
                <w:szCs w:val="21"/>
              </w:rPr>
              <w:t xml:space="preserve"> </w:t>
            </w:r>
            <w:r w:rsidRPr="005C5437">
              <w:rPr>
                <w:rFonts w:eastAsia="等线"/>
                <w:sz w:val="21"/>
                <w:szCs w:val="21"/>
              </w:rPr>
              <w:t>±</w:t>
            </w:r>
            <w:r w:rsidR="00F05A18" w:rsidRPr="005C5437">
              <w:rPr>
                <w:rFonts w:eastAsia="等线"/>
                <w:sz w:val="21"/>
                <w:szCs w:val="21"/>
              </w:rPr>
              <w:t xml:space="preserve"> </w:t>
            </w:r>
            <w:r w:rsidRPr="005C5437">
              <w:rPr>
                <w:rFonts w:eastAsia="等线"/>
                <w:sz w:val="21"/>
                <w:szCs w:val="21"/>
              </w:rPr>
              <w:t>0.67</w:t>
            </w:r>
          </w:p>
        </w:tc>
      </w:tr>
      <w:tr w:rsidR="00BC7D2E" w:rsidRPr="005C5437" w14:paraId="07865641" w14:textId="77654B9D" w:rsidTr="00CF1790">
        <w:trPr>
          <w:trHeight w:val="510"/>
          <w:jc w:val="center"/>
        </w:trPr>
        <w:tc>
          <w:tcPr>
            <w:tcW w:w="2694" w:type="dxa"/>
            <w:shd w:val="clear" w:color="auto" w:fill="auto"/>
            <w:vAlign w:val="center"/>
          </w:tcPr>
          <w:p w14:paraId="4B495D3E" w14:textId="66A6FBCB" w:rsidR="00BC7D2E" w:rsidRPr="005C5437" w:rsidRDefault="00BC7D2E" w:rsidP="00CF1790">
            <w:pPr>
              <w:adjustRightInd w:val="0"/>
              <w:snapToGrid w:val="0"/>
              <w:jc w:val="center"/>
              <w:rPr>
                <w:sz w:val="21"/>
                <w:szCs w:val="21"/>
              </w:rPr>
            </w:pPr>
            <w:r w:rsidRPr="005C5437">
              <w:rPr>
                <w:rFonts w:eastAsia="等线"/>
                <w:sz w:val="21"/>
                <w:szCs w:val="21"/>
              </w:rPr>
              <w:t>PN@GPB-PEG NPs at pH6.5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588AF395" w14:textId="2010E6AF" w:rsidR="00BC7D2E" w:rsidRPr="005C5437" w:rsidRDefault="00BC7D2E" w:rsidP="00CF1790">
            <w:pPr>
              <w:adjustRightInd w:val="0"/>
              <w:snapToGrid w:val="0"/>
              <w:jc w:val="center"/>
              <w:rPr>
                <w:sz w:val="21"/>
                <w:szCs w:val="21"/>
              </w:rPr>
            </w:pPr>
            <w:r w:rsidRPr="005C5437">
              <w:rPr>
                <w:rFonts w:eastAsia="等线"/>
                <w:color w:val="000000"/>
                <w:sz w:val="21"/>
                <w:szCs w:val="21"/>
              </w:rPr>
              <w:t>99.44 ± 3.46</w:t>
            </w:r>
          </w:p>
        </w:tc>
        <w:tc>
          <w:tcPr>
            <w:tcW w:w="1790" w:type="dxa"/>
            <w:shd w:val="clear" w:color="auto" w:fill="auto"/>
            <w:vAlign w:val="center"/>
          </w:tcPr>
          <w:p w14:paraId="165DE8D2" w14:textId="60AF36E8" w:rsidR="00BC7D2E" w:rsidRPr="005C5437" w:rsidRDefault="00BC7D2E" w:rsidP="00CF1790">
            <w:pPr>
              <w:adjustRightInd w:val="0"/>
              <w:snapToGrid w:val="0"/>
              <w:jc w:val="center"/>
              <w:rPr>
                <w:sz w:val="21"/>
                <w:szCs w:val="21"/>
              </w:rPr>
            </w:pPr>
            <w:r w:rsidRPr="005C5437">
              <w:rPr>
                <w:rFonts w:eastAsia="等线"/>
                <w:color w:val="000000"/>
                <w:sz w:val="21"/>
                <w:szCs w:val="21"/>
              </w:rPr>
              <w:t>906.9 ± 51.32</w:t>
            </w:r>
          </w:p>
        </w:tc>
        <w:tc>
          <w:tcPr>
            <w:tcW w:w="1984" w:type="dxa"/>
            <w:vAlign w:val="center"/>
          </w:tcPr>
          <w:p w14:paraId="0412CCD6" w14:textId="2B9023FA" w:rsidR="00BC7D2E" w:rsidRPr="005C5437" w:rsidRDefault="00BC7D2E" w:rsidP="00CF1790">
            <w:pPr>
              <w:adjustRightInd w:val="0"/>
              <w:snapToGrid w:val="0"/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5C5437">
              <w:rPr>
                <w:sz w:val="21"/>
                <w:szCs w:val="21"/>
              </w:rPr>
              <w:t>-11.7</w:t>
            </w:r>
            <w:r w:rsidR="00F05A18" w:rsidRPr="005C5437">
              <w:rPr>
                <w:sz w:val="21"/>
                <w:szCs w:val="21"/>
              </w:rPr>
              <w:t xml:space="preserve"> </w:t>
            </w:r>
            <w:r w:rsidRPr="005C5437">
              <w:rPr>
                <w:rFonts w:eastAsia="等线"/>
                <w:sz w:val="21"/>
                <w:szCs w:val="21"/>
              </w:rPr>
              <w:t>±</w:t>
            </w:r>
            <w:r w:rsidR="00F05A18" w:rsidRPr="005C5437">
              <w:rPr>
                <w:rFonts w:eastAsia="等线"/>
                <w:sz w:val="21"/>
                <w:szCs w:val="21"/>
              </w:rPr>
              <w:t xml:space="preserve"> </w:t>
            </w:r>
            <w:r w:rsidRPr="005C5437">
              <w:rPr>
                <w:rFonts w:eastAsia="等线"/>
                <w:sz w:val="21"/>
                <w:szCs w:val="21"/>
              </w:rPr>
              <w:t>1.06</w:t>
            </w:r>
          </w:p>
        </w:tc>
      </w:tr>
      <w:tr w:rsidR="00BC7D2E" w:rsidRPr="005C5437" w14:paraId="2CCBC87E" w14:textId="6048D886" w:rsidTr="00CF1790">
        <w:trPr>
          <w:trHeight w:val="510"/>
          <w:jc w:val="center"/>
        </w:trPr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A7B156" w14:textId="2F29D9D4" w:rsidR="00F05A18" w:rsidRPr="005C5437" w:rsidRDefault="00BC7D2E" w:rsidP="00CF1790">
            <w:pPr>
              <w:adjustRightInd w:val="0"/>
              <w:snapToGrid w:val="0"/>
              <w:jc w:val="center"/>
              <w:rPr>
                <w:rFonts w:eastAsia="等线"/>
                <w:sz w:val="21"/>
                <w:szCs w:val="21"/>
              </w:rPr>
            </w:pPr>
            <w:r w:rsidRPr="005C5437">
              <w:rPr>
                <w:rFonts w:eastAsia="等线"/>
                <w:sz w:val="21"/>
                <w:szCs w:val="21"/>
              </w:rPr>
              <w:t>PN@GPB-PEG NPs at pH7.4</w:t>
            </w:r>
          </w:p>
        </w:tc>
        <w:tc>
          <w:tcPr>
            <w:tcW w:w="14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4B1327" w14:textId="03B50DE5" w:rsidR="00BC7D2E" w:rsidRPr="005C5437" w:rsidRDefault="00BC7D2E" w:rsidP="00CF1790">
            <w:pPr>
              <w:adjustRightInd w:val="0"/>
              <w:snapToGrid w:val="0"/>
              <w:jc w:val="center"/>
              <w:rPr>
                <w:sz w:val="21"/>
                <w:szCs w:val="21"/>
              </w:rPr>
            </w:pPr>
            <w:r w:rsidRPr="005C5437">
              <w:rPr>
                <w:rFonts w:eastAsia="等线"/>
                <w:color w:val="000000"/>
                <w:sz w:val="21"/>
                <w:szCs w:val="21"/>
              </w:rPr>
              <w:t>87.83 ± 5.61</w:t>
            </w:r>
          </w:p>
        </w:tc>
        <w:tc>
          <w:tcPr>
            <w:tcW w:w="17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240523" w14:textId="3BA1A5A8" w:rsidR="00BC7D2E" w:rsidRPr="005C5437" w:rsidRDefault="00BC7D2E" w:rsidP="00CF1790">
            <w:pPr>
              <w:adjustRightInd w:val="0"/>
              <w:snapToGrid w:val="0"/>
              <w:jc w:val="center"/>
              <w:rPr>
                <w:sz w:val="21"/>
                <w:szCs w:val="21"/>
              </w:rPr>
            </w:pPr>
            <w:r w:rsidRPr="005C5437">
              <w:rPr>
                <w:rFonts w:eastAsia="等线"/>
                <w:color w:val="000000"/>
                <w:sz w:val="21"/>
                <w:szCs w:val="21"/>
              </w:rPr>
              <w:t>735 ± 100.1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65A78204" w14:textId="2AEBC2A2" w:rsidR="00BC7D2E" w:rsidRPr="005C5437" w:rsidRDefault="00BC7D2E" w:rsidP="00CF1790">
            <w:pPr>
              <w:adjustRightInd w:val="0"/>
              <w:snapToGrid w:val="0"/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5C5437">
              <w:rPr>
                <w:sz w:val="21"/>
                <w:szCs w:val="21"/>
              </w:rPr>
              <w:t>-3.73</w:t>
            </w:r>
            <w:r w:rsidR="00F05A18" w:rsidRPr="005C5437">
              <w:rPr>
                <w:sz w:val="21"/>
                <w:szCs w:val="21"/>
              </w:rPr>
              <w:t xml:space="preserve"> </w:t>
            </w:r>
            <w:r w:rsidRPr="005C5437">
              <w:rPr>
                <w:rFonts w:eastAsia="等线"/>
                <w:sz w:val="21"/>
                <w:szCs w:val="21"/>
              </w:rPr>
              <w:t>±</w:t>
            </w:r>
            <w:r w:rsidR="00F05A18" w:rsidRPr="005C5437">
              <w:rPr>
                <w:rFonts w:eastAsia="等线"/>
                <w:sz w:val="21"/>
                <w:szCs w:val="21"/>
              </w:rPr>
              <w:t xml:space="preserve"> </w:t>
            </w:r>
            <w:r w:rsidRPr="005C5437">
              <w:rPr>
                <w:rFonts w:eastAsia="等线"/>
                <w:sz w:val="21"/>
                <w:szCs w:val="21"/>
              </w:rPr>
              <w:t>0.24</w:t>
            </w:r>
          </w:p>
        </w:tc>
      </w:tr>
    </w:tbl>
    <w:p w14:paraId="06F06610" w14:textId="77777777" w:rsidR="00517077" w:rsidRPr="005C5437" w:rsidRDefault="00517077" w:rsidP="0097049F">
      <w:pPr>
        <w:adjustRightInd w:val="0"/>
        <w:snapToGrid w:val="0"/>
        <w:spacing w:line="480" w:lineRule="auto"/>
      </w:pPr>
    </w:p>
    <w:p w14:paraId="6EF4F583" w14:textId="6797FFDE" w:rsidR="003F1578" w:rsidRPr="005C5437" w:rsidRDefault="00981B90" w:rsidP="0097049F">
      <w:pPr>
        <w:adjustRightInd w:val="0"/>
        <w:snapToGrid w:val="0"/>
        <w:spacing w:line="480" w:lineRule="auto"/>
      </w:pPr>
      <w:r w:rsidRPr="005C5437">
        <w:rPr>
          <w:b/>
          <w:bCs/>
          <w:sz w:val="21"/>
          <w:szCs w:val="21"/>
        </w:rPr>
        <w:lastRenderedPageBreak/>
        <w:t>Table S2.</w:t>
      </w:r>
      <w:r w:rsidRPr="005C5437">
        <w:t xml:space="preserve"> The encapsulation and drug loading efficiency of different formulations.</w:t>
      </w:r>
    </w:p>
    <w:tbl>
      <w:tblPr>
        <w:tblStyle w:val="a3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1275"/>
        <w:gridCol w:w="1276"/>
        <w:gridCol w:w="1276"/>
        <w:gridCol w:w="1276"/>
      </w:tblGrid>
      <w:tr w:rsidR="009552BE" w:rsidRPr="009552BE" w14:paraId="6984B5E1" w14:textId="77777777" w:rsidTr="009552BE">
        <w:trPr>
          <w:trHeight w:val="397"/>
          <w:jc w:val="center"/>
        </w:trPr>
        <w:tc>
          <w:tcPr>
            <w:tcW w:w="2835" w:type="dxa"/>
            <w:vMerge w:val="restart"/>
            <w:tcBorders>
              <w:top w:val="single" w:sz="4" w:space="0" w:color="auto"/>
            </w:tcBorders>
            <w:vAlign w:val="center"/>
          </w:tcPr>
          <w:p w14:paraId="71B2E43D" w14:textId="08AC2634" w:rsidR="00997E77" w:rsidRPr="009552BE" w:rsidRDefault="00997E77" w:rsidP="00CF1790">
            <w:pPr>
              <w:adjustRightInd w:val="0"/>
              <w:snapToGrid w:val="0"/>
              <w:jc w:val="center"/>
              <w:rPr>
                <w:color w:val="FF0000"/>
                <w:sz w:val="21"/>
                <w:szCs w:val="21"/>
              </w:rPr>
            </w:pPr>
            <w:r w:rsidRPr="009552BE">
              <w:rPr>
                <w:color w:val="FF0000"/>
                <w:sz w:val="21"/>
                <w:szCs w:val="21"/>
              </w:rPr>
              <w:t>Formulations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E29528" w14:textId="4D9876BD" w:rsidR="00997E77" w:rsidRPr="009552BE" w:rsidRDefault="00997E77" w:rsidP="00CF1790">
            <w:pPr>
              <w:adjustRightInd w:val="0"/>
              <w:snapToGrid w:val="0"/>
              <w:jc w:val="center"/>
              <w:rPr>
                <w:color w:val="FF0000"/>
                <w:sz w:val="21"/>
                <w:szCs w:val="21"/>
              </w:rPr>
            </w:pPr>
            <w:r w:rsidRPr="009552BE">
              <w:rPr>
                <w:color w:val="FF0000"/>
                <w:sz w:val="21"/>
                <w:szCs w:val="21"/>
              </w:rPr>
              <w:t>PTX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80DC00" w14:textId="677C359E" w:rsidR="00997E77" w:rsidRPr="009552BE" w:rsidRDefault="00997E77" w:rsidP="00CF1790">
            <w:pPr>
              <w:adjustRightInd w:val="0"/>
              <w:snapToGrid w:val="0"/>
              <w:jc w:val="center"/>
              <w:rPr>
                <w:color w:val="FF0000"/>
                <w:sz w:val="21"/>
                <w:szCs w:val="21"/>
              </w:rPr>
            </w:pPr>
            <w:r w:rsidRPr="009552BE">
              <w:rPr>
                <w:color w:val="FF0000"/>
                <w:sz w:val="21"/>
                <w:szCs w:val="21"/>
              </w:rPr>
              <w:t>NLG919</w:t>
            </w:r>
          </w:p>
        </w:tc>
      </w:tr>
      <w:tr w:rsidR="009552BE" w:rsidRPr="009552BE" w14:paraId="609D55F9" w14:textId="77777777" w:rsidTr="009552BE">
        <w:trPr>
          <w:trHeight w:val="397"/>
          <w:jc w:val="center"/>
        </w:trPr>
        <w:tc>
          <w:tcPr>
            <w:tcW w:w="2835" w:type="dxa"/>
            <w:vMerge/>
            <w:tcBorders>
              <w:bottom w:val="single" w:sz="4" w:space="0" w:color="auto"/>
            </w:tcBorders>
            <w:vAlign w:val="center"/>
          </w:tcPr>
          <w:p w14:paraId="23425653" w14:textId="77777777" w:rsidR="00997E77" w:rsidRPr="009552BE" w:rsidRDefault="00997E77" w:rsidP="00CF1790">
            <w:pPr>
              <w:adjustRightInd w:val="0"/>
              <w:snapToGrid w:val="0"/>
              <w:jc w:val="center"/>
              <w:rPr>
                <w:color w:val="FF0000"/>
                <w:sz w:val="21"/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F682F9" w14:textId="30759130" w:rsidR="00997E77" w:rsidRPr="009552BE" w:rsidRDefault="00997E77" w:rsidP="00CF1790">
            <w:pPr>
              <w:adjustRightInd w:val="0"/>
              <w:snapToGrid w:val="0"/>
              <w:jc w:val="center"/>
              <w:rPr>
                <w:color w:val="FF0000"/>
                <w:sz w:val="21"/>
                <w:szCs w:val="21"/>
              </w:rPr>
            </w:pPr>
            <w:r w:rsidRPr="009552BE">
              <w:rPr>
                <w:color w:val="FF0000"/>
                <w:sz w:val="21"/>
                <w:szCs w:val="21"/>
              </w:rPr>
              <w:t>EE (%)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0B559D" w14:textId="68AFE882" w:rsidR="00997E77" w:rsidRPr="009552BE" w:rsidRDefault="00997E77" w:rsidP="00CF1790">
            <w:pPr>
              <w:adjustRightInd w:val="0"/>
              <w:snapToGrid w:val="0"/>
              <w:jc w:val="center"/>
              <w:rPr>
                <w:color w:val="FF0000"/>
                <w:sz w:val="21"/>
                <w:szCs w:val="21"/>
              </w:rPr>
            </w:pPr>
            <w:r w:rsidRPr="009552BE">
              <w:rPr>
                <w:color w:val="FF0000"/>
                <w:sz w:val="21"/>
                <w:szCs w:val="21"/>
              </w:rPr>
              <w:t>DLE (%)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4CAC01" w14:textId="66D7069C" w:rsidR="00997E77" w:rsidRPr="009552BE" w:rsidRDefault="00997E77" w:rsidP="00CF1790">
            <w:pPr>
              <w:adjustRightInd w:val="0"/>
              <w:snapToGrid w:val="0"/>
              <w:jc w:val="center"/>
              <w:rPr>
                <w:color w:val="FF0000"/>
                <w:sz w:val="21"/>
                <w:szCs w:val="21"/>
              </w:rPr>
            </w:pPr>
            <w:r w:rsidRPr="009552BE">
              <w:rPr>
                <w:color w:val="FF0000"/>
                <w:sz w:val="21"/>
                <w:szCs w:val="21"/>
              </w:rPr>
              <w:t>EE (%)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E022A0" w14:textId="72187CB8" w:rsidR="00997E77" w:rsidRPr="009552BE" w:rsidRDefault="00997E77" w:rsidP="00CF1790">
            <w:pPr>
              <w:adjustRightInd w:val="0"/>
              <w:snapToGrid w:val="0"/>
              <w:jc w:val="center"/>
              <w:rPr>
                <w:color w:val="FF0000"/>
                <w:sz w:val="21"/>
                <w:szCs w:val="21"/>
              </w:rPr>
            </w:pPr>
            <w:r w:rsidRPr="009552BE">
              <w:rPr>
                <w:color w:val="FF0000"/>
                <w:sz w:val="21"/>
                <w:szCs w:val="21"/>
              </w:rPr>
              <w:t>DLE (%)</w:t>
            </w:r>
          </w:p>
        </w:tc>
      </w:tr>
      <w:tr w:rsidR="009552BE" w:rsidRPr="009552BE" w14:paraId="3D734E15" w14:textId="77777777" w:rsidTr="009552BE">
        <w:trPr>
          <w:trHeight w:val="397"/>
          <w:jc w:val="center"/>
        </w:trPr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14:paraId="0EF8296C" w14:textId="040A89AB" w:rsidR="00997E77" w:rsidRPr="009552BE" w:rsidRDefault="00997E77" w:rsidP="00CF1790">
            <w:pPr>
              <w:adjustRightInd w:val="0"/>
              <w:snapToGrid w:val="0"/>
              <w:jc w:val="center"/>
              <w:rPr>
                <w:color w:val="FF0000"/>
                <w:sz w:val="21"/>
                <w:szCs w:val="21"/>
              </w:rPr>
            </w:pPr>
            <w:r w:rsidRPr="009552BE">
              <w:rPr>
                <w:rFonts w:eastAsia="等线"/>
                <w:color w:val="FF0000"/>
                <w:sz w:val="21"/>
                <w:szCs w:val="21"/>
              </w:rPr>
              <w:t>PN@GPB NPs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14:paraId="6159C04A" w14:textId="256C297C" w:rsidR="00997E77" w:rsidRPr="009552BE" w:rsidRDefault="00997E77" w:rsidP="00CF1790">
            <w:pPr>
              <w:adjustRightInd w:val="0"/>
              <w:snapToGrid w:val="0"/>
              <w:jc w:val="center"/>
              <w:rPr>
                <w:color w:val="FF0000"/>
                <w:sz w:val="21"/>
                <w:szCs w:val="21"/>
              </w:rPr>
            </w:pPr>
            <w:r w:rsidRPr="009552BE">
              <w:rPr>
                <w:color w:val="FF0000"/>
                <w:sz w:val="21"/>
                <w:szCs w:val="21"/>
              </w:rPr>
              <w:t>75</w:t>
            </w:r>
            <w:r w:rsidR="007C53FB" w:rsidRPr="009552BE">
              <w:rPr>
                <w:rFonts w:hint="eastAsia"/>
                <w:color w:val="FF0000"/>
                <w:sz w:val="21"/>
                <w:szCs w:val="21"/>
              </w:rPr>
              <w:t>±</w:t>
            </w:r>
            <w:r w:rsidR="007C53FB" w:rsidRPr="009552BE">
              <w:rPr>
                <w:rFonts w:hint="eastAsia"/>
                <w:color w:val="FF0000"/>
                <w:sz w:val="21"/>
                <w:szCs w:val="21"/>
              </w:rPr>
              <w:t>0</w:t>
            </w:r>
            <w:r w:rsidR="007C53FB" w:rsidRPr="009552BE">
              <w:rPr>
                <w:color w:val="FF0000"/>
                <w:sz w:val="21"/>
                <w:szCs w:val="21"/>
              </w:rPr>
              <w:t>.50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4B32CF98" w14:textId="4B7440A7" w:rsidR="00997E77" w:rsidRPr="009552BE" w:rsidRDefault="00023285" w:rsidP="00CF1790">
            <w:pPr>
              <w:adjustRightInd w:val="0"/>
              <w:snapToGrid w:val="0"/>
              <w:jc w:val="center"/>
              <w:rPr>
                <w:color w:val="FF0000"/>
                <w:sz w:val="21"/>
                <w:szCs w:val="21"/>
              </w:rPr>
            </w:pPr>
            <w:r w:rsidRPr="009552BE">
              <w:rPr>
                <w:color w:val="FF0000"/>
                <w:sz w:val="21"/>
                <w:szCs w:val="21"/>
              </w:rPr>
              <w:t>4.41</w:t>
            </w:r>
            <w:r w:rsidR="007C53FB" w:rsidRPr="009552BE">
              <w:rPr>
                <w:rFonts w:hint="eastAsia"/>
                <w:color w:val="FF0000"/>
                <w:sz w:val="21"/>
                <w:szCs w:val="21"/>
              </w:rPr>
              <w:t>±</w:t>
            </w:r>
            <w:r w:rsidRPr="009552BE">
              <w:rPr>
                <w:rFonts w:hint="eastAsia"/>
                <w:color w:val="FF0000"/>
                <w:sz w:val="21"/>
                <w:szCs w:val="21"/>
              </w:rPr>
              <w:t>0</w:t>
            </w:r>
            <w:r w:rsidRPr="009552BE">
              <w:rPr>
                <w:color w:val="FF0000"/>
                <w:sz w:val="21"/>
                <w:szCs w:val="21"/>
              </w:rPr>
              <w:t>.30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7CB3C6BB" w14:textId="7A4C2624" w:rsidR="00997E77" w:rsidRPr="009552BE" w:rsidRDefault="00997E77" w:rsidP="00CF1790">
            <w:pPr>
              <w:adjustRightInd w:val="0"/>
              <w:snapToGrid w:val="0"/>
              <w:jc w:val="center"/>
              <w:rPr>
                <w:color w:val="FF0000"/>
                <w:sz w:val="21"/>
                <w:szCs w:val="21"/>
              </w:rPr>
            </w:pPr>
            <w:r w:rsidRPr="009552BE">
              <w:rPr>
                <w:color w:val="FF0000"/>
                <w:sz w:val="21"/>
                <w:szCs w:val="21"/>
              </w:rPr>
              <w:t>48.77</w:t>
            </w:r>
            <w:r w:rsidR="007C53FB" w:rsidRPr="009552BE">
              <w:rPr>
                <w:rFonts w:hint="eastAsia"/>
                <w:color w:val="FF0000"/>
                <w:sz w:val="21"/>
                <w:szCs w:val="21"/>
              </w:rPr>
              <w:t>±</w:t>
            </w:r>
            <w:r w:rsidR="007C53FB" w:rsidRPr="009552BE">
              <w:rPr>
                <w:rFonts w:hint="eastAsia"/>
                <w:color w:val="FF0000"/>
                <w:sz w:val="21"/>
                <w:szCs w:val="21"/>
              </w:rPr>
              <w:t>0</w:t>
            </w:r>
            <w:r w:rsidR="007C53FB" w:rsidRPr="009552BE">
              <w:rPr>
                <w:color w:val="FF0000"/>
                <w:sz w:val="21"/>
                <w:szCs w:val="21"/>
              </w:rPr>
              <w:t>.25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7752C598" w14:textId="4D853D2A" w:rsidR="00997E77" w:rsidRPr="009552BE" w:rsidRDefault="00023285" w:rsidP="00CF1790">
            <w:pPr>
              <w:adjustRightInd w:val="0"/>
              <w:snapToGrid w:val="0"/>
              <w:jc w:val="center"/>
              <w:rPr>
                <w:color w:val="FF0000"/>
                <w:sz w:val="21"/>
                <w:szCs w:val="21"/>
              </w:rPr>
            </w:pPr>
            <w:r w:rsidRPr="009552BE">
              <w:rPr>
                <w:color w:val="FF0000"/>
                <w:sz w:val="21"/>
                <w:szCs w:val="21"/>
              </w:rPr>
              <w:t>1.</w:t>
            </w:r>
            <w:r w:rsidR="009552BE" w:rsidRPr="009552BE">
              <w:rPr>
                <w:color w:val="FF0000"/>
                <w:sz w:val="21"/>
                <w:szCs w:val="21"/>
              </w:rPr>
              <w:t>48</w:t>
            </w:r>
            <w:r w:rsidR="007C53FB" w:rsidRPr="009552BE">
              <w:rPr>
                <w:rFonts w:hint="eastAsia"/>
                <w:color w:val="FF0000"/>
                <w:sz w:val="21"/>
                <w:szCs w:val="21"/>
              </w:rPr>
              <w:t>±</w:t>
            </w:r>
            <w:r w:rsidR="009552BE" w:rsidRPr="009552BE">
              <w:rPr>
                <w:rFonts w:hint="eastAsia"/>
                <w:color w:val="FF0000"/>
                <w:sz w:val="21"/>
                <w:szCs w:val="21"/>
              </w:rPr>
              <w:t>0</w:t>
            </w:r>
            <w:r w:rsidR="009552BE" w:rsidRPr="009552BE">
              <w:rPr>
                <w:color w:val="FF0000"/>
                <w:sz w:val="21"/>
                <w:szCs w:val="21"/>
              </w:rPr>
              <w:t>.00</w:t>
            </w:r>
          </w:p>
        </w:tc>
      </w:tr>
      <w:tr w:rsidR="009552BE" w:rsidRPr="009552BE" w14:paraId="4B3E4F55" w14:textId="77777777" w:rsidTr="009552BE">
        <w:trPr>
          <w:trHeight w:val="397"/>
          <w:jc w:val="center"/>
        </w:trPr>
        <w:tc>
          <w:tcPr>
            <w:tcW w:w="2835" w:type="dxa"/>
            <w:tcBorders>
              <w:bottom w:val="nil"/>
            </w:tcBorders>
            <w:vAlign w:val="center"/>
          </w:tcPr>
          <w:p w14:paraId="4CCCC734" w14:textId="7EC71302" w:rsidR="00997E77" w:rsidRPr="009552BE" w:rsidRDefault="00997E77" w:rsidP="00CF1790">
            <w:pPr>
              <w:adjustRightInd w:val="0"/>
              <w:snapToGrid w:val="0"/>
              <w:jc w:val="center"/>
              <w:rPr>
                <w:rFonts w:eastAsia="等线"/>
                <w:color w:val="FF0000"/>
                <w:sz w:val="21"/>
                <w:szCs w:val="21"/>
              </w:rPr>
            </w:pPr>
            <w:r w:rsidRPr="009552BE">
              <w:rPr>
                <w:rFonts w:eastAsia="等线"/>
                <w:color w:val="FF0000"/>
                <w:sz w:val="21"/>
                <w:szCs w:val="21"/>
              </w:rPr>
              <w:t>PN@GPB-PEG NPs at pH6.5</w:t>
            </w:r>
          </w:p>
        </w:tc>
        <w:tc>
          <w:tcPr>
            <w:tcW w:w="1275" w:type="dxa"/>
            <w:tcBorders>
              <w:bottom w:val="nil"/>
            </w:tcBorders>
            <w:vAlign w:val="center"/>
          </w:tcPr>
          <w:p w14:paraId="6702EB75" w14:textId="125D6EB1" w:rsidR="00997E77" w:rsidRPr="009552BE" w:rsidRDefault="00997E77" w:rsidP="00CF1790">
            <w:pPr>
              <w:adjustRightInd w:val="0"/>
              <w:snapToGrid w:val="0"/>
              <w:jc w:val="center"/>
              <w:rPr>
                <w:color w:val="FF0000"/>
                <w:sz w:val="21"/>
                <w:szCs w:val="21"/>
              </w:rPr>
            </w:pPr>
            <w:r w:rsidRPr="009552BE">
              <w:rPr>
                <w:color w:val="FF0000"/>
                <w:sz w:val="21"/>
                <w:szCs w:val="21"/>
              </w:rPr>
              <w:t>77.5</w:t>
            </w:r>
            <w:r w:rsidR="007C53FB" w:rsidRPr="009552BE">
              <w:rPr>
                <w:rFonts w:hint="eastAsia"/>
                <w:color w:val="FF0000"/>
                <w:sz w:val="21"/>
                <w:szCs w:val="21"/>
              </w:rPr>
              <w:t>±</w:t>
            </w:r>
            <w:r w:rsidR="007C53FB" w:rsidRPr="009552BE">
              <w:rPr>
                <w:rFonts w:hint="eastAsia"/>
                <w:color w:val="FF0000"/>
                <w:sz w:val="21"/>
                <w:szCs w:val="21"/>
              </w:rPr>
              <w:t>0</w:t>
            </w:r>
            <w:r w:rsidR="007C53FB" w:rsidRPr="009552BE">
              <w:rPr>
                <w:color w:val="FF0000"/>
                <w:sz w:val="21"/>
                <w:szCs w:val="21"/>
              </w:rPr>
              <w:t>.45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14:paraId="760FD1F9" w14:textId="3B4FBA4F" w:rsidR="00997E77" w:rsidRPr="009552BE" w:rsidRDefault="00023285" w:rsidP="00CF1790">
            <w:pPr>
              <w:adjustRightInd w:val="0"/>
              <w:snapToGrid w:val="0"/>
              <w:jc w:val="center"/>
              <w:rPr>
                <w:color w:val="FF0000"/>
                <w:sz w:val="21"/>
                <w:szCs w:val="21"/>
              </w:rPr>
            </w:pPr>
            <w:r w:rsidRPr="009552BE">
              <w:rPr>
                <w:color w:val="FF0000"/>
                <w:sz w:val="21"/>
                <w:szCs w:val="21"/>
              </w:rPr>
              <w:t>4.55</w:t>
            </w:r>
            <w:r w:rsidR="007C53FB" w:rsidRPr="009552BE">
              <w:rPr>
                <w:rFonts w:hint="eastAsia"/>
                <w:color w:val="FF0000"/>
                <w:sz w:val="21"/>
                <w:szCs w:val="21"/>
              </w:rPr>
              <w:t>±</w:t>
            </w:r>
            <w:r w:rsidRPr="009552BE">
              <w:rPr>
                <w:rFonts w:hint="eastAsia"/>
                <w:color w:val="FF0000"/>
                <w:sz w:val="21"/>
                <w:szCs w:val="21"/>
              </w:rPr>
              <w:t>0</w:t>
            </w:r>
            <w:r w:rsidRPr="009552BE">
              <w:rPr>
                <w:color w:val="FF0000"/>
                <w:sz w:val="21"/>
                <w:szCs w:val="21"/>
              </w:rPr>
              <w:t>.28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14:paraId="57F741EE" w14:textId="71651F33" w:rsidR="00997E77" w:rsidRPr="009552BE" w:rsidRDefault="00997E77" w:rsidP="00CF1790">
            <w:pPr>
              <w:adjustRightInd w:val="0"/>
              <w:snapToGrid w:val="0"/>
              <w:jc w:val="center"/>
              <w:rPr>
                <w:color w:val="FF0000"/>
                <w:sz w:val="21"/>
                <w:szCs w:val="21"/>
              </w:rPr>
            </w:pPr>
            <w:r w:rsidRPr="009552BE">
              <w:rPr>
                <w:color w:val="FF0000"/>
                <w:sz w:val="21"/>
                <w:szCs w:val="21"/>
              </w:rPr>
              <w:t>41.04</w:t>
            </w:r>
            <w:r w:rsidR="007C53FB" w:rsidRPr="009552BE">
              <w:rPr>
                <w:rFonts w:hint="eastAsia"/>
                <w:color w:val="FF0000"/>
                <w:sz w:val="21"/>
                <w:szCs w:val="21"/>
              </w:rPr>
              <w:t>±</w:t>
            </w:r>
            <w:r w:rsidR="007C53FB" w:rsidRPr="009552BE">
              <w:rPr>
                <w:rFonts w:hint="eastAsia"/>
                <w:color w:val="FF0000"/>
                <w:sz w:val="21"/>
                <w:szCs w:val="21"/>
              </w:rPr>
              <w:t>0</w:t>
            </w:r>
            <w:r w:rsidR="007C53FB" w:rsidRPr="009552BE">
              <w:rPr>
                <w:color w:val="FF0000"/>
                <w:sz w:val="21"/>
                <w:szCs w:val="21"/>
              </w:rPr>
              <w:t>.62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14:paraId="43A926B2" w14:textId="42114154" w:rsidR="00997E77" w:rsidRPr="009552BE" w:rsidRDefault="00997E77" w:rsidP="00CF1790">
            <w:pPr>
              <w:adjustRightInd w:val="0"/>
              <w:snapToGrid w:val="0"/>
              <w:jc w:val="center"/>
              <w:rPr>
                <w:color w:val="FF0000"/>
                <w:sz w:val="21"/>
                <w:szCs w:val="21"/>
              </w:rPr>
            </w:pPr>
            <w:r w:rsidRPr="009552BE">
              <w:rPr>
                <w:color w:val="FF0000"/>
                <w:sz w:val="21"/>
                <w:szCs w:val="21"/>
              </w:rPr>
              <w:t>0.9</w:t>
            </w:r>
            <w:r w:rsidR="00023285" w:rsidRPr="009552BE">
              <w:rPr>
                <w:color w:val="FF0000"/>
                <w:sz w:val="21"/>
                <w:szCs w:val="21"/>
              </w:rPr>
              <w:t>4</w:t>
            </w:r>
            <w:r w:rsidR="007C53FB" w:rsidRPr="009552BE">
              <w:rPr>
                <w:rFonts w:hint="eastAsia"/>
                <w:color w:val="FF0000"/>
                <w:sz w:val="21"/>
                <w:szCs w:val="21"/>
              </w:rPr>
              <w:t>±</w:t>
            </w:r>
            <w:r w:rsidR="009552BE" w:rsidRPr="009552BE">
              <w:rPr>
                <w:rFonts w:hint="eastAsia"/>
                <w:color w:val="FF0000"/>
                <w:sz w:val="21"/>
                <w:szCs w:val="21"/>
              </w:rPr>
              <w:t>0</w:t>
            </w:r>
            <w:r w:rsidR="009552BE" w:rsidRPr="009552BE">
              <w:rPr>
                <w:color w:val="FF0000"/>
                <w:sz w:val="21"/>
                <w:szCs w:val="21"/>
              </w:rPr>
              <w:t>.01</w:t>
            </w:r>
          </w:p>
        </w:tc>
      </w:tr>
      <w:tr w:rsidR="009552BE" w:rsidRPr="009552BE" w14:paraId="7AFCE744" w14:textId="77777777" w:rsidTr="009552BE">
        <w:trPr>
          <w:trHeight w:val="397"/>
          <w:jc w:val="center"/>
        </w:trPr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14:paraId="0B874AD5" w14:textId="493295A1" w:rsidR="00997E77" w:rsidRPr="009552BE" w:rsidRDefault="00997E77" w:rsidP="00CF1790">
            <w:pPr>
              <w:adjustRightInd w:val="0"/>
              <w:snapToGrid w:val="0"/>
              <w:jc w:val="center"/>
              <w:rPr>
                <w:color w:val="FF0000"/>
                <w:sz w:val="21"/>
                <w:szCs w:val="21"/>
              </w:rPr>
            </w:pPr>
            <w:r w:rsidRPr="009552BE">
              <w:rPr>
                <w:rFonts w:eastAsia="等线"/>
                <w:color w:val="FF0000"/>
                <w:sz w:val="21"/>
                <w:szCs w:val="21"/>
              </w:rPr>
              <w:t>PN@GPB-PEG NPs at pH7.4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  <w:vAlign w:val="center"/>
          </w:tcPr>
          <w:p w14:paraId="604E80A1" w14:textId="6FE9C430" w:rsidR="00997E77" w:rsidRPr="009552BE" w:rsidRDefault="00997E77" w:rsidP="00CF1790">
            <w:pPr>
              <w:adjustRightInd w:val="0"/>
              <w:snapToGrid w:val="0"/>
              <w:jc w:val="center"/>
              <w:rPr>
                <w:color w:val="FF0000"/>
                <w:sz w:val="21"/>
                <w:szCs w:val="21"/>
              </w:rPr>
            </w:pPr>
            <w:r w:rsidRPr="009552BE">
              <w:rPr>
                <w:color w:val="FF0000"/>
                <w:sz w:val="21"/>
                <w:szCs w:val="21"/>
              </w:rPr>
              <w:t>69.5</w:t>
            </w:r>
            <w:r w:rsidR="007C53FB" w:rsidRPr="009552BE">
              <w:rPr>
                <w:rFonts w:hint="eastAsia"/>
                <w:color w:val="FF0000"/>
                <w:sz w:val="21"/>
                <w:szCs w:val="21"/>
              </w:rPr>
              <w:t>±</w:t>
            </w:r>
            <w:r w:rsidR="007C53FB" w:rsidRPr="009552BE">
              <w:rPr>
                <w:color w:val="FF0000"/>
                <w:sz w:val="21"/>
                <w:szCs w:val="21"/>
              </w:rPr>
              <w:t>0.33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vAlign w:val="center"/>
          </w:tcPr>
          <w:p w14:paraId="3EA9839E" w14:textId="54912B1D" w:rsidR="00997E77" w:rsidRPr="009552BE" w:rsidRDefault="00023285" w:rsidP="00CF1790">
            <w:pPr>
              <w:adjustRightInd w:val="0"/>
              <w:snapToGrid w:val="0"/>
              <w:jc w:val="center"/>
              <w:rPr>
                <w:color w:val="FF0000"/>
                <w:sz w:val="21"/>
                <w:szCs w:val="21"/>
              </w:rPr>
            </w:pPr>
            <w:r w:rsidRPr="009552BE">
              <w:rPr>
                <w:color w:val="FF0000"/>
                <w:sz w:val="21"/>
                <w:szCs w:val="21"/>
              </w:rPr>
              <w:t>4.1</w:t>
            </w:r>
            <w:r w:rsidR="007C53FB" w:rsidRPr="009552BE">
              <w:rPr>
                <w:rFonts w:hint="eastAsia"/>
                <w:color w:val="FF0000"/>
                <w:sz w:val="21"/>
                <w:szCs w:val="21"/>
              </w:rPr>
              <w:t>±</w:t>
            </w:r>
            <w:r w:rsidRPr="009552BE">
              <w:rPr>
                <w:rFonts w:hint="eastAsia"/>
                <w:color w:val="FF0000"/>
                <w:sz w:val="21"/>
                <w:szCs w:val="21"/>
              </w:rPr>
              <w:t>0</w:t>
            </w:r>
            <w:r w:rsidRPr="009552BE">
              <w:rPr>
                <w:color w:val="FF0000"/>
                <w:sz w:val="21"/>
                <w:szCs w:val="21"/>
              </w:rPr>
              <w:t>.54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vAlign w:val="center"/>
          </w:tcPr>
          <w:p w14:paraId="6DFABFF9" w14:textId="1314B896" w:rsidR="00997E77" w:rsidRPr="009552BE" w:rsidRDefault="00997E77" w:rsidP="00CF1790">
            <w:pPr>
              <w:adjustRightInd w:val="0"/>
              <w:snapToGrid w:val="0"/>
              <w:jc w:val="center"/>
              <w:rPr>
                <w:color w:val="FF0000"/>
                <w:sz w:val="21"/>
                <w:szCs w:val="21"/>
              </w:rPr>
            </w:pPr>
            <w:r w:rsidRPr="009552BE">
              <w:rPr>
                <w:color w:val="FF0000"/>
                <w:sz w:val="21"/>
                <w:szCs w:val="21"/>
              </w:rPr>
              <w:t>55.6</w:t>
            </w:r>
            <w:r w:rsidR="007C53FB" w:rsidRPr="009552BE">
              <w:rPr>
                <w:rFonts w:hint="eastAsia"/>
                <w:color w:val="FF0000"/>
                <w:sz w:val="21"/>
                <w:szCs w:val="21"/>
              </w:rPr>
              <w:t>±</w:t>
            </w:r>
            <w:r w:rsidR="007C53FB" w:rsidRPr="009552BE">
              <w:rPr>
                <w:rFonts w:hint="eastAsia"/>
                <w:color w:val="FF0000"/>
                <w:sz w:val="21"/>
                <w:szCs w:val="21"/>
              </w:rPr>
              <w:t>0</w:t>
            </w:r>
            <w:r w:rsidR="007C53FB" w:rsidRPr="009552BE">
              <w:rPr>
                <w:color w:val="FF0000"/>
                <w:sz w:val="21"/>
                <w:szCs w:val="21"/>
              </w:rPr>
              <w:t>.54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vAlign w:val="center"/>
          </w:tcPr>
          <w:p w14:paraId="082B2A28" w14:textId="5A37C348" w:rsidR="00997E77" w:rsidRPr="009552BE" w:rsidRDefault="00997E77" w:rsidP="00CF1790">
            <w:pPr>
              <w:adjustRightInd w:val="0"/>
              <w:snapToGrid w:val="0"/>
              <w:jc w:val="center"/>
              <w:rPr>
                <w:color w:val="FF0000"/>
                <w:sz w:val="21"/>
                <w:szCs w:val="21"/>
              </w:rPr>
            </w:pPr>
            <w:r w:rsidRPr="009552BE">
              <w:rPr>
                <w:color w:val="FF0000"/>
                <w:sz w:val="21"/>
                <w:szCs w:val="21"/>
              </w:rPr>
              <w:t>1.</w:t>
            </w:r>
            <w:r w:rsidR="00023285" w:rsidRPr="009552BE">
              <w:rPr>
                <w:color w:val="FF0000"/>
                <w:sz w:val="21"/>
                <w:szCs w:val="21"/>
              </w:rPr>
              <w:t>2</w:t>
            </w:r>
            <w:r w:rsidRPr="009552BE">
              <w:rPr>
                <w:color w:val="FF0000"/>
                <w:sz w:val="21"/>
                <w:szCs w:val="21"/>
              </w:rPr>
              <w:t>7</w:t>
            </w:r>
            <w:r w:rsidR="007C53FB" w:rsidRPr="009552BE">
              <w:rPr>
                <w:rFonts w:hint="eastAsia"/>
                <w:color w:val="FF0000"/>
                <w:sz w:val="21"/>
                <w:szCs w:val="21"/>
              </w:rPr>
              <w:t>±</w:t>
            </w:r>
            <w:r w:rsidR="009552BE" w:rsidRPr="009552BE">
              <w:rPr>
                <w:rFonts w:hint="eastAsia"/>
                <w:color w:val="FF0000"/>
                <w:sz w:val="21"/>
                <w:szCs w:val="21"/>
              </w:rPr>
              <w:t>0</w:t>
            </w:r>
            <w:r w:rsidR="009552BE" w:rsidRPr="009552BE">
              <w:rPr>
                <w:color w:val="FF0000"/>
                <w:sz w:val="21"/>
                <w:szCs w:val="21"/>
              </w:rPr>
              <w:t>.02</w:t>
            </w:r>
          </w:p>
        </w:tc>
      </w:tr>
    </w:tbl>
    <w:p w14:paraId="3E195AB4" w14:textId="77777777" w:rsidR="00A90F5B" w:rsidRDefault="00A90F5B" w:rsidP="00A90F5B">
      <w:pPr>
        <w:adjustRightInd w:val="0"/>
        <w:snapToGrid w:val="0"/>
        <w:spacing w:beforeLines="100" w:before="312" w:line="48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4E559FA" wp14:editId="69D5E31F">
            <wp:extent cx="3514725" cy="1703070"/>
            <wp:effectExtent l="0" t="0" r="9525" b="0"/>
            <wp:docPr id="12315912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C873B" w14:textId="6285B263" w:rsidR="00CE6764" w:rsidRPr="00A90F5B" w:rsidRDefault="00CE6764" w:rsidP="00A90F5B">
      <w:pPr>
        <w:adjustRightInd w:val="0"/>
        <w:snapToGrid w:val="0"/>
        <w:jc w:val="center"/>
        <w:rPr>
          <w:b/>
          <w:bCs/>
        </w:rPr>
      </w:pPr>
      <w:r w:rsidRPr="00517077">
        <w:rPr>
          <w:rFonts w:hint="eastAsia"/>
          <w:b/>
          <w:bCs/>
        </w:rPr>
        <w:t>F</w:t>
      </w:r>
      <w:r w:rsidRPr="00517077">
        <w:rPr>
          <w:b/>
          <w:bCs/>
        </w:rPr>
        <w:t>igure S7.</w:t>
      </w:r>
      <w:r>
        <w:t xml:space="preserve"> Body weight of mice received different treatments.</w:t>
      </w:r>
    </w:p>
    <w:p w14:paraId="6BA55453" w14:textId="19113847" w:rsidR="00B813E9" w:rsidRDefault="00B813E9" w:rsidP="0097049F">
      <w:pPr>
        <w:adjustRightInd w:val="0"/>
        <w:snapToGrid w:val="0"/>
        <w:spacing w:line="480" w:lineRule="auto"/>
        <w:jc w:val="center"/>
      </w:pPr>
      <w:r>
        <w:rPr>
          <w:rFonts w:hint="eastAsia"/>
          <w:noProof/>
        </w:rPr>
        <w:drawing>
          <wp:inline distT="0" distB="0" distL="0" distR="0" wp14:anchorId="7BBC09C4" wp14:editId="59CCB80B">
            <wp:extent cx="3504789" cy="3384645"/>
            <wp:effectExtent l="0" t="0" r="635" b="6350"/>
            <wp:docPr id="842380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3800" name="图片 8423800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1" t="2696" r="12892" b="40724"/>
                    <a:stretch/>
                  </pic:blipFill>
                  <pic:spPr bwMode="auto">
                    <a:xfrm>
                      <a:off x="0" y="0"/>
                      <a:ext cx="3522402" cy="3401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81BBE" w14:textId="14C49751" w:rsidR="00044CA9" w:rsidRPr="005C5437" w:rsidRDefault="00044CA9" w:rsidP="0097049F">
      <w:pPr>
        <w:adjustRightInd w:val="0"/>
        <w:snapToGrid w:val="0"/>
        <w:spacing w:line="480" w:lineRule="auto"/>
      </w:pPr>
      <w:r w:rsidRPr="00044CA9">
        <w:rPr>
          <w:rFonts w:hint="eastAsia"/>
          <w:b/>
          <w:bCs/>
        </w:rPr>
        <w:t>F</w:t>
      </w:r>
      <w:r w:rsidRPr="00044CA9">
        <w:rPr>
          <w:b/>
          <w:bCs/>
        </w:rPr>
        <w:t>igure S8.</w:t>
      </w:r>
      <w:r>
        <w:t xml:space="preserve"> HE staining of main organs </w:t>
      </w:r>
      <w:r>
        <w:rPr>
          <w:rFonts w:hint="eastAsia"/>
        </w:rPr>
        <w:t>(</w:t>
      </w:r>
      <w:r>
        <w:t>heart, liver, spleen, lung and kidney) obtained from mice in different treatment groups.</w:t>
      </w:r>
    </w:p>
    <w:p w14:paraId="62201BCF" w14:textId="77777777" w:rsidR="00383069" w:rsidRDefault="00383069">
      <w:pPr>
        <w:adjustRightInd w:val="0"/>
        <w:snapToGrid w:val="0"/>
        <w:spacing w:line="480" w:lineRule="auto"/>
      </w:pPr>
    </w:p>
    <w:p w14:paraId="643EE4A5" w14:textId="77777777" w:rsidR="00383069" w:rsidRDefault="00383069">
      <w:pPr>
        <w:adjustRightInd w:val="0"/>
        <w:snapToGrid w:val="0"/>
        <w:spacing w:line="480" w:lineRule="auto"/>
      </w:pPr>
    </w:p>
    <w:p w14:paraId="76B51F25" w14:textId="77777777" w:rsidR="00C77E93" w:rsidRPr="00C77E93" w:rsidRDefault="00383069" w:rsidP="00C77E93">
      <w:pPr>
        <w:pStyle w:val="EndNoteBibliography"/>
      </w:pPr>
      <w:r>
        <w:lastRenderedPageBreak/>
        <w:fldChar w:fldCharType="begin"/>
      </w:r>
      <w:r>
        <w:instrText xml:space="preserve"> ADDIN EN.REFLIST </w:instrText>
      </w:r>
      <w:r>
        <w:fldChar w:fldCharType="separate"/>
      </w:r>
      <w:r w:rsidR="00C77E93" w:rsidRPr="00C77E93">
        <w:t>[1] J.Y. Zhou, K.K. Li, X.L. Zang, Y. Xie, J.X. Song, X.H. Chen, ROS-responsive Galactosylated-nanoparticles with Doxorubicin Entrapment for Triple Negative Breast Cancer Therapy, INTERNATIONAL JOURNAL OF NANOMEDICINE 18 (2023) 1381-1397.</w:t>
      </w:r>
    </w:p>
    <w:p w14:paraId="27E9DCB4" w14:textId="77777777" w:rsidR="00C77E93" w:rsidRPr="00C77E93" w:rsidRDefault="00C77E93" w:rsidP="00C77E93">
      <w:pPr>
        <w:pStyle w:val="EndNoteBibliography"/>
      </w:pPr>
      <w:r w:rsidRPr="00C77E93">
        <w:t>[2] D. Zhao, J.-Q. Xu, X.-Q. Yi, Q. Zhang, S.-X. Cheng, R.-X. Zhuo, F. Li, pH-Activated Targeting Drug Delivery System Based on the Selective Binding of Phenylboronic Acid, ACS Applied Materials &amp; Interfaces 8(23) (2016) 14845-14854.</w:t>
      </w:r>
    </w:p>
    <w:p w14:paraId="0D18F6FA" w14:textId="3F151C42" w:rsidR="00F5347B" w:rsidRPr="005C5437" w:rsidRDefault="00383069">
      <w:pPr>
        <w:adjustRightInd w:val="0"/>
        <w:snapToGrid w:val="0"/>
        <w:spacing w:line="480" w:lineRule="auto"/>
      </w:pPr>
      <w:r>
        <w:fldChar w:fldCharType="end"/>
      </w:r>
    </w:p>
    <w:sectPr w:rsidR="00F5347B" w:rsidRPr="005C54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F75768"/>
    <w:multiLevelType w:val="hybridMultilevel"/>
    <w:tmpl w:val="6DB2A1D0"/>
    <w:lvl w:ilvl="0" w:tplc="965CD9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6787748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iomaterial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exttp0r7afestevvdh5w5t0z5f92e9spxsx&quot;&gt;My EndNote Library&lt;record-ids&gt;&lt;item&gt;547&lt;/item&gt;&lt;item&gt;949&lt;/item&gt;&lt;/record-ids&gt;&lt;/item&gt;&lt;/Libraries&gt;"/>
  </w:docVars>
  <w:rsids>
    <w:rsidRoot w:val="008845D9"/>
    <w:rsid w:val="000147E5"/>
    <w:rsid w:val="00023285"/>
    <w:rsid w:val="00044CA9"/>
    <w:rsid w:val="000C63C9"/>
    <w:rsid w:val="000E4644"/>
    <w:rsid w:val="000F556D"/>
    <w:rsid w:val="000F5A98"/>
    <w:rsid w:val="001113AA"/>
    <w:rsid w:val="00117341"/>
    <w:rsid w:val="001953E0"/>
    <w:rsid w:val="00196347"/>
    <w:rsid w:val="00207DF8"/>
    <w:rsid w:val="00213ABB"/>
    <w:rsid w:val="00244E07"/>
    <w:rsid w:val="002708D6"/>
    <w:rsid w:val="00293703"/>
    <w:rsid w:val="0029406C"/>
    <w:rsid w:val="00297D85"/>
    <w:rsid w:val="00302E22"/>
    <w:rsid w:val="003071D2"/>
    <w:rsid w:val="00320DAA"/>
    <w:rsid w:val="00325950"/>
    <w:rsid w:val="00326F55"/>
    <w:rsid w:val="00355FFD"/>
    <w:rsid w:val="00372433"/>
    <w:rsid w:val="00383069"/>
    <w:rsid w:val="00390925"/>
    <w:rsid w:val="003D71B0"/>
    <w:rsid w:val="003E4617"/>
    <w:rsid w:val="003F1578"/>
    <w:rsid w:val="0043179B"/>
    <w:rsid w:val="00432EB5"/>
    <w:rsid w:val="0043306C"/>
    <w:rsid w:val="00462AD0"/>
    <w:rsid w:val="00487F08"/>
    <w:rsid w:val="004E1EBA"/>
    <w:rsid w:val="005137C0"/>
    <w:rsid w:val="00517077"/>
    <w:rsid w:val="00532182"/>
    <w:rsid w:val="00542848"/>
    <w:rsid w:val="00575924"/>
    <w:rsid w:val="00593551"/>
    <w:rsid w:val="005C5437"/>
    <w:rsid w:val="006A1E3D"/>
    <w:rsid w:val="006D12B4"/>
    <w:rsid w:val="0070232A"/>
    <w:rsid w:val="00732F16"/>
    <w:rsid w:val="00773F52"/>
    <w:rsid w:val="007C45E9"/>
    <w:rsid w:val="007C53FB"/>
    <w:rsid w:val="007D1401"/>
    <w:rsid w:val="007D4C7A"/>
    <w:rsid w:val="0080159D"/>
    <w:rsid w:val="00830625"/>
    <w:rsid w:val="0083498A"/>
    <w:rsid w:val="00834C5D"/>
    <w:rsid w:val="008845D9"/>
    <w:rsid w:val="009413AD"/>
    <w:rsid w:val="009552BE"/>
    <w:rsid w:val="0097049F"/>
    <w:rsid w:val="00981B90"/>
    <w:rsid w:val="00997E77"/>
    <w:rsid w:val="00A35E65"/>
    <w:rsid w:val="00A80900"/>
    <w:rsid w:val="00A90F5B"/>
    <w:rsid w:val="00A93E2B"/>
    <w:rsid w:val="00AE3DA8"/>
    <w:rsid w:val="00B40D01"/>
    <w:rsid w:val="00B71B40"/>
    <w:rsid w:val="00B813E9"/>
    <w:rsid w:val="00B817A1"/>
    <w:rsid w:val="00B86439"/>
    <w:rsid w:val="00B865E3"/>
    <w:rsid w:val="00BC7D2E"/>
    <w:rsid w:val="00C474FF"/>
    <w:rsid w:val="00C77E93"/>
    <w:rsid w:val="00CC696B"/>
    <w:rsid w:val="00CE6764"/>
    <w:rsid w:val="00CF1790"/>
    <w:rsid w:val="00D02C3F"/>
    <w:rsid w:val="00D30A25"/>
    <w:rsid w:val="00D429A1"/>
    <w:rsid w:val="00D71828"/>
    <w:rsid w:val="00D96947"/>
    <w:rsid w:val="00E67C90"/>
    <w:rsid w:val="00E7792D"/>
    <w:rsid w:val="00EB7FCC"/>
    <w:rsid w:val="00EC0A62"/>
    <w:rsid w:val="00EC7C8E"/>
    <w:rsid w:val="00EF6429"/>
    <w:rsid w:val="00F05A18"/>
    <w:rsid w:val="00F36820"/>
    <w:rsid w:val="00F5347B"/>
    <w:rsid w:val="00F90190"/>
    <w:rsid w:val="00FB5D30"/>
    <w:rsid w:val="00FC22BF"/>
    <w:rsid w:val="00FC543B"/>
    <w:rsid w:val="00FF2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F3A0BC6"/>
  <w15:chartTrackingRefBased/>
  <w15:docId w15:val="{BF8837F6-C32A-4694-AB7A-FA18CE779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Times New Roman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284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428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32EB5"/>
    <w:pPr>
      <w:ind w:firstLineChars="200" w:firstLine="420"/>
    </w:pPr>
  </w:style>
  <w:style w:type="paragraph" w:customStyle="1" w:styleId="EndNoteBibliographyTitle">
    <w:name w:val="EndNote Bibliography Title"/>
    <w:basedOn w:val="a"/>
    <w:link w:val="EndNoteBibliographyTitle0"/>
    <w:rsid w:val="00830625"/>
    <w:pPr>
      <w:jc w:val="center"/>
    </w:pPr>
    <w:rPr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830625"/>
    <w:rPr>
      <w:noProof/>
    </w:rPr>
  </w:style>
  <w:style w:type="character" w:styleId="a5">
    <w:name w:val="Hyperlink"/>
    <w:basedOn w:val="a0"/>
    <w:uiPriority w:val="99"/>
    <w:unhideWhenUsed/>
    <w:rsid w:val="0070232A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70232A"/>
    <w:rPr>
      <w:color w:val="605E5C"/>
      <w:shd w:val="clear" w:color="auto" w:fill="E1DFDD"/>
    </w:rPr>
  </w:style>
  <w:style w:type="paragraph" w:customStyle="1" w:styleId="EndNoteBibliography">
    <w:name w:val="EndNote Bibliography"/>
    <w:basedOn w:val="a"/>
    <w:link w:val="EndNoteBibliography0"/>
    <w:rsid w:val="00383069"/>
    <w:rPr>
      <w:noProof/>
    </w:rPr>
  </w:style>
  <w:style w:type="character" w:customStyle="1" w:styleId="EndNoteBibliography0">
    <w:name w:val="EndNote Bibliography 字符"/>
    <w:basedOn w:val="a0"/>
    <w:link w:val="EndNoteBibliography"/>
    <w:rsid w:val="00383069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74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6</Pages>
  <Words>977</Words>
  <Characters>5573</Characters>
  <Application>Microsoft Office Word</Application>
  <DocSecurity>0</DocSecurity>
  <Lines>46</Lines>
  <Paragraphs>13</Paragraphs>
  <ScaleCrop>false</ScaleCrop>
  <Company/>
  <LinksUpToDate>false</LinksUpToDate>
  <CharactersWithSpaces>6537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zang xinlong</dc:creator>
  <cp:keywords/>
  <dc:description/>
  <cp:lastModifiedBy>xinlong zang</cp:lastModifiedBy>
  <cp:revision>93</cp:revision>
  <dcterms:created xsi:type="dcterms:W3CDTF">2023-07-06T01:35:00Z</dcterms:created>
  <dcterms:modified xsi:type="dcterms:W3CDTF">2024-11-22T04:42:00Z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9720a4c4abcc93aa05559196190ae6de12b2b755d06651a70c3cd7ae118ce093</vt:lpwstr>
  </property>
</Properties>
</file>