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07A8F" w14:textId="6497C03E" w:rsidR="006C6307" w:rsidRPr="000D0E24" w:rsidRDefault="00A32B06" w:rsidP="006C6307">
      <w:pPr>
        <w:ind w:firstLineChars="100" w:firstLine="210"/>
        <w:rPr>
          <w:rFonts w:ascii="Times New Roman" w:hAnsi="Times New Roman" w:cs="Times New Roman"/>
          <w:color w:val="000000"/>
          <w:szCs w:val="21"/>
        </w:rPr>
      </w:pPr>
      <w:r w:rsidRPr="000D0E24">
        <w:rPr>
          <w:rFonts w:ascii="Times New Roman" w:hAnsi="Times New Roman" w:cs="Times New Roman"/>
          <w:color w:val="000000"/>
          <w:szCs w:val="21"/>
        </w:rPr>
        <w:t xml:space="preserve">Supplementary </w:t>
      </w:r>
      <w:r w:rsidR="006C6307" w:rsidRPr="000D0E24">
        <w:rPr>
          <w:rFonts w:ascii="Times New Roman" w:hAnsi="Times New Roman" w:cs="Times New Roman"/>
          <w:color w:val="000000"/>
          <w:szCs w:val="21"/>
        </w:rPr>
        <w:t>Table 1</w:t>
      </w:r>
      <w:r w:rsidR="006C6307" w:rsidRPr="000D0E24">
        <w:rPr>
          <w:rFonts w:ascii="Times New Roman" w:hAnsi="Times New Roman" w:cs="Times New Roman" w:hint="eastAsia"/>
          <w:color w:val="000000"/>
          <w:szCs w:val="21"/>
        </w:rPr>
        <w:t xml:space="preserve"> Comparison of baseline data and upper airway X-ray measurements</w:t>
      </w:r>
    </w:p>
    <w:p w14:paraId="401A9658" w14:textId="77777777" w:rsidR="006C6307" w:rsidRPr="000D0E24" w:rsidRDefault="006C6307" w:rsidP="006C6307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  <w:r w:rsidRPr="000D0E24">
        <w:rPr>
          <w:rFonts w:ascii="Times New Roman" w:hAnsi="Times New Roman" w:cs="Times New Roman" w:hint="eastAsia"/>
          <w:color w:val="000000"/>
          <w:szCs w:val="21"/>
        </w:rPr>
        <w:t xml:space="preserve">between </w:t>
      </w:r>
      <w:r w:rsidRPr="000D0E24">
        <w:rPr>
          <w:rFonts w:ascii="Times New Roman" w:hAnsi="Times New Roman" w:cs="Times New Roman"/>
          <w:color w:val="000000"/>
          <w:szCs w:val="21"/>
        </w:rPr>
        <w:t>Age Group 1(18–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>3</w:t>
      </w:r>
      <w:r w:rsidRPr="000D0E24">
        <w:rPr>
          <w:rFonts w:ascii="Times New Roman" w:hAnsi="Times New Roman" w:cs="Times New Roman"/>
          <w:color w:val="000000"/>
          <w:szCs w:val="21"/>
        </w:rPr>
        <w:t>9 years)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 xml:space="preserve"> and </w:t>
      </w:r>
      <w:r w:rsidRPr="000D0E24">
        <w:rPr>
          <w:rFonts w:ascii="Times New Roman" w:hAnsi="Times New Roman" w:cs="Times New Roman"/>
          <w:color w:val="000000"/>
          <w:szCs w:val="21"/>
        </w:rPr>
        <w:t>Age Group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 xml:space="preserve"> 2 </w:t>
      </w:r>
      <w:r w:rsidRPr="000D0E24">
        <w:rPr>
          <w:rFonts w:ascii="Times New Roman" w:hAnsi="Times New Roman" w:cs="Times New Roman"/>
          <w:color w:val="000000"/>
          <w:szCs w:val="21"/>
        </w:rPr>
        <w:t>(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>40</w:t>
      </w:r>
      <w:r w:rsidRPr="000D0E24">
        <w:rPr>
          <w:rFonts w:ascii="Times New Roman" w:hAnsi="Times New Roman" w:cs="Times New Roman"/>
          <w:color w:val="000000"/>
          <w:szCs w:val="21"/>
        </w:rPr>
        <w:t>–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>80</w:t>
      </w:r>
      <w:r w:rsidRPr="000D0E24">
        <w:rPr>
          <w:rFonts w:ascii="Times New Roman" w:hAnsi="Times New Roman" w:cs="Times New Roman"/>
          <w:color w:val="000000"/>
          <w:szCs w:val="21"/>
        </w:rPr>
        <w:t xml:space="preserve"> years)</w:t>
      </w:r>
    </w:p>
    <w:tbl>
      <w:tblPr>
        <w:tblStyle w:val="a"/>
        <w:tblW w:w="9194" w:type="dxa"/>
        <w:tblLayout w:type="fixed"/>
        <w:tblLook w:val="04A0" w:firstRow="1" w:lastRow="0" w:firstColumn="1" w:lastColumn="0" w:noHBand="0" w:noVBand="1"/>
      </w:tblPr>
      <w:tblGrid>
        <w:gridCol w:w="2329"/>
        <w:gridCol w:w="2252"/>
        <w:gridCol w:w="335"/>
        <w:gridCol w:w="1566"/>
        <w:gridCol w:w="2712"/>
      </w:tblGrid>
      <w:tr w:rsidR="006C6307" w:rsidRPr="000D0E24" w14:paraId="7C5B45A0" w14:textId="77777777" w:rsidTr="003D1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</w:tcPr>
          <w:p w14:paraId="5706720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Baseline data</w:t>
            </w:r>
          </w:p>
        </w:tc>
        <w:tc>
          <w:tcPr>
            <w:tcW w:w="225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</w:tcPr>
          <w:p w14:paraId="2D50678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Age Group 1</w:t>
            </w:r>
          </w:p>
          <w:p w14:paraId="009FA33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(18–</w:t>
            </w:r>
            <w:r w:rsidRPr="000D0E24">
              <w:rPr>
                <w:rFonts w:hint="eastAsia"/>
                <w:color w:val="000000"/>
                <w:szCs w:val="21"/>
              </w:rPr>
              <w:t>3</w:t>
            </w:r>
            <w:r w:rsidRPr="000D0E24">
              <w:rPr>
                <w:color w:val="000000"/>
                <w:szCs w:val="21"/>
              </w:rPr>
              <w:t>9 years)</w:t>
            </w:r>
          </w:p>
          <w:p w14:paraId="07456FA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（n=</w:t>
            </w:r>
            <w:r w:rsidRPr="000D0E24">
              <w:rPr>
                <w:rFonts w:hint="eastAsia"/>
                <w:color w:val="000000"/>
                <w:szCs w:val="21"/>
              </w:rPr>
              <w:t>183</w:t>
            </w:r>
            <w:r w:rsidRPr="000D0E24">
              <w:rPr>
                <w:color w:val="000000"/>
                <w:szCs w:val="21"/>
              </w:rPr>
              <w:t>）</w:t>
            </w:r>
          </w:p>
        </w:tc>
        <w:tc>
          <w:tcPr>
            <w:tcW w:w="1901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</w:tcPr>
          <w:p w14:paraId="0DD8A75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Age Group</w:t>
            </w:r>
            <w:r w:rsidRPr="000D0E24">
              <w:rPr>
                <w:rFonts w:hint="eastAsia"/>
                <w:color w:val="000000"/>
                <w:szCs w:val="21"/>
              </w:rPr>
              <w:t xml:space="preserve"> 2</w:t>
            </w:r>
          </w:p>
          <w:p w14:paraId="4B97B15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(</w:t>
            </w:r>
            <w:r w:rsidRPr="000D0E24">
              <w:rPr>
                <w:rFonts w:hint="eastAsia"/>
                <w:color w:val="000000"/>
                <w:szCs w:val="21"/>
              </w:rPr>
              <w:t>40</w:t>
            </w:r>
            <w:r w:rsidRPr="000D0E24">
              <w:rPr>
                <w:color w:val="000000"/>
                <w:szCs w:val="21"/>
              </w:rPr>
              <w:t>–</w:t>
            </w:r>
            <w:r w:rsidRPr="000D0E24">
              <w:rPr>
                <w:rFonts w:hint="eastAsia"/>
                <w:color w:val="000000"/>
                <w:szCs w:val="21"/>
              </w:rPr>
              <w:t>80</w:t>
            </w:r>
            <w:r w:rsidRPr="000D0E24">
              <w:rPr>
                <w:color w:val="000000"/>
                <w:szCs w:val="21"/>
              </w:rPr>
              <w:t xml:space="preserve"> years)</w:t>
            </w:r>
          </w:p>
          <w:p w14:paraId="157C4AA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（n=</w:t>
            </w:r>
            <w:r w:rsidRPr="000D0E24">
              <w:rPr>
                <w:rFonts w:hint="eastAsia"/>
                <w:color w:val="000000"/>
                <w:szCs w:val="21"/>
              </w:rPr>
              <w:t>162</w:t>
            </w:r>
            <w:r w:rsidRPr="000D0E24">
              <w:rPr>
                <w:color w:val="000000"/>
                <w:szCs w:val="21"/>
              </w:rPr>
              <w:t>）</w:t>
            </w:r>
          </w:p>
        </w:tc>
        <w:tc>
          <w:tcPr>
            <w:tcW w:w="271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</w:tcPr>
          <w:p w14:paraId="5C491FF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p</w:t>
            </w:r>
          </w:p>
        </w:tc>
      </w:tr>
      <w:tr w:rsidR="006C6307" w:rsidRPr="000D0E24" w14:paraId="7C9B6749" w14:textId="77777777" w:rsidTr="003D1937">
        <w:tc>
          <w:tcPr>
            <w:tcW w:w="2329" w:type="dxa"/>
            <w:tcBorders>
              <w:top w:val="nil"/>
              <w:bottom w:val="nil"/>
            </w:tcBorders>
            <w:shd w:val="clear" w:color="auto" w:fill="FFFFFF"/>
          </w:tcPr>
          <w:p w14:paraId="548B0C9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Sex</w:t>
            </w:r>
          </w:p>
        </w:tc>
        <w:tc>
          <w:tcPr>
            <w:tcW w:w="2252" w:type="dxa"/>
            <w:tcBorders>
              <w:top w:val="nil"/>
              <w:bottom w:val="nil"/>
            </w:tcBorders>
            <w:shd w:val="clear" w:color="auto" w:fill="FFFFFF"/>
          </w:tcPr>
          <w:p w14:paraId="756F44F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48B67DF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  <w:shd w:val="clear" w:color="auto" w:fill="FFFFFF"/>
          </w:tcPr>
          <w:p w14:paraId="1C0B67D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7DB06B0B" w14:textId="77777777" w:rsidTr="003D1937">
        <w:tc>
          <w:tcPr>
            <w:tcW w:w="2329" w:type="dxa"/>
            <w:tcBorders>
              <w:top w:val="nil"/>
              <w:bottom w:val="nil"/>
            </w:tcBorders>
            <w:shd w:val="clear" w:color="auto" w:fill="FFFFFF"/>
          </w:tcPr>
          <w:p w14:paraId="70D666F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Male</w:t>
            </w:r>
          </w:p>
        </w:tc>
        <w:tc>
          <w:tcPr>
            <w:tcW w:w="258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C38C68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160</w:t>
            </w:r>
            <w:r w:rsidRPr="000D0E24">
              <w:rPr>
                <w:color w:val="000000"/>
                <w:szCs w:val="21"/>
              </w:rPr>
              <w:t>（</w:t>
            </w:r>
            <w:r w:rsidRPr="000D0E24">
              <w:rPr>
                <w:rFonts w:hint="eastAsia"/>
                <w:color w:val="000000"/>
                <w:szCs w:val="21"/>
              </w:rPr>
              <w:t>87.43</w:t>
            </w:r>
            <w:r w:rsidRPr="000D0E24">
              <w:rPr>
                <w:color w:val="000000"/>
                <w:szCs w:val="21"/>
              </w:rPr>
              <w:t>%）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FFFFFF"/>
          </w:tcPr>
          <w:p w14:paraId="592611A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131</w:t>
            </w:r>
            <w:r w:rsidRPr="000D0E24">
              <w:rPr>
                <w:color w:val="000000"/>
                <w:szCs w:val="21"/>
              </w:rPr>
              <w:t>（</w:t>
            </w:r>
            <w:r w:rsidRPr="000D0E24">
              <w:rPr>
                <w:rFonts w:hint="eastAsia"/>
                <w:color w:val="000000"/>
                <w:szCs w:val="21"/>
              </w:rPr>
              <w:t>80.86</w:t>
            </w:r>
            <w:r w:rsidRPr="000D0E24">
              <w:rPr>
                <w:color w:val="000000"/>
                <w:szCs w:val="21"/>
              </w:rPr>
              <w:t>%）</w:t>
            </w:r>
          </w:p>
        </w:tc>
        <w:tc>
          <w:tcPr>
            <w:tcW w:w="2712" w:type="dxa"/>
            <w:tcBorders>
              <w:top w:val="nil"/>
              <w:bottom w:val="nil"/>
            </w:tcBorders>
            <w:shd w:val="clear" w:color="auto" w:fill="FFFFFF"/>
          </w:tcPr>
          <w:p w14:paraId="2480D677" w14:textId="77777777" w:rsidR="006C6307" w:rsidRPr="000D0E24" w:rsidRDefault="006C6307" w:rsidP="003D1937">
            <w:pPr>
              <w:spacing w:line="480" w:lineRule="auto"/>
              <w:jc w:val="left"/>
              <w:rPr>
                <w:color w:val="000000"/>
                <w:szCs w:val="21"/>
              </w:rPr>
            </w:pPr>
          </w:p>
        </w:tc>
      </w:tr>
      <w:tr w:rsidR="006C6307" w:rsidRPr="000D0E24" w14:paraId="4CCFD24A" w14:textId="77777777" w:rsidTr="003D1937">
        <w:tc>
          <w:tcPr>
            <w:tcW w:w="2329" w:type="dxa"/>
            <w:tcBorders>
              <w:top w:val="nil"/>
            </w:tcBorders>
            <w:shd w:val="clear" w:color="auto" w:fill="FFFFFF"/>
          </w:tcPr>
          <w:p w14:paraId="740780B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Female</w:t>
            </w:r>
          </w:p>
        </w:tc>
        <w:tc>
          <w:tcPr>
            <w:tcW w:w="2587" w:type="dxa"/>
            <w:gridSpan w:val="2"/>
            <w:tcBorders>
              <w:top w:val="nil"/>
            </w:tcBorders>
            <w:shd w:val="clear" w:color="auto" w:fill="FFFFFF"/>
          </w:tcPr>
          <w:p w14:paraId="5EE14F0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23</w:t>
            </w:r>
            <w:r w:rsidRPr="000D0E24">
              <w:rPr>
                <w:color w:val="000000"/>
                <w:szCs w:val="21"/>
              </w:rPr>
              <w:t>（</w:t>
            </w:r>
            <w:r w:rsidRPr="000D0E24">
              <w:rPr>
                <w:rFonts w:hint="eastAsia"/>
                <w:color w:val="000000"/>
                <w:szCs w:val="21"/>
              </w:rPr>
              <w:t>12.57</w:t>
            </w:r>
            <w:r w:rsidRPr="000D0E24">
              <w:rPr>
                <w:color w:val="000000"/>
                <w:szCs w:val="21"/>
              </w:rPr>
              <w:t>%）</w:t>
            </w:r>
          </w:p>
        </w:tc>
        <w:tc>
          <w:tcPr>
            <w:tcW w:w="1566" w:type="dxa"/>
            <w:tcBorders>
              <w:top w:val="nil"/>
            </w:tcBorders>
            <w:shd w:val="clear" w:color="auto" w:fill="FFFFFF"/>
          </w:tcPr>
          <w:p w14:paraId="04A1D76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31</w:t>
            </w:r>
            <w:r w:rsidRPr="000D0E24">
              <w:rPr>
                <w:color w:val="000000"/>
                <w:szCs w:val="21"/>
              </w:rPr>
              <w:t>（</w:t>
            </w:r>
            <w:r w:rsidRPr="000D0E24">
              <w:rPr>
                <w:rFonts w:hint="eastAsia"/>
                <w:color w:val="000000"/>
                <w:szCs w:val="21"/>
              </w:rPr>
              <w:t>19.14</w:t>
            </w:r>
            <w:r w:rsidRPr="000D0E24">
              <w:rPr>
                <w:color w:val="000000"/>
                <w:szCs w:val="21"/>
              </w:rPr>
              <w:t>%）</w:t>
            </w:r>
          </w:p>
        </w:tc>
        <w:tc>
          <w:tcPr>
            <w:tcW w:w="2712" w:type="dxa"/>
            <w:tcBorders>
              <w:top w:val="nil"/>
            </w:tcBorders>
            <w:shd w:val="clear" w:color="auto" w:fill="FFFFFF"/>
          </w:tcPr>
          <w:p w14:paraId="4FD22B3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6C6307" w:rsidRPr="000D0E24" w14:paraId="433A4CC6" w14:textId="77777777" w:rsidTr="003D1937">
        <w:tc>
          <w:tcPr>
            <w:tcW w:w="2329" w:type="dxa"/>
            <w:shd w:val="clear" w:color="auto" w:fill="FFFFFF"/>
          </w:tcPr>
          <w:p w14:paraId="5BC3326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BMI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14:paraId="6A718B3B" w14:textId="77777777" w:rsidR="006C6307" w:rsidRPr="000D0E24" w:rsidRDefault="006C6307" w:rsidP="003D1937">
            <w:pPr>
              <w:widowControl/>
              <w:ind w:firstLineChars="300" w:firstLine="600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25.89±4.36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0F75344" w14:textId="77777777" w:rsidR="006C6307" w:rsidRPr="000D0E24" w:rsidRDefault="006C6307" w:rsidP="003D1937">
            <w:pPr>
              <w:widowControl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26.12±2.91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4B4222B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0.565</w:t>
            </w:r>
          </w:p>
        </w:tc>
      </w:tr>
      <w:tr w:rsidR="006C6307" w:rsidRPr="000D0E24" w14:paraId="1CB5303D" w14:textId="77777777" w:rsidTr="003D1937">
        <w:tc>
          <w:tcPr>
            <w:tcW w:w="2329" w:type="dxa"/>
            <w:shd w:val="clear" w:color="auto" w:fill="FFFFFF"/>
          </w:tcPr>
          <w:p w14:paraId="2EA02BA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Epworth Sleepiness Scale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1B7C32B" w14:textId="77777777" w:rsidR="006C6307" w:rsidRPr="000D0E24" w:rsidRDefault="006C6307" w:rsidP="003D1937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 w:rsidRPr="000D0E24">
              <w:rPr>
                <w:rFonts w:hint="eastAsia"/>
                <w:color w:val="000000"/>
                <w:szCs w:val="21"/>
              </w:rPr>
              <w:t>9.23±4.9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11C71B1F" w14:textId="77777777" w:rsidR="006C6307" w:rsidRPr="000D0E24" w:rsidRDefault="006C6307" w:rsidP="003D1937">
            <w:pPr>
              <w:widowControl/>
              <w:ind w:firstLineChars="200" w:firstLine="400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8.15±5.53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E68273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560</w:t>
            </w:r>
          </w:p>
        </w:tc>
      </w:tr>
      <w:tr w:rsidR="006C6307" w:rsidRPr="000D0E24" w14:paraId="162EA284" w14:textId="77777777" w:rsidTr="003D1937">
        <w:tc>
          <w:tcPr>
            <w:tcW w:w="2329" w:type="dxa"/>
            <w:shd w:val="clear" w:color="auto" w:fill="FFFFFF"/>
          </w:tcPr>
          <w:p w14:paraId="6E08640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AHI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2F278DF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29.99±26.84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3B13E77E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33.03±23.25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05A4968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0.260</w:t>
            </w:r>
          </w:p>
        </w:tc>
      </w:tr>
      <w:tr w:rsidR="006C6307" w:rsidRPr="000D0E24" w14:paraId="4D6A7C5E" w14:textId="77777777" w:rsidTr="003D1937">
        <w:tc>
          <w:tcPr>
            <w:tcW w:w="2329" w:type="dxa"/>
            <w:shd w:val="clear" w:color="auto" w:fill="FFFFFF"/>
          </w:tcPr>
          <w:p w14:paraId="161D58A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CT90%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EDEC911" w14:textId="77777777" w:rsidR="006C6307" w:rsidRPr="000D0E24" w:rsidRDefault="006C6307" w:rsidP="003D1937">
            <w:pPr>
              <w:widowControl/>
              <w:ind w:firstLineChars="300" w:firstLine="600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0.10±0.18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43D49F8A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0.11±0.14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4EF94F7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0.701</w:t>
            </w:r>
          </w:p>
        </w:tc>
      </w:tr>
      <w:tr w:rsidR="006C6307" w:rsidRPr="000D0E24" w14:paraId="274FB3D5" w14:textId="77777777" w:rsidTr="003D1937">
        <w:tc>
          <w:tcPr>
            <w:tcW w:w="2329" w:type="dxa"/>
            <w:shd w:val="clear" w:color="auto" w:fill="FFFFFF"/>
          </w:tcPr>
          <w:p w14:paraId="093210D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LSaO2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0BC06A1" w14:textId="77777777" w:rsidR="006C6307" w:rsidRPr="000D0E24" w:rsidRDefault="006C6307" w:rsidP="003D1937">
            <w:pPr>
              <w:widowControl/>
              <w:ind w:firstLineChars="300" w:firstLine="600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0.77±0.14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28572D20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0.50±0.08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336AE7E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0.121</w:t>
            </w:r>
          </w:p>
        </w:tc>
      </w:tr>
      <w:tr w:rsidR="006C6307" w:rsidRPr="000D0E24" w14:paraId="7073A35F" w14:textId="77777777" w:rsidTr="003D1937">
        <w:tc>
          <w:tcPr>
            <w:tcW w:w="2329" w:type="dxa"/>
            <w:shd w:val="clear" w:color="auto" w:fill="FFFFFF"/>
          </w:tcPr>
          <w:p w14:paraId="37B2B23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MPS(N)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5D6BDEE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89.75±9.51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0E52B4C9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87.4±10.58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5EE425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0.03</w:t>
            </w:r>
          </w:p>
        </w:tc>
      </w:tr>
      <w:tr w:rsidR="006C6307" w:rsidRPr="000D0E24" w14:paraId="5A737354" w14:textId="77777777" w:rsidTr="003D1937">
        <w:tc>
          <w:tcPr>
            <w:tcW w:w="2329" w:type="dxa"/>
            <w:shd w:val="clear" w:color="auto" w:fill="FFFFFF"/>
          </w:tcPr>
          <w:p w14:paraId="1F4F745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POD(N)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462E043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41.65±5.99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6E63B18D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40.58±5.42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019F61B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0.084</w:t>
            </w:r>
          </w:p>
        </w:tc>
      </w:tr>
      <w:tr w:rsidR="006C6307" w:rsidRPr="000D0E24" w14:paraId="1DF8F8B7" w14:textId="77777777" w:rsidTr="003D1937">
        <w:tc>
          <w:tcPr>
            <w:tcW w:w="2329" w:type="dxa"/>
            <w:shd w:val="clear" w:color="auto" w:fill="FFFFFF"/>
          </w:tcPr>
          <w:p w14:paraId="1A1C47E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MPH(N)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49FFBE9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24.49±8.53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7340685F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25.5±8.13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08F0EE7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0.263</w:t>
            </w:r>
          </w:p>
        </w:tc>
      </w:tr>
      <w:tr w:rsidR="006C6307" w:rsidRPr="000D0E24" w14:paraId="5A442FF2" w14:textId="77777777" w:rsidTr="003D1937">
        <w:tc>
          <w:tcPr>
            <w:tcW w:w="2329" w:type="dxa"/>
            <w:shd w:val="clear" w:color="auto" w:fill="FFFFFF"/>
          </w:tcPr>
          <w:p w14:paraId="736A41C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SP(N)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4E6A12B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48.43±7.07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565D8CFD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49.97±6.87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5DF6A5D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0.041</w:t>
            </w:r>
          </w:p>
        </w:tc>
      </w:tr>
      <w:tr w:rsidR="006C6307" w:rsidRPr="000D0E24" w14:paraId="2B056E83" w14:textId="77777777" w:rsidTr="003D1937">
        <w:tc>
          <w:tcPr>
            <w:tcW w:w="2329" w:type="dxa"/>
            <w:shd w:val="clear" w:color="auto" w:fill="FFFFFF"/>
          </w:tcPr>
          <w:p w14:paraId="04F03BC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0F31BAC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88.43±11.67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01D71F57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89.15±10.54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34DA052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0.555</w:t>
            </w:r>
          </w:p>
        </w:tc>
      </w:tr>
      <w:tr w:rsidR="006C6307" w:rsidRPr="000D0E24" w14:paraId="607C6B15" w14:textId="77777777" w:rsidTr="003D1937">
        <w:tc>
          <w:tcPr>
            <w:tcW w:w="2329" w:type="dxa"/>
            <w:shd w:val="clear" w:color="auto" w:fill="FFFFFF"/>
          </w:tcPr>
          <w:p w14:paraId="0A6D55E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TT(N)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1F866A1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74.02±6.72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02A1045F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73.06±6.02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631685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0.166</w:t>
            </w:r>
          </w:p>
        </w:tc>
      </w:tr>
      <w:tr w:rsidR="006C6307" w:rsidRPr="000D0E24" w14:paraId="428B0290" w14:textId="77777777" w:rsidTr="003D1937">
        <w:tc>
          <w:tcPr>
            <w:tcW w:w="2329" w:type="dxa"/>
            <w:shd w:val="clear" w:color="auto" w:fill="FFFFFF"/>
          </w:tcPr>
          <w:p w14:paraId="2024EC4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TL(N)/TT(N)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43885B7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1.2±0.16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6129ECF9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1.23±0.16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2074F94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0.131</w:t>
            </w:r>
          </w:p>
        </w:tc>
      </w:tr>
      <w:tr w:rsidR="006C6307" w:rsidRPr="000D0E24" w14:paraId="2B592CBF" w14:textId="77777777" w:rsidTr="003D1937">
        <w:tc>
          <w:tcPr>
            <w:tcW w:w="2329" w:type="dxa"/>
            <w:shd w:val="clear" w:color="auto" w:fill="FFFFFF"/>
          </w:tcPr>
          <w:p w14:paraId="69EE20E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TDS(N)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6F705E6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14.74±5.21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44E1BF1A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13.63±4.44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236D18B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0.035</w:t>
            </w:r>
          </w:p>
        </w:tc>
      </w:tr>
      <w:tr w:rsidR="006C6307" w:rsidRPr="000D0E24" w14:paraId="3EE39D9B" w14:textId="77777777" w:rsidTr="003D1937">
        <w:tc>
          <w:tcPr>
            <w:tcW w:w="2329" w:type="dxa"/>
            <w:shd w:val="clear" w:color="auto" w:fill="FFFFFF"/>
          </w:tcPr>
          <w:p w14:paraId="17166B3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PAS(N)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521AD51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9.64±4.62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6A6CFC10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9.91±3.81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20EDA8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0.555</w:t>
            </w:r>
          </w:p>
        </w:tc>
      </w:tr>
      <w:tr w:rsidR="006C6307" w:rsidRPr="000D0E24" w14:paraId="6A41D1A8" w14:textId="77777777" w:rsidTr="003D1937">
        <w:tc>
          <w:tcPr>
            <w:tcW w:w="2329" w:type="dxa"/>
            <w:shd w:val="clear" w:color="auto" w:fill="FFFFFF"/>
          </w:tcPr>
          <w:p w14:paraId="3D220E5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MPS(M)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5E8BE61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100.15±10.62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3806975C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96.79±12.54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FE9753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0.007</w:t>
            </w:r>
          </w:p>
        </w:tc>
      </w:tr>
      <w:tr w:rsidR="006C6307" w:rsidRPr="000D0E24" w14:paraId="26D7D19F" w14:textId="77777777" w:rsidTr="003D1937">
        <w:tc>
          <w:tcPr>
            <w:tcW w:w="2329" w:type="dxa"/>
            <w:shd w:val="clear" w:color="auto" w:fill="FFFFFF"/>
          </w:tcPr>
          <w:p w14:paraId="7A1519C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POD(M)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168B023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44.24±6.9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6DE1F6A3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42.61±5.98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0BFBD8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0.02</w:t>
            </w:r>
          </w:p>
        </w:tc>
      </w:tr>
      <w:tr w:rsidR="006C6307" w:rsidRPr="000D0E24" w14:paraId="35397EEF" w14:textId="77777777" w:rsidTr="003D1937">
        <w:tc>
          <w:tcPr>
            <w:tcW w:w="2329" w:type="dxa"/>
            <w:shd w:val="clear" w:color="auto" w:fill="FFFFFF"/>
          </w:tcPr>
          <w:p w14:paraId="40917CD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MPH(M)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286FAAF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18.8±7.87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5EFE6B31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20.58±8.45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6163301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0.044</w:t>
            </w:r>
          </w:p>
        </w:tc>
      </w:tr>
      <w:tr w:rsidR="006C6307" w:rsidRPr="000D0E24" w14:paraId="6F470900" w14:textId="77777777" w:rsidTr="003D1937">
        <w:tc>
          <w:tcPr>
            <w:tcW w:w="2329" w:type="dxa"/>
            <w:shd w:val="clear" w:color="auto" w:fill="FFFFFF"/>
          </w:tcPr>
          <w:p w14:paraId="79C76BB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SP(M)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727C43F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47.98±8.06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24483792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50.46±6.75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0188919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0.002</w:t>
            </w:r>
          </w:p>
        </w:tc>
      </w:tr>
      <w:tr w:rsidR="006C6307" w:rsidRPr="000D0E24" w14:paraId="7BD1DFE3" w14:textId="77777777" w:rsidTr="003D1937">
        <w:tc>
          <w:tcPr>
            <w:tcW w:w="2329" w:type="dxa"/>
            <w:shd w:val="clear" w:color="auto" w:fill="FFFFFF"/>
          </w:tcPr>
          <w:p w14:paraId="1331447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641BFA7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78.31±10.94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2064AFC1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79.38±10.8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51B730A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0.336</w:t>
            </w:r>
          </w:p>
        </w:tc>
      </w:tr>
      <w:tr w:rsidR="006C6307" w:rsidRPr="000D0E24" w14:paraId="1F7B34EC" w14:textId="77777777" w:rsidTr="003D1937">
        <w:tc>
          <w:tcPr>
            <w:tcW w:w="2329" w:type="dxa"/>
            <w:shd w:val="clear" w:color="auto" w:fill="FFFFFF"/>
          </w:tcPr>
          <w:p w14:paraId="3D86FF4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TT(M)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7EFC0B5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83.56±8.92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264C5D41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82.89±7.06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5AA24D4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0.443</w:t>
            </w:r>
          </w:p>
        </w:tc>
      </w:tr>
      <w:tr w:rsidR="006C6307" w:rsidRPr="000D0E24" w14:paraId="6B908C2E" w14:textId="77777777" w:rsidTr="003D1937">
        <w:tc>
          <w:tcPr>
            <w:tcW w:w="2329" w:type="dxa"/>
            <w:shd w:val="clear" w:color="auto" w:fill="FFFFFF"/>
          </w:tcPr>
          <w:p w14:paraId="54AA07F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TL(M)/TT(M)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19FF89F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0.96±0.36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7B5C5AEF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0.96±0.14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2119885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0.906</w:t>
            </w:r>
          </w:p>
        </w:tc>
      </w:tr>
      <w:tr w:rsidR="006C6307" w:rsidRPr="000D0E24" w14:paraId="028FF51E" w14:textId="77777777" w:rsidTr="003D1937">
        <w:tc>
          <w:tcPr>
            <w:tcW w:w="2329" w:type="dxa"/>
            <w:shd w:val="clear" w:color="auto" w:fill="FFFFFF"/>
          </w:tcPr>
          <w:p w14:paraId="235EB65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lastRenderedPageBreak/>
              <w:t>TDS(M)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0386551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16.71±4.91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537A33C2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16.3±5.29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220775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0.458</w:t>
            </w:r>
          </w:p>
        </w:tc>
      </w:tr>
      <w:tr w:rsidR="006C6307" w:rsidRPr="000D0E24" w14:paraId="78969FED" w14:textId="77777777" w:rsidTr="003D1937">
        <w:tc>
          <w:tcPr>
            <w:tcW w:w="2329" w:type="dxa"/>
            <w:shd w:val="clear" w:color="auto" w:fill="FFFFFF"/>
          </w:tcPr>
          <w:p w14:paraId="67BB3A9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PAS(M)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14C2AF2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10.64±3.47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0BC58FC2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10.35±3.52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3528C83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0.443</w:t>
            </w:r>
          </w:p>
        </w:tc>
      </w:tr>
      <w:tr w:rsidR="006C6307" w:rsidRPr="000D0E24" w14:paraId="11ACC7CA" w14:textId="77777777" w:rsidTr="003D1937">
        <w:tc>
          <w:tcPr>
            <w:tcW w:w="2329" w:type="dxa"/>
            <w:shd w:val="clear" w:color="auto" w:fill="FFFFFF"/>
          </w:tcPr>
          <w:p w14:paraId="45824A2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MPS(M-N)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326361C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10.39±5.96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29ABF90C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9.39±10.81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457E19B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 xml:space="preserve">0.280 </w:t>
            </w:r>
          </w:p>
        </w:tc>
      </w:tr>
      <w:tr w:rsidR="006C6307" w:rsidRPr="000D0E24" w14:paraId="131D1D24" w14:textId="77777777" w:rsidTr="003D1937">
        <w:tc>
          <w:tcPr>
            <w:tcW w:w="2329" w:type="dxa"/>
            <w:shd w:val="clear" w:color="auto" w:fill="FFFFFF"/>
          </w:tcPr>
          <w:p w14:paraId="2C79491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POD(M-N)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43F6578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2.59±4.32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5C8934F4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2.03±3.44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6C15D1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0.188</w:t>
            </w:r>
          </w:p>
        </w:tc>
      </w:tr>
      <w:tr w:rsidR="006C6307" w:rsidRPr="000D0E24" w14:paraId="7F2D005F" w14:textId="77777777" w:rsidTr="003D1937">
        <w:tc>
          <w:tcPr>
            <w:tcW w:w="2329" w:type="dxa"/>
            <w:shd w:val="clear" w:color="auto" w:fill="FFFFFF"/>
          </w:tcPr>
          <w:p w14:paraId="5EF3A32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MPH(M-N)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43C5F38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-5.69±5.99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1C1CEB13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-4.91±7.05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1C72E7A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0.273</w:t>
            </w:r>
          </w:p>
        </w:tc>
      </w:tr>
      <w:tr w:rsidR="006C6307" w:rsidRPr="000D0E24" w14:paraId="4F350717" w14:textId="77777777" w:rsidTr="003D1937">
        <w:trPr>
          <w:trHeight w:val="90"/>
        </w:trPr>
        <w:tc>
          <w:tcPr>
            <w:tcW w:w="2329" w:type="dxa"/>
            <w:shd w:val="clear" w:color="auto" w:fill="FFFFFF"/>
          </w:tcPr>
          <w:p w14:paraId="7C744A7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SP(M-N)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145AF26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-0.44±5.85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00134F64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0.49±5.17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7FD9523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0.122</w:t>
            </w:r>
          </w:p>
        </w:tc>
      </w:tr>
      <w:tr w:rsidR="006C6307" w:rsidRPr="000D0E24" w14:paraId="416E00A0" w14:textId="77777777" w:rsidTr="003D1937">
        <w:tc>
          <w:tcPr>
            <w:tcW w:w="2329" w:type="dxa"/>
            <w:shd w:val="clear" w:color="auto" w:fill="FFFFFF"/>
          </w:tcPr>
          <w:p w14:paraId="405DDA7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TL(M-N)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6B93E52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-10.12±7.6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23CAA053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-9.77±8.11</w:t>
            </w:r>
          </w:p>
        </w:tc>
        <w:tc>
          <w:tcPr>
            <w:tcW w:w="2712" w:type="dxa"/>
            <w:shd w:val="clear" w:color="auto" w:fill="FFFFFF"/>
            <w:vAlign w:val="center"/>
          </w:tcPr>
          <w:p w14:paraId="2F75489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0.68</w:t>
            </w:r>
          </w:p>
        </w:tc>
      </w:tr>
      <w:tr w:rsidR="006C6307" w:rsidRPr="000D0E24" w14:paraId="3F37FD2A" w14:textId="77777777" w:rsidTr="003D1937">
        <w:tc>
          <w:tcPr>
            <w:tcW w:w="2329" w:type="dxa"/>
            <w:tcBorders>
              <w:bottom w:val="single" w:sz="12" w:space="0" w:color="000000"/>
            </w:tcBorders>
            <w:shd w:val="clear" w:color="auto" w:fill="FFFFFF"/>
          </w:tcPr>
          <w:p w14:paraId="341AD01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TT(M-N)</w:t>
            </w:r>
          </w:p>
        </w:tc>
        <w:tc>
          <w:tcPr>
            <w:tcW w:w="225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3AD032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9.54±6.94</w:t>
            </w:r>
          </w:p>
        </w:tc>
        <w:tc>
          <w:tcPr>
            <w:tcW w:w="1901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F5DD27F" w14:textId="77777777" w:rsidR="006C6307" w:rsidRPr="000D0E24" w:rsidRDefault="006C6307" w:rsidP="003D1937">
            <w:pPr>
              <w:widowControl/>
              <w:ind w:firstLineChars="200" w:firstLine="400"/>
              <w:jc w:val="center"/>
              <w:textAlignment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9.83±5.5</w:t>
            </w:r>
          </w:p>
        </w:tc>
        <w:tc>
          <w:tcPr>
            <w:tcW w:w="271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D610CE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0.673</w:t>
            </w:r>
          </w:p>
        </w:tc>
      </w:tr>
    </w:tbl>
    <w:p w14:paraId="61F7FD9C" w14:textId="77777777" w:rsidR="006C6307" w:rsidRPr="000D0E24" w:rsidRDefault="006C6307" w:rsidP="006C6307">
      <w:pPr>
        <w:spacing w:line="480" w:lineRule="auto"/>
        <w:ind w:firstLine="466"/>
        <w:jc w:val="left"/>
        <w:rPr>
          <w:rFonts w:ascii="Times New Roman" w:hAnsi="Times New Roman" w:cs="Times New Roman"/>
          <w:color w:val="000000"/>
          <w:szCs w:val="21"/>
        </w:rPr>
      </w:pPr>
      <w:r w:rsidRPr="000D0E24">
        <w:rPr>
          <w:rFonts w:ascii="Times New Roman" w:hAnsi="Times New Roman" w:cs="Times New Roman"/>
          <w:color w:val="000000"/>
          <w:szCs w:val="21"/>
        </w:rPr>
        <w:t>(MPS(N)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Mental Posterior Space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POD(N)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 xml:space="preserve">Posterior Oropharyngeal Depth in Normal position 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MPH(N)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Mandibular plane to hyoid distance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SP(N)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Soft Palate Length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TL(N)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Tongue Length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TT(N):Tongue Thickness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TDS(N)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Tongue Depth Space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PAS(N)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Palatal Airway Space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MPS(M)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Mental Posterior Space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POD(M)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Posterior Oropharyngeal Depth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MPH(M)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Mandibular plane to hyoid distance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SP(M)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Soft Palate Length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TL(M)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Tongue Length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TT(M):Tongue Thickness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TDS(M)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Tongue Depth Space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PAS(M)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Palatal Airway Space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MPS (M-N):The difference between the Mental Posterior Space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POD (M-N):The difference between the Posterior Oropharyngeal Depth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MPH (M-N):The difference between the Mandibular plane to hyoid distance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 xml:space="preserve">SP(M-N):The difference between the Soft Palate Length in the mandibular </w:t>
      </w:r>
      <w:r w:rsidRPr="000D0E24">
        <w:rPr>
          <w:rFonts w:ascii="Times New Roman" w:hAnsi="Times New Roman" w:cs="Times New Roman"/>
          <w:color w:val="000000"/>
          <w:szCs w:val="21"/>
        </w:rPr>
        <w:lastRenderedPageBreak/>
        <w:t>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TL(M-N):The difference between the Tongue Length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TT(M-N):The difference between the Tongue Thickness in the mandibular advancement state and the normal position.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OSA: Obstructive sleep apnea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BMI: body mass index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AHI: Apnea hypopnea index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LSaO2: minimum blood oxygen saturation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CT90%: Percentage of total sleep time with blood oxygen saturation below 90%))</w:t>
      </w:r>
    </w:p>
    <w:p w14:paraId="54095DC5" w14:textId="77777777" w:rsidR="00413626" w:rsidRPr="000D0E24" w:rsidRDefault="00413626">
      <w:pPr>
        <w:rPr>
          <w:color w:val="000000"/>
        </w:rPr>
      </w:pPr>
    </w:p>
    <w:p w14:paraId="673BC49C" w14:textId="31BD5838" w:rsidR="006C6307" w:rsidRPr="000D0E24" w:rsidRDefault="00A32B06" w:rsidP="006C6307">
      <w:pPr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  <w:r w:rsidRPr="000D0E24">
        <w:rPr>
          <w:rFonts w:ascii="Times New Roman" w:hAnsi="Times New Roman" w:cs="Times New Roman"/>
          <w:color w:val="000000"/>
          <w:szCs w:val="21"/>
        </w:rPr>
        <w:t xml:space="preserve">Supplementary </w:t>
      </w:r>
      <w:r w:rsidR="006C6307" w:rsidRPr="000D0E24">
        <w:rPr>
          <w:rFonts w:ascii="Times New Roman" w:hAnsi="Times New Roman" w:cs="Times New Roman"/>
          <w:color w:val="000000"/>
          <w:szCs w:val="21"/>
        </w:rPr>
        <w:t xml:space="preserve">Table </w:t>
      </w:r>
      <w:r w:rsidR="006C6307" w:rsidRPr="000D0E24">
        <w:rPr>
          <w:rFonts w:ascii="Times New Roman" w:hAnsi="Times New Roman" w:cs="Times New Roman" w:hint="eastAsia"/>
          <w:color w:val="000000"/>
          <w:szCs w:val="21"/>
        </w:rPr>
        <w:t>2 Comparison of baseline data and upper airway X-ray measurements</w:t>
      </w:r>
    </w:p>
    <w:p w14:paraId="7AF28762" w14:textId="77777777" w:rsidR="006C6307" w:rsidRPr="000D0E24" w:rsidRDefault="006C6307" w:rsidP="006C6307">
      <w:pPr>
        <w:spacing w:line="360" w:lineRule="auto"/>
        <w:jc w:val="center"/>
        <w:rPr>
          <w:rStyle w:val="Hyperlink"/>
          <w:rFonts w:ascii="Times New Roman" w:eastAsia="SimSun" w:hAnsi="Times New Roman" w:cs="Times New Roman"/>
          <w:color w:val="000000"/>
          <w:szCs w:val="21"/>
        </w:rPr>
      </w:pPr>
      <w:r w:rsidRPr="000D0E24">
        <w:rPr>
          <w:rFonts w:ascii="Times New Roman" w:hAnsi="Times New Roman" w:cs="Times New Roman" w:hint="eastAsia"/>
          <w:color w:val="000000"/>
          <w:szCs w:val="21"/>
        </w:rPr>
        <w:t xml:space="preserve">between </w:t>
      </w:r>
      <w:bookmarkStart w:id="0" w:name="OLE_LINK28"/>
      <w:r w:rsidRPr="000D0E24">
        <w:rPr>
          <w:rFonts w:ascii="Times New Roman" w:hAnsi="Times New Roman" w:cs="Times New Roman" w:hint="eastAsia"/>
          <w:color w:val="000000"/>
          <w:szCs w:val="21"/>
        </w:rPr>
        <w:t>Non-OSA and OSA Patients Stratified by Gender</w:t>
      </w:r>
      <w:bookmarkEnd w:id="0"/>
    </w:p>
    <w:tbl>
      <w:tblPr>
        <w:tblStyle w:val="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1824"/>
        <w:gridCol w:w="1399"/>
        <w:gridCol w:w="1534"/>
        <w:gridCol w:w="1594"/>
        <w:gridCol w:w="909"/>
      </w:tblGrid>
      <w:tr w:rsidR="006C6307" w:rsidRPr="000D0E24" w14:paraId="5BF66391" w14:textId="77777777" w:rsidTr="003D1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26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40BE5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Baseline data</w:t>
            </w:r>
          </w:p>
        </w:tc>
        <w:tc>
          <w:tcPr>
            <w:tcW w:w="182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D25C9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Male-OSA</w:t>
            </w:r>
          </w:p>
          <w:p w14:paraId="24367F3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（n=</w:t>
            </w:r>
            <w:r w:rsidRPr="000D0E24">
              <w:rPr>
                <w:rFonts w:hint="eastAsia"/>
                <w:color w:val="000000"/>
                <w:szCs w:val="21"/>
              </w:rPr>
              <w:t>254</w:t>
            </w:r>
            <w:r w:rsidRPr="000D0E24">
              <w:rPr>
                <w:color w:val="000000"/>
                <w:szCs w:val="21"/>
              </w:rPr>
              <w:t>）</w:t>
            </w:r>
          </w:p>
        </w:tc>
        <w:tc>
          <w:tcPr>
            <w:tcW w:w="139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BB5EE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Male</w:t>
            </w:r>
            <w:bookmarkStart w:id="1" w:name="OLE_LINK20"/>
          </w:p>
          <w:p w14:paraId="0435DDA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Non-</w:t>
            </w:r>
            <w:r w:rsidRPr="000D0E24">
              <w:rPr>
                <w:color w:val="000000"/>
                <w:szCs w:val="21"/>
              </w:rPr>
              <w:t>OSA</w:t>
            </w:r>
            <w:bookmarkEnd w:id="1"/>
            <w:r w:rsidRPr="000D0E24">
              <w:rPr>
                <w:color w:val="000000"/>
                <w:szCs w:val="21"/>
              </w:rPr>
              <w:t>（n=</w:t>
            </w:r>
            <w:r w:rsidRPr="000D0E24">
              <w:rPr>
                <w:rFonts w:hint="eastAsia"/>
                <w:color w:val="000000"/>
                <w:szCs w:val="21"/>
              </w:rPr>
              <w:t>37</w:t>
            </w:r>
            <w:r w:rsidRPr="000D0E24">
              <w:rPr>
                <w:color w:val="000000"/>
                <w:szCs w:val="21"/>
              </w:rPr>
              <w:t>）</w:t>
            </w:r>
          </w:p>
        </w:tc>
        <w:tc>
          <w:tcPr>
            <w:tcW w:w="153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84250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Female OSA（n=</w:t>
            </w:r>
            <w:r w:rsidRPr="000D0E24">
              <w:rPr>
                <w:rFonts w:hint="eastAsia"/>
                <w:color w:val="000000"/>
                <w:szCs w:val="21"/>
              </w:rPr>
              <w:t>36</w:t>
            </w:r>
            <w:r w:rsidRPr="000D0E24">
              <w:rPr>
                <w:color w:val="000000"/>
                <w:szCs w:val="21"/>
              </w:rPr>
              <w:t>）</w:t>
            </w:r>
          </w:p>
        </w:tc>
        <w:tc>
          <w:tcPr>
            <w:tcW w:w="159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8E736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Female</w:t>
            </w:r>
          </w:p>
          <w:p w14:paraId="24EF520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Non-</w:t>
            </w:r>
            <w:r w:rsidRPr="000D0E24">
              <w:rPr>
                <w:color w:val="000000"/>
                <w:szCs w:val="21"/>
              </w:rPr>
              <w:t>OSA</w:t>
            </w:r>
          </w:p>
          <w:p w14:paraId="0C299A5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（n=</w:t>
            </w:r>
            <w:r w:rsidRPr="000D0E24">
              <w:rPr>
                <w:rFonts w:hint="eastAsia"/>
                <w:color w:val="000000"/>
                <w:szCs w:val="21"/>
              </w:rPr>
              <w:t>18</w:t>
            </w:r>
            <w:r w:rsidRPr="000D0E24">
              <w:rPr>
                <w:color w:val="000000"/>
                <w:szCs w:val="21"/>
              </w:rPr>
              <w:t>）</w:t>
            </w:r>
          </w:p>
        </w:tc>
        <w:tc>
          <w:tcPr>
            <w:tcW w:w="90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12313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p</w:t>
            </w:r>
          </w:p>
        </w:tc>
      </w:tr>
      <w:tr w:rsidR="006C6307" w:rsidRPr="000D0E24" w14:paraId="582D8C47" w14:textId="77777777" w:rsidTr="003D1937">
        <w:trPr>
          <w:jc w:val="center"/>
        </w:trPr>
        <w:tc>
          <w:tcPr>
            <w:tcW w:w="1262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16569D0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Age</w:t>
            </w:r>
          </w:p>
        </w:tc>
        <w:tc>
          <w:tcPr>
            <w:tcW w:w="182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13D3BA5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40.48±10.77</w:t>
            </w:r>
          </w:p>
        </w:tc>
        <w:tc>
          <w:tcPr>
            <w:tcW w:w="1399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3CA155E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37.03±8.75</w:t>
            </w:r>
          </w:p>
        </w:tc>
        <w:tc>
          <w:tcPr>
            <w:tcW w:w="15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146A64A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46.64±14.62</w:t>
            </w:r>
          </w:p>
        </w:tc>
        <w:tc>
          <w:tcPr>
            <w:tcW w:w="159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50A32DC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36.17±10.65</w:t>
            </w:r>
          </w:p>
        </w:tc>
        <w:tc>
          <w:tcPr>
            <w:tcW w:w="909" w:type="dxa"/>
            <w:tcBorders>
              <w:top w:val="single" w:sz="4" w:space="0" w:color="000000"/>
              <w:bottom w:val="nil"/>
            </w:tcBorders>
            <w:shd w:val="clear" w:color="auto" w:fill="FFFFFF"/>
            <w:vAlign w:val="center"/>
          </w:tcPr>
          <w:p w14:paraId="1F21365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0.0</w:t>
            </w:r>
            <w:r w:rsidRPr="000D0E24">
              <w:rPr>
                <w:rFonts w:hint="eastAsia"/>
                <w:color w:val="000000"/>
                <w:szCs w:val="21"/>
              </w:rPr>
              <w:t>01</w:t>
            </w:r>
          </w:p>
        </w:tc>
      </w:tr>
      <w:tr w:rsidR="006C6307" w:rsidRPr="000D0E24" w14:paraId="0A58CD5E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666B6B3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bookmarkStart w:id="2" w:name="OLE_LINK23" w:colFirst="5" w:colLast="5"/>
            <w:r w:rsidRPr="000D0E24">
              <w:rPr>
                <w:color w:val="000000"/>
                <w:szCs w:val="21"/>
              </w:rPr>
              <w:t>BMI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1FDEF2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26.6±3.45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5CBBB6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23.91±3.67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3E02B6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25.72±4.1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9EE5DA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22.42±3.85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88C530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bookmarkStart w:id="3" w:name="OLE_LINK24"/>
            <w:r w:rsidRPr="000D0E24">
              <w:rPr>
                <w:color w:val="000000"/>
                <w:szCs w:val="21"/>
              </w:rPr>
              <w:t>＜0.001</w:t>
            </w:r>
            <w:bookmarkEnd w:id="3"/>
          </w:p>
        </w:tc>
      </w:tr>
      <w:bookmarkEnd w:id="2"/>
      <w:tr w:rsidR="006C6307" w:rsidRPr="000D0E24" w14:paraId="15EE89E0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0BCB42A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AHI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FC7C5C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38.21±23.88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DFBFC7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2.53±1.21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1288B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27.82±21.44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D14135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2.06±1.12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7636232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2D290C05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7B2C049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CT90%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2B98AE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0.12±0.19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31346B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8BCEA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0.1±0.3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F842BD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7C92F76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490266C2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1ABEF64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LSaO2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AF9FEA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0.73±0.13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3ABC4E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0.89±0.05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ADC98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0.77±0.12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9182FC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0.89±0.05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FEED8D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7DA2A46C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7C2CFD7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Epworth Sleepiness Scale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50481A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9.06±5.29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8EF42E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9.11±5.32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DE58FB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6.56±4.63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AC6977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7.56±4.3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6FADE7C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0.039</w:t>
            </w:r>
          </w:p>
        </w:tc>
      </w:tr>
      <w:tr w:rsidR="006C6307" w:rsidRPr="000D0E24" w14:paraId="04A82BC9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638AB44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MPS(N)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5B33CB8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90.2±10.26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6D1501C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89.23±8.1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9F1ADB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82.1±5.78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7A24CE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78.61±6.82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186C0FD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52805D34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42A4637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37895EF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POD(N)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2C0E130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42.78±5.02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2FD152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40.84±4.83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21BE6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34.04±2.76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53916C1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32.96±3.32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CEBF0C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072CF707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2184711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70F3CAC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MPH(N)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53B760C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26.94±7.86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D08918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21.16±7.61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CC3BCB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19.81±6.56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4C2B75B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15.21±5.73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A4F16D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7677541F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630D79B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170462B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SP(N)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1E4ACCA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50.71±6.69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69A374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47.55±5.82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546738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43.64±5.7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0ACA133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41.5±4.78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550591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57C36A64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5AE3180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 w14:paraId="551CCA2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4C85558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91.89±9.95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22ED77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84.91±7.91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A0CA54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79.59±7.73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622D85B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70.96±9.59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76F66B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bookmarkStart w:id="4" w:name="OLE_LINK25"/>
            <w:r w:rsidRPr="000D0E24">
              <w:rPr>
                <w:color w:val="000000"/>
                <w:szCs w:val="21"/>
              </w:rPr>
              <w:t>＜0.001</w:t>
            </w:r>
            <w:bookmarkEnd w:id="4"/>
          </w:p>
        </w:tc>
      </w:tr>
      <w:tr w:rsidR="006C6307" w:rsidRPr="000D0E24" w14:paraId="0F866393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7ED5733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TT(N)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5DB1EC9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74.57±6.35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0DCED83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74.14±5.27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4A858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69.18±4.67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6CF0B4E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67.09±5.1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6958D23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76B4A91B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31A6CA1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TL(N)/TT(N)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66A34CA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1.24±0.16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1BFEE3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1.15±0.12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B22AE7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1.16±0.14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5C8CCA9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1.06±0.16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2044491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68F7A58D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0BC8620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TDS(N)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21656BB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14.7±4.98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4AE1A4F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14.74±4.59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8289F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11.85±4.19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3F4D58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11.2±2.79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2B15AD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0A4AC13E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7F97072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PAS(N)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5FFB9BA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9.96±4.39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28FEA3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10±3.48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6199D9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8.74±4.04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4FC09B7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8.6±3.89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2B19728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253</w:t>
            </w:r>
          </w:p>
        </w:tc>
      </w:tr>
      <w:tr w:rsidR="006C6307" w:rsidRPr="000D0E24" w14:paraId="15DCAE84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70E41D1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MPS(M)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7A3D1D0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100.15±11.87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159054F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99.37±10.09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D18481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91.95±7.7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07929BA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87.84±8.05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1E6B4FA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6CC18F80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4E1FAB6F" w14:textId="77777777" w:rsidR="006C6307" w:rsidRPr="000D0E24" w:rsidRDefault="006C6307" w:rsidP="003D1937">
            <w:pPr>
              <w:spacing w:line="360" w:lineRule="auto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POD(M)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3000A4F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45.05±5.8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3C5FAF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43.42±6.53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D3A928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37.02±4.49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4B141DF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34.18±3.4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5DCF176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4AF8EBC5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58AB0D7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MPH(M)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3530AB0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21.12±7.94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71F189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16.65±8.41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EFF574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16.46±6.21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54C3693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11.14±6.24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67A89F6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62B9826F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4A79AFD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SP(M)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395CC68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50.4±7.32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73995B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48.67±6.71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7326C4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45.07±6.74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471640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40.62±5.89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2D16E77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27C9A81D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01CDD8D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51051F0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81.95±9.64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4C85193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72.77±9.47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925BF4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70.74±8.73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828E92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63.1±5.94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4484700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bookmarkStart w:id="5" w:name="OLE_LINK26"/>
            <w:r w:rsidRPr="000D0E24">
              <w:rPr>
                <w:color w:val="000000"/>
                <w:szCs w:val="21"/>
              </w:rPr>
              <w:t>＜0.001</w:t>
            </w:r>
            <w:bookmarkEnd w:id="5"/>
          </w:p>
        </w:tc>
      </w:tr>
      <w:tr w:rsidR="006C6307" w:rsidRPr="000D0E24" w14:paraId="16752B50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7E431A8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TT(M)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6F5D9D8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84.34±8.18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757076C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85.2±6.12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68A193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77.96±5.21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2AF7551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74.48±5.18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6D8806A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＜0.001</w:t>
            </w:r>
          </w:p>
        </w:tc>
      </w:tr>
      <w:tr w:rsidR="006C6307" w:rsidRPr="000D0E24" w14:paraId="10ADFCCA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280B575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TL(M)/TT(M)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5622255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0.99±0.31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76FFE6D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0.86±0.12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2482E6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0.91±0.13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362842B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0.85±0.09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41951E0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0.0</w:t>
            </w:r>
            <w:r w:rsidRPr="000D0E24">
              <w:rPr>
                <w:rFonts w:hint="eastAsia"/>
                <w:color w:val="000000"/>
                <w:szCs w:val="21"/>
              </w:rPr>
              <w:t>06</w:t>
            </w:r>
          </w:p>
        </w:tc>
      </w:tr>
      <w:tr w:rsidR="006C6307" w:rsidRPr="000D0E24" w14:paraId="30BFB358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7DC789B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TDS(M)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6AFB952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16.8±5.18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0972C93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16.23±5.59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295F10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16±4.41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5D4C430D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14.24±3.32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51B53BB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183</w:t>
            </w:r>
          </w:p>
        </w:tc>
      </w:tr>
      <w:tr w:rsidR="006C6307" w:rsidRPr="000D0E24" w14:paraId="18E0ACE4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454FF9B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PAS(M)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282C4EB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10.6±3.4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46D42C1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10.84±3.66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4ABC93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9.59±3.75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5D52330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10.28±3.86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57D097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380</w:t>
            </w:r>
          </w:p>
        </w:tc>
      </w:tr>
      <w:tr w:rsidR="006C6307" w:rsidRPr="000D0E24" w14:paraId="352AE34E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7E55631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MPS(M-N)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2CC684E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9.95±9.49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6E46F6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10.14±5.2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49276B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9.86±6.08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51E14271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9.24±3.96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49BEBB7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987</w:t>
            </w:r>
          </w:p>
        </w:tc>
      </w:tr>
      <w:tr w:rsidR="006C6307" w:rsidRPr="000D0E24" w14:paraId="34CAD7D5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495EF2B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POD(M-N)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5A9225F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2.28±4.04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3C7DD4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2.58±3.77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581F25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2.98±3.89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353B013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1.22±2.44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3AAA6B9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456</w:t>
            </w:r>
          </w:p>
        </w:tc>
      </w:tr>
      <w:tr w:rsidR="006C6307" w:rsidRPr="000D0E24" w14:paraId="2B8221CC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64C6CAF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MPH(M-N)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39643AB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-5.81±6.52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52E77E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-4.5±6.04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BA631B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-3.35±7.04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7378F79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-4.07±5.64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2C06F8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112</w:t>
            </w:r>
          </w:p>
        </w:tc>
      </w:tr>
      <w:tr w:rsidR="006C6307" w:rsidRPr="000D0E24" w14:paraId="675F742C" w14:textId="77777777" w:rsidTr="003D1937">
        <w:trPr>
          <w:trHeight w:val="90"/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3A574D9A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SP(M-N)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4248EA2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-0.31±5.85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024BD8E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1.12±4.99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CBC2C5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1.42±4.61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4DFBDEA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-0.88±3.17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52998A67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162</w:t>
            </w:r>
          </w:p>
        </w:tc>
      </w:tr>
      <w:tr w:rsidR="006C6307" w:rsidRPr="000D0E24" w14:paraId="3AB38D9A" w14:textId="77777777" w:rsidTr="003D1937">
        <w:trPr>
          <w:jc w:val="center"/>
        </w:trPr>
        <w:tc>
          <w:tcPr>
            <w:tcW w:w="1262" w:type="dxa"/>
            <w:shd w:val="clear" w:color="auto" w:fill="FFFFFF"/>
            <w:vAlign w:val="center"/>
          </w:tcPr>
          <w:p w14:paraId="53F8A54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TL(M-N)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04E8B6B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-9.94±7.87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6EB52C04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-12.14±6.71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7668A7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-8.85±8.06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73DBD31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-7.86±8.67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533F33D0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181</w:t>
            </w:r>
          </w:p>
        </w:tc>
      </w:tr>
      <w:tr w:rsidR="006C6307" w:rsidRPr="000D0E24" w14:paraId="79EBC1EB" w14:textId="77777777" w:rsidTr="003D1937">
        <w:trPr>
          <w:jc w:val="center"/>
        </w:trPr>
        <w:tc>
          <w:tcPr>
            <w:tcW w:w="126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54C1B06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TT(M-N)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3B572FF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9.76±6.69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30974DC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11.06±4.86</w:t>
            </w:r>
          </w:p>
        </w:tc>
        <w:tc>
          <w:tcPr>
            <w:tcW w:w="1534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CD4D5B2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8.78±5.5</w:t>
            </w:r>
          </w:p>
        </w:tc>
        <w:tc>
          <w:tcPr>
            <w:tcW w:w="1594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C16C2DE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rFonts w:hint="eastAsia"/>
                <w:color w:val="000000"/>
                <w:szCs w:val="21"/>
              </w:rPr>
              <w:t>7.4±3.42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03E87C8" w14:textId="77777777" w:rsidR="006C6307" w:rsidRPr="000D0E24" w:rsidRDefault="006C6307" w:rsidP="003D193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D0E24">
              <w:rPr>
                <w:color w:val="000000"/>
                <w:szCs w:val="21"/>
              </w:rPr>
              <w:t>0.</w:t>
            </w:r>
            <w:r w:rsidRPr="000D0E24">
              <w:rPr>
                <w:rFonts w:hint="eastAsia"/>
                <w:color w:val="000000"/>
                <w:szCs w:val="21"/>
              </w:rPr>
              <w:t>178</w:t>
            </w:r>
          </w:p>
        </w:tc>
      </w:tr>
    </w:tbl>
    <w:p w14:paraId="647B5266" w14:textId="77777777" w:rsidR="006C6307" w:rsidRPr="000D0E24" w:rsidRDefault="006C6307" w:rsidP="006C6307">
      <w:pPr>
        <w:spacing w:line="360" w:lineRule="auto"/>
        <w:rPr>
          <w:rFonts w:ascii="Times New Roman" w:hAnsi="Times New Roman" w:cs="Times New Roman"/>
          <w:color w:val="000000"/>
          <w:kern w:val="0"/>
          <w:szCs w:val="21"/>
        </w:rPr>
      </w:pPr>
    </w:p>
    <w:p w14:paraId="59A9B64D" w14:textId="77777777" w:rsidR="00486C1B" w:rsidRPr="000D0E24" w:rsidRDefault="00486C1B" w:rsidP="00486C1B">
      <w:pPr>
        <w:spacing w:line="480" w:lineRule="auto"/>
        <w:ind w:firstLine="466"/>
        <w:jc w:val="left"/>
        <w:rPr>
          <w:rFonts w:ascii="Times New Roman" w:hAnsi="Times New Roman" w:cs="Times New Roman"/>
          <w:color w:val="000000"/>
          <w:szCs w:val="21"/>
        </w:rPr>
      </w:pPr>
      <w:r w:rsidRPr="000D0E24">
        <w:rPr>
          <w:rFonts w:ascii="Times New Roman" w:hAnsi="Times New Roman" w:cs="Times New Roman"/>
          <w:color w:val="000000"/>
          <w:szCs w:val="21"/>
        </w:rPr>
        <w:t>(MPS(N)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Mental Posterior Space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POD(N)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 xml:space="preserve">Posterior Oropharyngeal Depth in Normal position 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MPH(N)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Mandibular plane to hyoid distance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SP(N)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Soft Palate Length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TL(N)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Tongue Length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TT(N):Tongue Thickness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TDS(N)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 xml:space="preserve">Tongue Depth Space in Normal </w:t>
      </w:r>
      <w:r w:rsidRPr="000D0E24">
        <w:rPr>
          <w:rFonts w:ascii="Times New Roman" w:hAnsi="Times New Roman" w:cs="Times New Roman"/>
          <w:color w:val="000000"/>
          <w:szCs w:val="21"/>
        </w:rPr>
        <w:lastRenderedPageBreak/>
        <w:t>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PAS(N)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Palatal Airway Space in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MPS(M)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Mental Posterior Space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POD(M)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Posterior Oropharyngeal Depth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MPH(M)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Mandibular plane to hyoid distance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SP(M)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Soft Palate Length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TL(M)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Tongue Length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TT(M):Tongue Thickness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TDS(M)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Tongue Depth Space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PAS(M)</w:t>
      </w:r>
      <w:r w:rsidRPr="000D0E24">
        <w:rPr>
          <w:rFonts w:ascii="Times New Roman" w:hAnsi="Times New Roman" w:cs="Times New Roman"/>
          <w:color w:val="000000"/>
          <w:szCs w:val="21"/>
        </w:rPr>
        <w:t>：</w:t>
      </w:r>
      <w:r w:rsidRPr="000D0E24">
        <w:rPr>
          <w:rFonts w:ascii="Times New Roman" w:hAnsi="Times New Roman" w:cs="Times New Roman"/>
          <w:color w:val="000000"/>
          <w:szCs w:val="21"/>
        </w:rPr>
        <w:t>Palatal Airway Space in mandibular advancement state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MPS (M-N):The difference between the Mental Posterior Space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POD (M-N):The difference between the Posterior Oropharyngeal Depth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MPH (M-N):The difference between the Mandibular plane to hyoid distance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SP(M-N):The difference between the Soft Palate Length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TL(M-N):The difference between the Tongue Length in the mandibular advancement state and the normal position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TT(M-N):The difference between the Tongue Thickness in the mandibular advancement state and the normal position.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OSA: Obstructive sleep apnea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BMI: body mass index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AHI: Apnea hypopnea index</w:t>
      </w:r>
      <w:r w:rsidRPr="000D0E24">
        <w:rPr>
          <w:rFonts w:ascii="Times New Roman" w:hAnsi="Times New Roman" w:cs="Times New Roman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LSaO2: minimum blood oxygen saturation</w:t>
      </w:r>
      <w:r w:rsidRPr="000D0E24">
        <w:rPr>
          <w:rFonts w:ascii="Times New Roman" w:hAnsi="Times New Roman" w:cs="Times New Roman" w:hint="eastAsia"/>
          <w:color w:val="000000"/>
          <w:szCs w:val="21"/>
        </w:rPr>
        <w:t>、</w:t>
      </w:r>
      <w:r w:rsidRPr="000D0E24">
        <w:rPr>
          <w:rFonts w:ascii="Times New Roman" w:hAnsi="Times New Roman" w:cs="Times New Roman"/>
          <w:color w:val="000000"/>
          <w:szCs w:val="21"/>
        </w:rPr>
        <w:t>CT90%: Percentage of total sleep time with blood oxygen saturation below 90%))</w:t>
      </w:r>
    </w:p>
    <w:p w14:paraId="32F7CB37" w14:textId="77777777" w:rsidR="006C6307" w:rsidRPr="000D0E24" w:rsidRDefault="006C6307">
      <w:pPr>
        <w:rPr>
          <w:color w:val="000000"/>
        </w:rPr>
      </w:pPr>
    </w:p>
    <w:sectPr w:rsidR="006C6307" w:rsidRPr="000D0E2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F4AA4" w14:textId="77777777" w:rsidR="00372E4B" w:rsidRDefault="00372E4B" w:rsidP="006C6307">
      <w:r>
        <w:separator/>
      </w:r>
    </w:p>
  </w:endnote>
  <w:endnote w:type="continuationSeparator" w:id="0">
    <w:p w14:paraId="1F92AA84" w14:textId="77777777" w:rsidR="00372E4B" w:rsidRDefault="00372E4B" w:rsidP="006C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C83F4" w14:textId="25AEC33B" w:rsidR="000D0E24" w:rsidRDefault="000D0E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48234" wp14:editId="0F4B4F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010217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7348C" w14:textId="7E3794F4" w:rsidR="000D0E24" w:rsidRPr="000D0E24" w:rsidRDefault="000D0E24" w:rsidP="000D0E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0E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482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DC7348C" w14:textId="7E3794F4" w:rsidR="000D0E24" w:rsidRPr="000D0E24" w:rsidRDefault="000D0E24" w:rsidP="000D0E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0E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3CA25" w14:textId="4C248797" w:rsidR="000D0E24" w:rsidRDefault="000D0E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727A3B" wp14:editId="2283E4E9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7089752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6F90D" w14:textId="0ABD5B91" w:rsidR="000D0E24" w:rsidRPr="000D0E24" w:rsidRDefault="000D0E24" w:rsidP="000D0E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0E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27A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1F6F90D" w14:textId="0ABD5B91" w:rsidR="000D0E24" w:rsidRPr="000D0E24" w:rsidRDefault="000D0E24" w:rsidP="000D0E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0E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1A18F" w14:textId="03271AF5" w:rsidR="000D0E24" w:rsidRDefault="000D0E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41CEFF" wp14:editId="374479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397949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1B5CD" w14:textId="2E085A22" w:rsidR="000D0E24" w:rsidRPr="000D0E24" w:rsidRDefault="000D0E24" w:rsidP="000D0E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0E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1CE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0E1B5CD" w14:textId="2E085A22" w:rsidR="000D0E24" w:rsidRPr="000D0E24" w:rsidRDefault="000D0E24" w:rsidP="000D0E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0E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D2BFC" w14:textId="77777777" w:rsidR="00372E4B" w:rsidRDefault="00372E4B" w:rsidP="006C6307">
      <w:r>
        <w:separator/>
      </w:r>
    </w:p>
  </w:footnote>
  <w:footnote w:type="continuationSeparator" w:id="0">
    <w:p w14:paraId="675740C5" w14:textId="77777777" w:rsidR="00372E4B" w:rsidRDefault="00372E4B" w:rsidP="006C6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E5"/>
    <w:rsid w:val="000D0E24"/>
    <w:rsid w:val="003014FB"/>
    <w:rsid w:val="00372E4B"/>
    <w:rsid w:val="00413626"/>
    <w:rsid w:val="00486C1B"/>
    <w:rsid w:val="005F0DE5"/>
    <w:rsid w:val="006C6307"/>
    <w:rsid w:val="006E08BE"/>
    <w:rsid w:val="00A32B06"/>
    <w:rsid w:val="00AB3A70"/>
    <w:rsid w:val="00AD56A5"/>
    <w:rsid w:val="00C453BD"/>
    <w:rsid w:val="00F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198A"/>
  <w15:chartTrackingRefBased/>
  <w15:docId w15:val="{06202BC3-7232-4252-B059-193E167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0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3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63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6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6307"/>
    <w:rPr>
      <w:sz w:val="18"/>
      <w:szCs w:val="18"/>
    </w:rPr>
  </w:style>
  <w:style w:type="table" w:customStyle="1" w:styleId="a">
    <w:name w:val="三线表"/>
    <w:basedOn w:val="TableNormal"/>
    <w:autoRedefine/>
    <w:uiPriority w:val="99"/>
    <w:qFormat/>
    <w:rsid w:val="006C6307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nhideWhenUsed/>
    <w:qFormat/>
    <w:rsid w:val="006C6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pang</dc:creator>
  <cp:keywords/>
  <dc:description/>
  <cp:lastModifiedBy>Murphy, Alexandra</cp:lastModifiedBy>
  <cp:revision>2</cp:revision>
  <dcterms:created xsi:type="dcterms:W3CDTF">2024-10-17T19:47:00Z</dcterms:created>
  <dcterms:modified xsi:type="dcterms:W3CDTF">2024-10-17T19:47:00Z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739eebf1,5f6da738,4bc05b70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2024-10-17T19:47:25Z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02281765-5741-4e53-bb88-e4ba2488e4f9</vt:lpwstr>
  </property>
  <property fmtid="{D5CDD505-2E9C-101B-9397-08002B2CF9AE}" pid="11" name="MSIP_Label_2bbab825-a111-45e4-86a1-18cee0005896_ContentBits">
    <vt:lpwstr>2</vt:lpwstr>
  </property>
</Properties>
</file>