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042BA" w14:textId="574C5A36" w:rsidR="00AB40E1" w:rsidRDefault="00837A76" w:rsidP="00837A76">
      <w:pPr>
        <w:pStyle w:val="1"/>
        <w:rPr>
          <w:rFonts w:ascii="Arial" w:hAnsi="Arial" w:cs="Arial"/>
          <w:lang w:val="en-GB"/>
        </w:rPr>
      </w:pPr>
      <w:r w:rsidRPr="00C840FC">
        <w:rPr>
          <w:rFonts w:ascii="Arial" w:hAnsi="Arial" w:cs="Arial"/>
          <w:lang w:val="en-GB"/>
        </w:rPr>
        <w:t xml:space="preserve">Supplemental </w:t>
      </w:r>
      <w:r w:rsidR="00420A7B" w:rsidRPr="00C840FC">
        <w:rPr>
          <w:rFonts w:ascii="Arial" w:hAnsi="Arial" w:cs="Arial"/>
          <w:lang w:val="en-GB"/>
        </w:rPr>
        <w:t>Digital Content</w:t>
      </w:r>
      <w:r w:rsidR="00D35CEF">
        <w:rPr>
          <w:rFonts w:ascii="Arial" w:hAnsi="Arial" w:cs="Arial" w:hint="eastAsia"/>
          <w:lang w:val="en-GB"/>
        </w:rPr>
        <w:t>s</w:t>
      </w:r>
      <w:r w:rsidR="00D35CEF" w:rsidRPr="00D35CEF">
        <w:rPr>
          <w:rFonts w:ascii="Arial" w:hAnsi="Arial" w:cs="Arial" w:hint="eastAsia"/>
          <w:lang w:val="en-GB"/>
        </w:rPr>
        <w:t xml:space="preserve"> (SDC)</w:t>
      </w:r>
    </w:p>
    <w:p w14:paraId="1F49C283" w14:textId="56242B64" w:rsidR="00767C70" w:rsidRPr="00C840FC" w:rsidRDefault="00767C70" w:rsidP="00767C70">
      <w:pPr>
        <w:pStyle w:val="2"/>
      </w:pPr>
      <w:r w:rsidRPr="00C840FC">
        <w:t xml:space="preserve">SDC </w:t>
      </w:r>
      <w:r>
        <w:rPr>
          <w:rFonts w:hint="eastAsia"/>
        </w:rPr>
        <w:t>1</w:t>
      </w:r>
      <w:r w:rsidRPr="00C840FC">
        <w:t xml:space="preserve">: </w:t>
      </w:r>
      <w:r w:rsidRPr="006020A2">
        <w:t>Nep</w:t>
      </w:r>
      <w:r w:rsidRPr="00C840FC">
        <w:t>hrectomy procedure</w:t>
      </w:r>
    </w:p>
    <w:p w14:paraId="1A1B87F9" w14:textId="4DB03490" w:rsidR="00767C70" w:rsidRDefault="00767C70" w:rsidP="00AF3982">
      <w:pPr>
        <w:spacing w:line="360" w:lineRule="auto"/>
        <w:rPr>
          <w:rFonts w:ascii="Arial" w:hAnsi="Arial" w:cs="Arial"/>
          <w:lang w:val="en-GB"/>
        </w:rPr>
      </w:pPr>
      <w:r w:rsidRPr="00C840FC">
        <w:rPr>
          <w:rFonts w:ascii="Arial" w:hAnsi="Arial" w:cs="Arial"/>
          <w:lang w:val="en-GB"/>
        </w:rPr>
        <w:t xml:space="preserve">A left upper abdominal incision of about 15 cm was made along the rectus abdominis muscle, and the layers were gradually entered into the abdomen. The spleen-colon ligament was ligated and cut, and the lateral peritoneum was opened. The transverse colon and descending colon were pushed to the opposite side, and the renal fascia was lifted and cut. The scissors were used to free the anterior, posterior, upper, and lower poles of the kidney. The left kidney was found to be normal in size and shape, with a healthy red colour. The left renal vein was exposed and ligated, followed by ligation and division of the left testicular vein, left adrenal vein, and left lumbar vein. The left renal artery was identified by palpating the pulsation behind the left renal </w:t>
      </w:r>
      <w:proofErr w:type="gramStart"/>
      <w:r w:rsidRPr="00C840FC">
        <w:rPr>
          <w:rFonts w:ascii="Arial" w:hAnsi="Arial" w:cs="Arial"/>
          <w:lang w:val="en-GB"/>
        </w:rPr>
        <w:t>vein, and</w:t>
      </w:r>
      <w:proofErr w:type="gramEnd"/>
      <w:r w:rsidRPr="00C840FC">
        <w:rPr>
          <w:rFonts w:ascii="Arial" w:hAnsi="Arial" w:cs="Arial"/>
          <w:lang w:val="en-GB"/>
        </w:rPr>
        <w:t xml:space="preserve"> then dissected. Fine ligation was performed around the small renal arteries, and the ureter was carefully dissected and transacted at the level of the iliac vessels. At this point, the inferior vena cava is completely exposed and only the renal artery remains connected. Sodium heparin (50 mg) and furosemide (10 mg) are administered, and after 2 minutes, the renal artery and vein are disconnected, and the kidney is immediately perfused with cold preservation solution. After the kidneys turned pale, they were refrigerated for future use.</w:t>
      </w:r>
    </w:p>
    <w:p w14:paraId="278B1BD0" w14:textId="762E63C4" w:rsidR="004444BB" w:rsidRDefault="004444BB" w:rsidP="004444BB">
      <w:pPr>
        <w:widowControl/>
        <w:spacing w:line="240" w:lineRule="auto"/>
        <w:jc w:val="left"/>
        <w:rPr>
          <w:rFonts w:ascii="Arial" w:hAnsi="Arial" w:cs="Arial" w:hint="eastAsia"/>
          <w:lang w:val="en-GB"/>
        </w:rPr>
      </w:pPr>
      <w:r>
        <w:rPr>
          <w:rFonts w:ascii="Arial" w:hAnsi="Arial" w:cs="Arial"/>
          <w:lang w:val="en-GB"/>
        </w:rPr>
        <w:br w:type="page"/>
      </w:r>
    </w:p>
    <w:p w14:paraId="3AA8F372" w14:textId="2D9995C9" w:rsidR="004444BB" w:rsidRPr="00C840FC" w:rsidRDefault="004444BB" w:rsidP="004444BB">
      <w:pPr>
        <w:pStyle w:val="2"/>
      </w:pPr>
      <w:r w:rsidRPr="00C840FC">
        <w:t xml:space="preserve">SDC </w:t>
      </w:r>
      <w:r>
        <w:rPr>
          <w:rFonts w:hint="eastAsia"/>
        </w:rPr>
        <w:t>2</w:t>
      </w:r>
      <w:r w:rsidRPr="00C840FC">
        <w:t>:</w:t>
      </w:r>
      <w:r>
        <w:rPr>
          <w:rFonts w:hint="eastAsia"/>
        </w:rPr>
        <w:t xml:space="preserve"> </w:t>
      </w:r>
      <w:r w:rsidRPr="00C840FC">
        <w:t xml:space="preserve">Brief process for testing for </w:t>
      </w:r>
      <w:r w:rsidRPr="00C840FC">
        <w:rPr>
          <w:rFonts w:eastAsiaTheme="minorEastAsia"/>
        </w:rPr>
        <w:t>IL-18, TIMP-2 and KIM-1</w:t>
      </w:r>
      <w:r w:rsidRPr="00C840FC">
        <w:t>biomarkers</w:t>
      </w:r>
    </w:p>
    <w:p w14:paraId="7E903966"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1. Sample Handling</w:t>
      </w:r>
    </w:p>
    <w:p w14:paraId="7DF6FEDA"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 xml:space="preserve">The IL-18 and KIM-1 reagent kits can directly test urine samples. Before conducting the experiment with the TIMP-2 kit, four random samples were selected for a pre-experiment concentration gradient test. It was found that the best experimental results were obtained when the samples were diluted 10 times, </w:t>
      </w:r>
      <w:proofErr w:type="gramStart"/>
      <w:r w:rsidRPr="00C840FC">
        <w:rPr>
          <w:rFonts w:ascii="Arial" w:eastAsiaTheme="minorEastAsia" w:hAnsi="Arial" w:cs="Arial"/>
          <w:color w:val="000000" w:themeColor="text1"/>
          <w:lang w:val="en-GB"/>
        </w:rPr>
        <w:t>so</w:t>
      </w:r>
      <w:proofErr w:type="gramEnd"/>
      <w:r w:rsidRPr="00C840FC">
        <w:rPr>
          <w:rFonts w:ascii="Arial" w:eastAsiaTheme="minorEastAsia" w:hAnsi="Arial" w:cs="Arial"/>
          <w:color w:val="000000" w:themeColor="text1"/>
          <w:lang w:val="en-GB"/>
        </w:rPr>
        <w:t xml:space="preserve"> a 10-fold dilution was used for the formal experiment. The diluent used is provided in the reagent kit.</w:t>
      </w:r>
    </w:p>
    <w:p w14:paraId="079BFAB1" w14:textId="77777777" w:rsidR="004444BB" w:rsidRPr="00C840FC" w:rsidRDefault="004444BB" w:rsidP="004444BB">
      <w:pPr>
        <w:spacing w:line="360" w:lineRule="auto"/>
        <w:rPr>
          <w:rFonts w:ascii="Arial" w:eastAsiaTheme="minorEastAsia" w:hAnsi="Arial" w:cs="Arial"/>
          <w:color w:val="000000" w:themeColor="text1"/>
          <w:sz w:val="28"/>
          <w:szCs w:val="28"/>
          <w:lang w:val="en-GB"/>
        </w:rPr>
      </w:pPr>
    </w:p>
    <w:p w14:paraId="05ED17C5"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2. ELISA Experimental Steps</w:t>
      </w:r>
    </w:p>
    <w:p w14:paraId="73B58E45"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Before starting the experiment, all reagents should be equilibrated to room temperature. When preparing reagents or samples, they should be thoroughly mixed and avoid foaming as much as possible.</w:t>
      </w:r>
    </w:p>
    <w:p w14:paraId="171FE5A1"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2.1. Addition of Samples: Set up blank wells, standard wells, and test sample wells separately. Add 100μl of sample diluent to blank wells and add 100μl of standard or test sample to each remaining well. Cover the plate with a film and incubate at 37°C for 90 minutes (refer to relevant content in Excel table for sample addition order and corresponding numbering).</w:t>
      </w:r>
    </w:p>
    <w:p w14:paraId="3DB90F01"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2.2. Discard liquid, tap dry, add 100μl of biotinylated antibody working solution to each well (prepared within 15 minutes before use), cover the plate with a film, and incubate at 37°C for 1 hour.</w:t>
      </w:r>
    </w:p>
    <w:p w14:paraId="7F817812"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 xml:space="preserve">2.3. Discard liquid from wells, tap dry, wash the plate three times by immersing it in approximately350 </w:t>
      </w:r>
      <w:proofErr w:type="spellStart"/>
      <w:r w:rsidRPr="00C840FC">
        <w:rPr>
          <w:rFonts w:ascii="Arial" w:eastAsiaTheme="minorEastAsia" w:hAnsi="Arial" w:cs="Arial"/>
          <w:color w:val="000000" w:themeColor="text1"/>
          <w:lang w:val="en-GB"/>
        </w:rPr>
        <w:t>μl</w:t>
      </w:r>
      <w:proofErr w:type="spellEnd"/>
      <w:r w:rsidRPr="00C840FC">
        <w:rPr>
          <w:rFonts w:ascii="Arial" w:eastAsiaTheme="minorEastAsia" w:hAnsi="Arial" w:cs="Arial"/>
          <w:color w:val="000000" w:themeColor="text1"/>
          <w:lang w:val="en-GB"/>
        </w:rPr>
        <w:t>/well washing buffer for about 1-2 minutes each time. Tap dry on absorbent paper after washing to remove residual liquid from wells.</w:t>
      </w:r>
    </w:p>
    <w:p w14:paraId="24E83B29"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 xml:space="preserve">2.4. Add 100 </w:t>
      </w:r>
      <w:proofErr w:type="spellStart"/>
      <w:r w:rsidRPr="00C840FC">
        <w:rPr>
          <w:rFonts w:ascii="Arial" w:eastAsiaTheme="minorEastAsia" w:hAnsi="Arial" w:cs="Arial"/>
          <w:color w:val="000000" w:themeColor="text1"/>
          <w:lang w:val="en-GB"/>
        </w:rPr>
        <w:t>μl</w:t>
      </w:r>
      <w:proofErr w:type="spellEnd"/>
      <w:r w:rsidRPr="00C840FC">
        <w:rPr>
          <w:rFonts w:ascii="Arial" w:eastAsiaTheme="minorEastAsia" w:hAnsi="Arial" w:cs="Arial"/>
          <w:color w:val="000000" w:themeColor="text1"/>
          <w:lang w:val="en-GB"/>
        </w:rPr>
        <w:t xml:space="preserve"> of enzyme conjugate working solution per well (prepared within 15 minutes before use), cover the plate with a film, and incubate at 37°C for 30minutes.</w:t>
      </w:r>
    </w:p>
    <w:p w14:paraId="7C3247AB"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2.5. Discard liquid from wells, tap dry, wash the plate five times, using the same method as step2.3</w:t>
      </w:r>
    </w:p>
    <w:p w14:paraId="2FF458AB"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2.6. Add 90μl of substrate solution to each well, cover the plate with a film and incubate at 37°C in the dark for 15 minutes.</w:t>
      </w:r>
    </w:p>
    <w:p w14:paraId="4BFA612D"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2.7. Add 50μl of stop solution to each well to terminate the reaction. At this point, the blue colour will turn yellow.</w:t>
      </w:r>
    </w:p>
    <w:p w14:paraId="5F6ED902"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2.8. Immediately measure the optical density (OD value) of each well at a wavelength of 450nm using an ELISA reader. The instrument should be powered on in advance, preheated, and set up with the appropriate detection program.</w:t>
      </w:r>
    </w:p>
    <w:p w14:paraId="3A87FD84" w14:textId="77777777" w:rsidR="004444BB" w:rsidRPr="00C840FC" w:rsidRDefault="004444BB" w:rsidP="004444BB">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2.9. After completing the experiment, any unused reagents should be stored according to instructions and returned to refrigeration storage.</w:t>
      </w:r>
    </w:p>
    <w:p w14:paraId="2A1AC5BC" w14:textId="6D32E487" w:rsidR="00AF3982" w:rsidRPr="004444BB" w:rsidRDefault="004444BB" w:rsidP="004444BB">
      <w:pPr>
        <w:widowControl/>
        <w:spacing w:line="240" w:lineRule="auto"/>
        <w:jc w:val="left"/>
        <w:rPr>
          <w:rFonts w:ascii="Arial" w:hAnsi="Arial" w:cs="Arial" w:hint="eastAsia"/>
          <w:lang w:val="en-GB"/>
        </w:rPr>
      </w:pPr>
      <w:r>
        <w:rPr>
          <w:rFonts w:ascii="Arial" w:hAnsi="Arial" w:cs="Arial"/>
          <w:lang w:val="en-GB"/>
        </w:rPr>
        <w:br w:type="page"/>
      </w:r>
    </w:p>
    <w:p w14:paraId="7205515B" w14:textId="3578E6DF" w:rsidR="00A16871" w:rsidRPr="00C840FC" w:rsidRDefault="009777EF" w:rsidP="006020A2">
      <w:pPr>
        <w:pStyle w:val="2"/>
        <w:rPr>
          <w:rFonts w:eastAsiaTheme="minorEastAsia"/>
        </w:rPr>
      </w:pPr>
      <w:r w:rsidRPr="00C840FC">
        <w:t xml:space="preserve">SDC </w:t>
      </w:r>
      <w:r w:rsidR="004444BB">
        <w:rPr>
          <w:rFonts w:hint="eastAsia"/>
        </w:rPr>
        <w:t>3</w:t>
      </w:r>
      <w:r w:rsidRPr="00C840FC">
        <w:t>:</w:t>
      </w:r>
      <w:r w:rsidRPr="00C840FC">
        <w:rPr>
          <w:rFonts w:eastAsiaTheme="minorEastAsia"/>
        </w:rPr>
        <w:t xml:space="preserve"> </w:t>
      </w:r>
      <w:r w:rsidR="00797AD8" w:rsidRPr="00C840FC">
        <w:t xml:space="preserve">PASS 15 sample </w:t>
      </w:r>
      <w:r w:rsidR="00DB2CBE" w:rsidRPr="00C840FC">
        <w:t>calculation</w:t>
      </w:r>
    </w:p>
    <w:p w14:paraId="461B7843" w14:textId="0698218D" w:rsidR="00A16871" w:rsidRPr="00C840FC" w:rsidRDefault="00A16871" w:rsidP="00C64C0E">
      <w:pPr>
        <w:spacing w:line="360" w:lineRule="auto"/>
        <w:rPr>
          <w:rFonts w:ascii="Arial" w:eastAsiaTheme="minorEastAsia" w:hAnsi="Arial" w:cs="Arial"/>
          <w:color w:val="000000" w:themeColor="text1"/>
          <w:lang w:val="en-GB"/>
        </w:rPr>
      </w:pPr>
      <w:r w:rsidRPr="00C840FC">
        <w:rPr>
          <w:rFonts w:ascii="Arial" w:hAnsi="Arial" w:cs="Arial"/>
          <w:color w:val="000000" w:themeColor="text1"/>
          <w:lang w:val="en-GB"/>
        </w:rPr>
        <w:t>Tests for Two Means in a Repeated Measures Design</w:t>
      </w:r>
    </w:p>
    <w:p w14:paraId="26E17B82"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Numeric Results</w:t>
      </w:r>
    </w:p>
    <w:p w14:paraId="334BE38C"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Two-Sided Test. Null Hypothesis: D = 0. Alternative Hypothesis: D ≠ 0.</w:t>
      </w:r>
    </w:p>
    <w:p w14:paraId="25D3C6AD" w14:textId="56604922" w:rsidR="00A16871" w:rsidRPr="00C840FC" w:rsidRDefault="00A16871" w:rsidP="00C64C0E">
      <w:pPr>
        <w:spacing w:line="360" w:lineRule="auto"/>
        <w:rPr>
          <w:rFonts w:ascii="Arial" w:eastAsiaTheme="minorEastAsia" w:hAnsi="Arial" w:cs="Arial"/>
          <w:color w:val="000000" w:themeColor="text1"/>
          <w:lang w:val="en-GB"/>
        </w:rPr>
      </w:pPr>
      <w:r w:rsidRPr="00C840FC">
        <w:rPr>
          <w:rFonts w:ascii="Arial" w:hAnsi="Arial" w:cs="Arial"/>
          <w:color w:val="000000" w:themeColor="text1"/>
          <w:lang w:val="en-GB"/>
        </w:rPr>
        <w:t>Covariance Type = Compound Symmetry</w:t>
      </w:r>
    </w:p>
    <w:p w14:paraId="7B1CEC49" w14:textId="27155408" w:rsidR="008B5C3F" w:rsidRPr="00C840FC" w:rsidRDefault="00EE1360" w:rsidP="00C64C0E">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w:t>
      </w:r>
    </w:p>
    <w:p w14:paraId="48799FEF"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Target</w:t>
      </w:r>
      <w:r w:rsidRPr="00C840FC">
        <w:rPr>
          <w:rFonts w:ascii="Arial" w:hAnsi="Arial" w:cs="Arial"/>
          <w:color w:val="000000" w:themeColor="text1"/>
          <w:lang w:val="en-GB"/>
        </w:rPr>
        <w:tab/>
        <w:t>Actual</w:t>
      </w:r>
      <w:r w:rsidRPr="00C840FC">
        <w:rPr>
          <w:rFonts w:ascii="Arial" w:hAnsi="Arial" w:cs="Arial"/>
          <w:color w:val="000000" w:themeColor="text1"/>
          <w:lang w:val="en-GB"/>
        </w:rPr>
        <w:tab/>
      </w:r>
      <w:r w:rsidRPr="00C840FC">
        <w:rPr>
          <w:rFonts w:ascii="Arial" w:hAnsi="Arial" w:cs="Arial"/>
          <w:color w:val="000000" w:themeColor="text1"/>
          <w:lang w:val="en-GB"/>
        </w:rPr>
        <w:tab/>
      </w:r>
      <w:r w:rsidRPr="00C840FC">
        <w:rPr>
          <w:rFonts w:ascii="Arial" w:hAnsi="Arial" w:cs="Arial"/>
          <w:color w:val="000000" w:themeColor="text1"/>
          <w:lang w:val="en-GB"/>
        </w:rPr>
        <w:tab/>
      </w:r>
      <w:r w:rsidRPr="00C840FC">
        <w:rPr>
          <w:rFonts w:ascii="Arial" w:hAnsi="Arial" w:cs="Arial"/>
          <w:color w:val="000000" w:themeColor="text1"/>
          <w:lang w:val="en-GB"/>
        </w:rPr>
        <w:tab/>
      </w:r>
      <w:r w:rsidRPr="00C840FC">
        <w:rPr>
          <w:rFonts w:ascii="Arial" w:hAnsi="Arial" w:cs="Arial"/>
          <w:color w:val="000000" w:themeColor="text1"/>
          <w:lang w:val="en-GB"/>
        </w:rPr>
        <w:tab/>
      </w:r>
      <w:r w:rsidRPr="00C840FC">
        <w:rPr>
          <w:rFonts w:ascii="Arial" w:hAnsi="Arial" w:cs="Arial"/>
          <w:color w:val="000000" w:themeColor="text1"/>
          <w:lang w:val="en-GB"/>
        </w:rPr>
        <w:tab/>
      </w:r>
      <w:r w:rsidRPr="00C840FC">
        <w:rPr>
          <w:rFonts w:ascii="Arial" w:hAnsi="Arial" w:cs="Arial"/>
          <w:color w:val="000000" w:themeColor="text1"/>
          <w:lang w:val="en-GB"/>
        </w:rPr>
        <w:tab/>
      </w:r>
      <w:r w:rsidRPr="00C840FC">
        <w:rPr>
          <w:rFonts w:ascii="Arial" w:hAnsi="Arial" w:cs="Arial"/>
          <w:color w:val="000000" w:themeColor="text1"/>
          <w:lang w:val="en-GB"/>
        </w:rPr>
        <w:tab/>
      </w:r>
    </w:p>
    <w:p w14:paraId="7CF964EE" w14:textId="35F08B9B"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Power</w:t>
      </w:r>
      <w:r w:rsidRPr="00C840FC">
        <w:rPr>
          <w:rFonts w:ascii="Arial" w:hAnsi="Arial" w:cs="Arial"/>
          <w:color w:val="000000" w:themeColor="text1"/>
          <w:lang w:val="en-GB"/>
        </w:rPr>
        <w:tab/>
        <w:t>Power</w:t>
      </w:r>
      <w:r w:rsidRPr="00C840FC">
        <w:rPr>
          <w:rFonts w:ascii="Arial" w:hAnsi="Arial" w:cs="Arial"/>
          <w:color w:val="000000" w:themeColor="text1"/>
          <w:lang w:val="en-GB"/>
        </w:rPr>
        <w:tab/>
        <w:t>N1</w:t>
      </w:r>
      <w:r w:rsidRPr="00C840FC">
        <w:rPr>
          <w:rFonts w:ascii="Arial" w:hAnsi="Arial" w:cs="Arial"/>
          <w:color w:val="000000" w:themeColor="text1"/>
          <w:lang w:val="en-GB"/>
        </w:rPr>
        <w:tab/>
        <w:t>N2</w:t>
      </w:r>
      <w:r w:rsidRPr="00C840FC">
        <w:rPr>
          <w:rFonts w:ascii="Arial" w:hAnsi="Arial" w:cs="Arial"/>
          <w:color w:val="000000" w:themeColor="text1"/>
          <w:lang w:val="en-GB"/>
        </w:rPr>
        <w:tab/>
        <w:t>N</w:t>
      </w:r>
      <w:r w:rsidRPr="00C840FC">
        <w:rPr>
          <w:rFonts w:ascii="Arial" w:hAnsi="Arial" w:cs="Arial"/>
          <w:color w:val="000000" w:themeColor="text1"/>
          <w:lang w:val="en-GB"/>
        </w:rPr>
        <w:tab/>
        <w:t>M</w:t>
      </w:r>
      <w:r w:rsidRPr="00C840FC">
        <w:rPr>
          <w:rFonts w:ascii="Arial" w:hAnsi="Arial" w:cs="Arial"/>
          <w:color w:val="000000" w:themeColor="text1"/>
          <w:lang w:val="en-GB"/>
        </w:rPr>
        <w:tab/>
        <w:t>D1</w:t>
      </w:r>
      <w:r w:rsidRPr="00C840FC">
        <w:rPr>
          <w:rFonts w:ascii="Arial" w:hAnsi="Arial" w:cs="Arial"/>
          <w:color w:val="000000" w:themeColor="text1"/>
          <w:lang w:val="en-GB"/>
        </w:rPr>
        <w:tab/>
      </w:r>
      <w:r w:rsidR="007B4C2B" w:rsidRPr="00C840FC">
        <w:rPr>
          <w:rFonts w:ascii="Arial" w:hAnsi="Arial" w:cs="Arial"/>
          <w:color w:val="000000" w:themeColor="text1"/>
          <w:lang w:val="en-GB"/>
        </w:rPr>
        <w:tab/>
      </w:r>
      <w:r w:rsidRPr="00C840FC">
        <w:rPr>
          <w:rFonts w:ascii="Arial" w:hAnsi="Arial" w:cs="Arial"/>
          <w:color w:val="000000" w:themeColor="text1"/>
          <w:lang w:val="en-GB"/>
        </w:rPr>
        <w:t>Sigma</w:t>
      </w:r>
      <w:r w:rsidRPr="00C840FC">
        <w:rPr>
          <w:rFonts w:ascii="Arial" w:hAnsi="Arial" w:cs="Arial"/>
          <w:color w:val="000000" w:themeColor="text1"/>
          <w:lang w:val="en-GB"/>
        </w:rPr>
        <w:tab/>
        <w:t>Rho</w:t>
      </w:r>
      <w:r w:rsidRPr="00C840FC">
        <w:rPr>
          <w:rFonts w:ascii="Arial" w:hAnsi="Arial" w:cs="Arial"/>
          <w:color w:val="000000" w:themeColor="text1"/>
          <w:lang w:val="en-GB"/>
        </w:rPr>
        <w:tab/>
      </w:r>
      <w:r w:rsidR="007B4C2B" w:rsidRPr="00C840FC">
        <w:rPr>
          <w:rFonts w:ascii="Arial" w:hAnsi="Arial" w:cs="Arial"/>
          <w:color w:val="000000" w:themeColor="text1"/>
          <w:lang w:val="en-GB"/>
        </w:rPr>
        <w:tab/>
      </w:r>
      <w:r w:rsidRPr="00C840FC">
        <w:rPr>
          <w:rFonts w:ascii="Arial" w:hAnsi="Arial" w:cs="Arial"/>
          <w:color w:val="000000" w:themeColor="text1"/>
          <w:lang w:val="en-GB"/>
        </w:rPr>
        <w:t>Alpha</w:t>
      </w:r>
    </w:p>
    <w:p w14:paraId="06A2038A"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0.90</w:t>
      </w:r>
      <w:r w:rsidRPr="00C840FC">
        <w:rPr>
          <w:rFonts w:ascii="Arial" w:hAnsi="Arial" w:cs="Arial"/>
          <w:color w:val="000000" w:themeColor="text1"/>
          <w:lang w:val="en-GB"/>
        </w:rPr>
        <w:tab/>
        <w:t>0.91035</w:t>
      </w:r>
      <w:r w:rsidRPr="00C840FC">
        <w:rPr>
          <w:rFonts w:ascii="Arial" w:hAnsi="Arial" w:cs="Arial"/>
          <w:color w:val="000000" w:themeColor="text1"/>
          <w:lang w:val="en-GB"/>
        </w:rPr>
        <w:tab/>
        <w:t>27</w:t>
      </w:r>
      <w:r w:rsidRPr="00C840FC">
        <w:rPr>
          <w:rFonts w:ascii="Arial" w:hAnsi="Arial" w:cs="Arial"/>
          <w:color w:val="000000" w:themeColor="text1"/>
          <w:lang w:val="en-GB"/>
        </w:rPr>
        <w:tab/>
        <w:t>27</w:t>
      </w:r>
      <w:r w:rsidRPr="00C840FC">
        <w:rPr>
          <w:rFonts w:ascii="Arial" w:hAnsi="Arial" w:cs="Arial"/>
          <w:color w:val="000000" w:themeColor="text1"/>
          <w:lang w:val="en-GB"/>
        </w:rPr>
        <w:tab/>
        <w:t>54</w:t>
      </w:r>
      <w:r w:rsidRPr="00C840FC">
        <w:rPr>
          <w:rFonts w:ascii="Arial" w:hAnsi="Arial" w:cs="Arial"/>
          <w:color w:val="000000" w:themeColor="text1"/>
          <w:lang w:val="en-GB"/>
        </w:rPr>
        <w:tab/>
        <w:t>4</w:t>
      </w:r>
      <w:r w:rsidRPr="00C840FC">
        <w:rPr>
          <w:rFonts w:ascii="Arial" w:hAnsi="Arial" w:cs="Arial"/>
          <w:color w:val="000000" w:themeColor="text1"/>
          <w:lang w:val="en-GB"/>
        </w:rPr>
        <w:tab/>
        <w:t>60.000</w:t>
      </w:r>
      <w:r w:rsidRPr="00C840FC">
        <w:rPr>
          <w:rFonts w:ascii="Arial" w:hAnsi="Arial" w:cs="Arial"/>
          <w:color w:val="000000" w:themeColor="text1"/>
          <w:lang w:val="en-GB"/>
        </w:rPr>
        <w:tab/>
        <w:t>90.000</w:t>
      </w:r>
      <w:r w:rsidRPr="00C840FC">
        <w:rPr>
          <w:rFonts w:ascii="Arial" w:hAnsi="Arial" w:cs="Arial"/>
          <w:color w:val="000000" w:themeColor="text1"/>
          <w:lang w:val="en-GB"/>
        </w:rPr>
        <w:tab/>
        <w:t>0.400</w:t>
      </w:r>
      <w:r w:rsidRPr="00C840FC">
        <w:rPr>
          <w:rFonts w:ascii="Arial" w:hAnsi="Arial" w:cs="Arial"/>
          <w:color w:val="000000" w:themeColor="text1"/>
          <w:lang w:val="en-GB"/>
        </w:rPr>
        <w:tab/>
        <w:t>0.050</w:t>
      </w:r>
    </w:p>
    <w:p w14:paraId="106E6907"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0.90</w:t>
      </w:r>
      <w:r w:rsidRPr="00C840FC">
        <w:rPr>
          <w:rFonts w:ascii="Arial" w:hAnsi="Arial" w:cs="Arial"/>
          <w:color w:val="000000" w:themeColor="text1"/>
          <w:lang w:val="en-GB"/>
        </w:rPr>
        <w:tab/>
        <w:t>0.91035</w:t>
      </w:r>
      <w:r w:rsidRPr="00C840FC">
        <w:rPr>
          <w:rFonts w:ascii="Arial" w:hAnsi="Arial" w:cs="Arial"/>
          <w:color w:val="000000" w:themeColor="text1"/>
          <w:lang w:val="en-GB"/>
        </w:rPr>
        <w:tab/>
        <w:t>12</w:t>
      </w:r>
      <w:r w:rsidRPr="00C840FC">
        <w:rPr>
          <w:rFonts w:ascii="Arial" w:hAnsi="Arial" w:cs="Arial"/>
          <w:color w:val="000000" w:themeColor="text1"/>
          <w:lang w:val="en-GB"/>
        </w:rPr>
        <w:tab/>
        <w:t>12</w:t>
      </w:r>
      <w:r w:rsidRPr="00C840FC">
        <w:rPr>
          <w:rFonts w:ascii="Arial" w:hAnsi="Arial" w:cs="Arial"/>
          <w:color w:val="000000" w:themeColor="text1"/>
          <w:lang w:val="en-GB"/>
        </w:rPr>
        <w:tab/>
        <w:t>24</w:t>
      </w:r>
      <w:r w:rsidRPr="00C840FC">
        <w:rPr>
          <w:rFonts w:ascii="Arial" w:hAnsi="Arial" w:cs="Arial"/>
          <w:color w:val="000000" w:themeColor="text1"/>
          <w:lang w:val="en-GB"/>
        </w:rPr>
        <w:tab/>
        <w:t>4</w:t>
      </w:r>
      <w:r w:rsidRPr="00C840FC">
        <w:rPr>
          <w:rFonts w:ascii="Arial" w:hAnsi="Arial" w:cs="Arial"/>
          <w:color w:val="000000" w:themeColor="text1"/>
          <w:lang w:val="en-GB"/>
        </w:rPr>
        <w:tab/>
        <w:t>90.000</w:t>
      </w:r>
      <w:r w:rsidRPr="00C840FC">
        <w:rPr>
          <w:rFonts w:ascii="Arial" w:hAnsi="Arial" w:cs="Arial"/>
          <w:color w:val="000000" w:themeColor="text1"/>
          <w:lang w:val="en-GB"/>
        </w:rPr>
        <w:tab/>
        <w:t>90.000</w:t>
      </w:r>
      <w:r w:rsidRPr="00C840FC">
        <w:rPr>
          <w:rFonts w:ascii="Arial" w:hAnsi="Arial" w:cs="Arial"/>
          <w:color w:val="000000" w:themeColor="text1"/>
          <w:lang w:val="en-GB"/>
        </w:rPr>
        <w:tab/>
        <w:t>0.400</w:t>
      </w:r>
      <w:r w:rsidRPr="00C840FC">
        <w:rPr>
          <w:rFonts w:ascii="Arial" w:hAnsi="Arial" w:cs="Arial"/>
          <w:color w:val="000000" w:themeColor="text1"/>
          <w:lang w:val="en-GB"/>
        </w:rPr>
        <w:tab/>
        <w:t>0.050</w:t>
      </w:r>
    </w:p>
    <w:p w14:paraId="76BFE53E"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0.90</w:t>
      </w:r>
      <w:r w:rsidRPr="00C840FC">
        <w:rPr>
          <w:rFonts w:ascii="Arial" w:hAnsi="Arial" w:cs="Arial"/>
          <w:color w:val="000000" w:themeColor="text1"/>
          <w:lang w:val="en-GB"/>
        </w:rPr>
        <w:tab/>
        <w:t>0.99958</w:t>
      </w:r>
      <w:r w:rsidRPr="00C840FC">
        <w:rPr>
          <w:rFonts w:ascii="Arial" w:hAnsi="Arial" w:cs="Arial"/>
          <w:color w:val="000000" w:themeColor="text1"/>
          <w:lang w:val="en-GB"/>
        </w:rPr>
        <w:tab/>
        <w:t>1</w:t>
      </w:r>
      <w:r w:rsidRPr="00C840FC">
        <w:rPr>
          <w:rFonts w:ascii="Arial" w:hAnsi="Arial" w:cs="Arial"/>
          <w:color w:val="000000" w:themeColor="text1"/>
          <w:lang w:val="en-GB"/>
        </w:rPr>
        <w:tab/>
        <w:t>1</w:t>
      </w:r>
      <w:r w:rsidRPr="00C840FC">
        <w:rPr>
          <w:rFonts w:ascii="Arial" w:hAnsi="Arial" w:cs="Arial"/>
          <w:color w:val="000000" w:themeColor="text1"/>
          <w:lang w:val="en-GB"/>
        </w:rPr>
        <w:tab/>
        <w:t>2</w:t>
      </w:r>
      <w:r w:rsidRPr="00C840FC">
        <w:rPr>
          <w:rFonts w:ascii="Arial" w:hAnsi="Arial" w:cs="Arial"/>
          <w:color w:val="000000" w:themeColor="text1"/>
          <w:lang w:val="en-GB"/>
        </w:rPr>
        <w:tab/>
        <w:t>4</w:t>
      </w:r>
      <w:r w:rsidRPr="00C840FC">
        <w:rPr>
          <w:rFonts w:ascii="Arial" w:hAnsi="Arial" w:cs="Arial"/>
          <w:color w:val="000000" w:themeColor="text1"/>
          <w:lang w:val="en-GB"/>
        </w:rPr>
        <w:tab/>
        <w:t>500.000</w:t>
      </w:r>
      <w:r w:rsidRPr="00C840FC">
        <w:rPr>
          <w:rFonts w:ascii="Arial" w:hAnsi="Arial" w:cs="Arial"/>
          <w:color w:val="000000" w:themeColor="text1"/>
          <w:lang w:val="en-GB"/>
        </w:rPr>
        <w:tab/>
        <w:t>90.000</w:t>
      </w:r>
      <w:r w:rsidRPr="00C840FC">
        <w:rPr>
          <w:rFonts w:ascii="Arial" w:hAnsi="Arial" w:cs="Arial"/>
          <w:color w:val="000000" w:themeColor="text1"/>
          <w:lang w:val="en-GB"/>
        </w:rPr>
        <w:tab/>
        <w:t>0.400</w:t>
      </w:r>
      <w:r w:rsidRPr="00C840FC">
        <w:rPr>
          <w:rFonts w:ascii="Arial" w:hAnsi="Arial" w:cs="Arial"/>
          <w:color w:val="000000" w:themeColor="text1"/>
          <w:lang w:val="en-GB"/>
        </w:rPr>
        <w:tab/>
        <w:t>0.050</w:t>
      </w:r>
    </w:p>
    <w:p w14:paraId="3ACA621A" w14:textId="65F7445A" w:rsidR="00A16871" w:rsidRPr="00C840FC" w:rsidRDefault="00EE1360" w:rsidP="00C64C0E">
      <w:pPr>
        <w:spacing w:line="360" w:lineRule="auto"/>
        <w:rPr>
          <w:rFonts w:ascii="Arial" w:eastAsiaTheme="minorEastAsia" w:hAnsi="Arial" w:cs="Arial"/>
          <w:color w:val="000000" w:themeColor="text1"/>
          <w:lang w:val="en-GB"/>
        </w:rPr>
      </w:pPr>
      <w:r w:rsidRPr="00C840FC">
        <w:rPr>
          <w:rFonts w:ascii="Arial" w:eastAsiaTheme="minorEastAsia" w:hAnsi="Arial" w:cs="Arial"/>
          <w:color w:val="000000" w:themeColor="text1"/>
          <w:lang w:val="en-GB"/>
        </w:rPr>
        <w:t>---</w:t>
      </w:r>
    </w:p>
    <w:p w14:paraId="01224C8D"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References</w:t>
      </w:r>
    </w:p>
    <w:p w14:paraId="1BDF6D2E"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Brown, H. and Prescott, R., 2006. Applied Mixed Models in Medicine. 2nd ed. John Wiley &amp; Sons Ltd. Chichester,</w:t>
      </w:r>
    </w:p>
    <w:p w14:paraId="656C3AC7"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 xml:space="preserve">   West Sussex, England. Chapter 6.</w:t>
      </w:r>
    </w:p>
    <w:p w14:paraId="0417CB10"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Liu, H. and Wu, T., 2005. 'Sample Size Calculation and Power Analysis of Time-Averaged Difference.' Journal of</w:t>
      </w:r>
    </w:p>
    <w:p w14:paraId="1FD5C9AE"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 xml:space="preserve">   Modern Applied Statistical Methods, Vol. 4, No. 2, pages 434-445.</w:t>
      </w:r>
    </w:p>
    <w:p w14:paraId="67A6D9C5" w14:textId="5D8439FB"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 xml:space="preserve">Diggle, P.J., Liang, K.Y., and </w:t>
      </w:r>
      <w:r w:rsidR="00250C3D" w:rsidRPr="00C840FC">
        <w:rPr>
          <w:rFonts w:ascii="Arial" w:hAnsi="Arial" w:cs="Arial"/>
          <w:color w:val="000000" w:themeColor="text1"/>
          <w:lang w:val="en-GB"/>
        </w:rPr>
        <w:t>Zager</w:t>
      </w:r>
      <w:r w:rsidRPr="00C840FC">
        <w:rPr>
          <w:rFonts w:ascii="Arial" w:hAnsi="Arial" w:cs="Arial"/>
          <w:color w:val="000000" w:themeColor="text1"/>
          <w:lang w:val="en-GB"/>
        </w:rPr>
        <w:t>, S.L., 1994. Analysis of Longitudinal Data. Oxford University Press. New</w:t>
      </w:r>
    </w:p>
    <w:p w14:paraId="06FD584D"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 xml:space="preserve">   York, New York. Chapter 2.</w:t>
      </w:r>
    </w:p>
    <w:p w14:paraId="40312D82" w14:textId="77777777" w:rsidR="00A16871" w:rsidRPr="00C840FC" w:rsidRDefault="00A16871" w:rsidP="00C64C0E">
      <w:pPr>
        <w:spacing w:line="360" w:lineRule="auto"/>
        <w:rPr>
          <w:rFonts w:ascii="Arial" w:hAnsi="Arial" w:cs="Arial"/>
          <w:color w:val="000000" w:themeColor="text1"/>
          <w:lang w:val="en-GB"/>
        </w:rPr>
      </w:pPr>
    </w:p>
    <w:p w14:paraId="39AB9C29"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Report Definitions</w:t>
      </w:r>
    </w:p>
    <w:p w14:paraId="1D14E95B" w14:textId="3AB41C8D"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 xml:space="preserve">Target Power is the desired power value (or values) entered in the procedure. </w:t>
      </w:r>
      <w:r w:rsidRPr="00C840FC">
        <w:rPr>
          <w:rFonts w:ascii="Arial" w:hAnsi="Arial" w:cs="Arial"/>
          <w:color w:val="000000" w:themeColor="text1"/>
          <w:lang w:val="en-GB"/>
        </w:rPr>
        <w:lastRenderedPageBreak/>
        <w:t>Power is the probability of</w:t>
      </w:r>
      <w:r w:rsidR="008B5C3F" w:rsidRPr="00C840FC">
        <w:rPr>
          <w:rFonts w:ascii="Arial" w:eastAsiaTheme="minorEastAsia" w:hAnsi="Arial" w:cs="Arial"/>
          <w:color w:val="000000" w:themeColor="text1"/>
          <w:lang w:val="en-GB"/>
        </w:rPr>
        <w:t xml:space="preserve"> </w:t>
      </w:r>
      <w:r w:rsidRPr="00C840FC">
        <w:rPr>
          <w:rFonts w:ascii="Arial" w:hAnsi="Arial" w:cs="Arial"/>
          <w:color w:val="000000" w:themeColor="text1"/>
          <w:lang w:val="en-GB"/>
        </w:rPr>
        <w:t>rejecting a false null hypothesis.</w:t>
      </w:r>
    </w:p>
    <w:p w14:paraId="7AFD3062" w14:textId="4E0FC420"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Actual Power is the power obtained in this scenario. Because N1 and N2 are discrete, this value is often</w:t>
      </w:r>
      <w:r w:rsidR="008B5C3F" w:rsidRPr="00C840FC">
        <w:rPr>
          <w:rFonts w:ascii="Arial" w:eastAsiaTheme="minorEastAsia" w:hAnsi="Arial" w:cs="Arial"/>
          <w:color w:val="000000" w:themeColor="text1"/>
          <w:lang w:val="en-GB"/>
        </w:rPr>
        <w:t xml:space="preserve"> </w:t>
      </w:r>
      <w:r w:rsidRPr="00C840FC">
        <w:rPr>
          <w:rFonts w:ascii="Arial" w:hAnsi="Arial" w:cs="Arial"/>
          <w:color w:val="000000" w:themeColor="text1"/>
          <w:lang w:val="en-GB"/>
        </w:rPr>
        <w:t>(slightly) larger than the target power.</w:t>
      </w:r>
    </w:p>
    <w:p w14:paraId="5E36201A"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N1 and N2 are the number of items sampled from each population.</w:t>
      </w:r>
    </w:p>
    <w:p w14:paraId="5D7A7310"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N is the total sample size, N1 + N2.</w:t>
      </w:r>
    </w:p>
    <w:p w14:paraId="3D9D230D"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M is the number of time points (repeated measurements) at which each subject is observed.</w:t>
      </w:r>
    </w:p>
    <w:p w14:paraId="50567553"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D1 is the difference between the means of groups 1 and 2 under the alternative hypothesis.</w:t>
      </w:r>
    </w:p>
    <w:p w14:paraId="691091B5" w14:textId="27EDE1EE"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Sigma is the standard deviation of a single observation. It is the same for both groups. Rho is the</w:t>
      </w:r>
      <w:r w:rsidR="008B5C3F" w:rsidRPr="00C840FC">
        <w:rPr>
          <w:rFonts w:ascii="Arial" w:eastAsiaTheme="minorEastAsia" w:hAnsi="Arial" w:cs="Arial"/>
          <w:color w:val="000000" w:themeColor="text1"/>
          <w:lang w:val="en-GB"/>
        </w:rPr>
        <w:t xml:space="preserve"> </w:t>
      </w:r>
      <w:r w:rsidRPr="00C840FC">
        <w:rPr>
          <w:rFonts w:ascii="Arial" w:hAnsi="Arial" w:cs="Arial"/>
          <w:color w:val="000000" w:themeColor="text1"/>
          <w:lang w:val="en-GB"/>
        </w:rPr>
        <w:t>correlation between observations on the same subject.</w:t>
      </w:r>
    </w:p>
    <w:p w14:paraId="3BB2C6E3"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Alpha is the probability of rejecting a true null hypothesis.</w:t>
      </w:r>
    </w:p>
    <w:p w14:paraId="5484CF26" w14:textId="77777777" w:rsidR="00A16871" w:rsidRPr="00C840FC" w:rsidRDefault="00A16871" w:rsidP="00C64C0E">
      <w:pPr>
        <w:spacing w:line="360" w:lineRule="auto"/>
        <w:rPr>
          <w:rFonts w:ascii="Arial" w:hAnsi="Arial" w:cs="Arial"/>
          <w:color w:val="000000" w:themeColor="text1"/>
          <w:lang w:val="en-GB"/>
        </w:rPr>
      </w:pPr>
    </w:p>
    <w:p w14:paraId="060BD919" w14:textId="77777777"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Summary Statements</w:t>
      </w:r>
    </w:p>
    <w:p w14:paraId="0C884FAA" w14:textId="0008A76A" w:rsidR="00A16871" w:rsidRPr="00C840FC" w:rsidRDefault="00A16871" w:rsidP="00C64C0E">
      <w:pPr>
        <w:spacing w:line="360" w:lineRule="auto"/>
        <w:rPr>
          <w:rFonts w:ascii="Arial" w:hAnsi="Arial" w:cs="Arial"/>
          <w:color w:val="000000" w:themeColor="text1"/>
          <w:lang w:val="en-GB"/>
        </w:rPr>
      </w:pPr>
      <w:r w:rsidRPr="00C840FC">
        <w:rPr>
          <w:rFonts w:ascii="Arial" w:hAnsi="Arial" w:cs="Arial"/>
          <w:color w:val="000000" w:themeColor="text1"/>
          <w:lang w:val="en-GB"/>
        </w:rPr>
        <w:t>Group sample sizes of 27 and 27 achieve 91% power to detect a difference of 60.000 in a design</w:t>
      </w:r>
      <w:r w:rsidR="008B5C3F" w:rsidRPr="00C840FC">
        <w:rPr>
          <w:rFonts w:ascii="Arial" w:hAnsi="Arial" w:cs="Arial"/>
          <w:color w:val="000000" w:themeColor="text1"/>
          <w:lang w:val="en-GB"/>
        </w:rPr>
        <w:t xml:space="preserve"> </w:t>
      </w:r>
      <w:r w:rsidRPr="00C840FC">
        <w:rPr>
          <w:rFonts w:ascii="Arial" w:hAnsi="Arial" w:cs="Arial"/>
          <w:color w:val="000000" w:themeColor="text1"/>
          <w:lang w:val="en-GB"/>
        </w:rPr>
        <w:t>with 4 repeated measurements having a Compound Symmetry covariance structure when the standard</w:t>
      </w:r>
      <w:r w:rsidR="008B5C3F" w:rsidRPr="00C840FC">
        <w:rPr>
          <w:rFonts w:ascii="Arial" w:hAnsi="Arial" w:cs="Arial"/>
          <w:color w:val="000000" w:themeColor="text1"/>
          <w:lang w:val="en-GB"/>
        </w:rPr>
        <w:t xml:space="preserve"> </w:t>
      </w:r>
      <w:r w:rsidRPr="00C840FC">
        <w:rPr>
          <w:rFonts w:ascii="Arial" w:hAnsi="Arial" w:cs="Arial"/>
          <w:color w:val="000000" w:themeColor="text1"/>
          <w:lang w:val="en-GB"/>
        </w:rPr>
        <w:t>deviation is 90.000, the correlation between observations on the same subject is 0.400, and the</w:t>
      </w:r>
      <w:r w:rsidR="008B5C3F" w:rsidRPr="00C840FC">
        <w:rPr>
          <w:rFonts w:ascii="Arial" w:hAnsi="Arial" w:cs="Arial"/>
          <w:color w:val="000000" w:themeColor="text1"/>
          <w:lang w:val="en-GB"/>
        </w:rPr>
        <w:t xml:space="preserve"> </w:t>
      </w:r>
      <w:r w:rsidRPr="00C840FC">
        <w:rPr>
          <w:rFonts w:ascii="Arial" w:hAnsi="Arial" w:cs="Arial"/>
          <w:color w:val="000000" w:themeColor="text1"/>
          <w:lang w:val="en-GB"/>
        </w:rPr>
        <w:t>alpha level is 0.050.</w:t>
      </w:r>
    </w:p>
    <w:p w14:paraId="531A3262" w14:textId="12C360ED" w:rsidR="0041236D" w:rsidRPr="00720073" w:rsidRDefault="00797AD8" w:rsidP="00720073">
      <w:pPr>
        <w:spacing w:line="360" w:lineRule="auto"/>
        <w:rPr>
          <w:rFonts w:ascii="Arial" w:eastAsiaTheme="minorEastAsia" w:hAnsi="Arial" w:cs="Arial"/>
          <w:lang w:val="en-GB"/>
        </w:rPr>
      </w:pPr>
      <w:r w:rsidRPr="00C840FC">
        <w:rPr>
          <w:rFonts w:ascii="Arial" w:eastAsiaTheme="minorEastAsia" w:hAnsi="Arial" w:cs="Arial"/>
          <w:lang w:val="en-GB"/>
        </w:rPr>
        <w:br w:type="page"/>
      </w:r>
    </w:p>
    <w:p w14:paraId="6B4ED895" w14:textId="0D6CF4ED" w:rsidR="00BE3EA9" w:rsidRPr="00F048EC" w:rsidRDefault="00F048EC" w:rsidP="006526CB">
      <w:pPr>
        <w:pStyle w:val="2"/>
      </w:pPr>
      <w:r w:rsidRPr="00F048EC">
        <w:t>Table S</w:t>
      </w:r>
      <w:r w:rsidR="00720073">
        <w:rPr>
          <w:rFonts w:hint="eastAsia"/>
        </w:rPr>
        <w:t>1</w:t>
      </w:r>
      <w:r w:rsidRPr="00F048EC">
        <w:t>: Definition</w:t>
      </w:r>
      <w:r w:rsidR="006A664A" w:rsidRPr="00F048EC">
        <w:t xml:space="preserve"> and description of variables in the study</w:t>
      </w:r>
    </w:p>
    <w:tbl>
      <w:tblPr>
        <w:tblStyle w:val="a8"/>
        <w:tblW w:w="8586" w:type="dxa"/>
        <w:tblLook w:val="04A0" w:firstRow="1" w:lastRow="0" w:firstColumn="1" w:lastColumn="0" w:noHBand="0" w:noVBand="1"/>
      </w:tblPr>
      <w:tblGrid>
        <w:gridCol w:w="1729"/>
        <w:gridCol w:w="5173"/>
        <w:gridCol w:w="1684"/>
      </w:tblGrid>
      <w:tr w:rsidR="00B8249D" w14:paraId="74613646" w14:textId="77777777" w:rsidTr="004A6692">
        <w:trPr>
          <w:trHeight w:val="511"/>
        </w:trPr>
        <w:tc>
          <w:tcPr>
            <w:tcW w:w="1729" w:type="dxa"/>
          </w:tcPr>
          <w:p w14:paraId="1CC3F5DD" w14:textId="04544B4F" w:rsidR="00B8249D" w:rsidRPr="00141FAC" w:rsidRDefault="005C3839" w:rsidP="005848C1">
            <w:pPr>
              <w:spacing w:line="360" w:lineRule="auto"/>
              <w:rPr>
                <w:rFonts w:ascii="Arial" w:eastAsiaTheme="minorEastAsia" w:hAnsi="Arial" w:cs="Arial"/>
                <w:color w:val="000000" w:themeColor="text1"/>
                <w:lang w:val="en-GB"/>
              </w:rPr>
            </w:pPr>
            <w:r>
              <w:rPr>
                <w:rFonts w:ascii="Arial" w:eastAsiaTheme="minorEastAsia" w:hAnsi="Arial" w:cs="Arial" w:hint="eastAsia"/>
                <w:color w:val="000000" w:themeColor="text1"/>
                <w:lang w:val="en-GB"/>
              </w:rPr>
              <w:t>V</w:t>
            </w:r>
            <w:r w:rsidR="00B8249D" w:rsidRPr="00141FAC">
              <w:rPr>
                <w:rFonts w:ascii="Arial" w:eastAsiaTheme="minorEastAsia" w:hAnsi="Arial" w:cs="Arial"/>
                <w:color w:val="000000" w:themeColor="text1"/>
                <w:lang w:val="en-GB"/>
              </w:rPr>
              <w:t>ariables</w:t>
            </w:r>
          </w:p>
        </w:tc>
        <w:tc>
          <w:tcPr>
            <w:tcW w:w="5173" w:type="dxa"/>
          </w:tcPr>
          <w:p w14:paraId="24BBD490" w14:textId="4FB1EF07" w:rsidR="00B8249D" w:rsidRPr="00141FAC" w:rsidRDefault="00B8249D" w:rsidP="005848C1">
            <w:pPr>
              <w:spacing w:line="360" w:lineRule="auto"/>
              <w:rPr>
                <w:rFonts w:ascii="Arial" w:eastAsiaTheme="minorEastAsia" w:hAnsi="Arial" w:cs="Arial"/>
                <w:color w:val="000000" w:themeColor="text1"/>
                <w:lang w:val="en-GB"/>
              </w:rPr>
            </w:pPr>
            <w:r w:rsidRPr="00141FAC">
              <w:rPr>
                <w:rFonts w:ascii="Arial" w:eastAsiaTheme="minorEastAsia" w:hAnsi="Arial" w:cs="Arial"/>
                <w:color w:val="000000" w:themeColor="text1"/>
                <w:lang w:val="en-GB"/>
              </w:rPr>
              <w:t>Definition</w:t>
            </w:r>
          </w:p>
        </w:tc>
        <w:tc>
          <w:tcPr>
            <w:tcW w:w="1684" w:type="dxa"/>
          </w:tcPr>
          <w:p w14:paraId="3CFDEC5B" w14:textId="4B10A94A" w:rsidR="00B8249D" w:rsidRPr="00DB0E89" w:rsidRDefault="00B8249D" w:rsidP="005848C1">
            <w:pPr>
              <w:spacing w:line="360" w:lineRule="auto"/>
              <w:rPr>
                <w:rFonts w:ascii="Arial" w:eastAsiaTheme="minorEastAsia" w:hAnsi="Arial" w:cs="Arial"/>
                <w:color w:val="000000" w:themeColor="text1"/>
                <w:lang w:val="en-GB"/>
              </w:rPr>
            </w:pPr>
            <w:r w:rsidRPr="00DB0E89">
              <w:rPr>
                <w:rFonts w:ascii="Arial" w:eastAsiaTheme="minorEastAsia" w:hAnsi="Arial" w:cs="Arial"/>
                <w:color w:val="000000" w:themeColor="text1"/>
                <w:lang w:val="en-GB"/>
              </w:rPr>
              <w:t>Time point</w:t>
            </w:r>
          </w:p>
        </w:tc>
      </w:tr>
      <w:tr w:rsidR="00B8249D" w14:paraId="30CBB46A" w14:textId="77777777" w:rsidTr="004A6692">
        <w:trPr>
          <w:trHeight w:val="1678"/>
        </w:trPr>
        <w:tc>
          <w:tcPr>
            <w:tcW w:w="1729" w:type="dxa"/>
          </w:tcPr>
          <w:p w14:paraId="506C05C1" w14:textId="0ADC945F" w:rsidR="00B8249D" w:rsidRPr="004558DC" w:rsidRDefault="00B8249D" w:rsidP="005848C1">
            <w:pPr>
              <w:spacing w:line="360" w:lineRule="auto"/>
              <w:rPr>
                <w:rFonts w:ascii="Arial" w:eastAsiaTheme="minorEastAsia" w:hAnsi="Arial" w:cs="Arial"/>
                <w:color w:val="000000" w:themeColor="text1"/>
                <w:lang w:val="en-GB"/>
              </w:rPr>
            </w:pPr>
            <w:r w:rsidRPr="004558DC">
              <w:rPr>
                <w:rFonts w:ascii="Arial" w:eastAsiaTheme="minorEastAsia" w:hAnsi="Arial" w:cs="Arial"/>
                <w:color w:val="000000" w:themeColor="text1"/>
                <w:lang w:val="en-GB"/>
              </w:rPr>
              <w:t>S</w:t>
            </w:r>
            <w:r w:rsidRPr="004558DC">
              <w:rPr>
                <w:rFonts w:ascii="Arial" w:eastAsiaTheme="minorEastAsia" w:hAnsi="Arial" w:cs="Arial" w:hint="eastAsia"/>
                <w:color w:val="000000" w:themeColor="text1"/>
                <w:lang w:val="en-GB"/>
              </w:rPr>
              <w:t>ex</w:t>
            </w:r>
          </w:p>
        </w:tc>
        <w:tc>
          <w:tcPr>
            <w:tcW w:w="5173" w:type="dxa"/>
          </w:tcPr>
          <w:p w14:paraId="5B258D5C" w14:textId="01F9CEC0" w:rsidR="00B8249D" w:rsidRPr="00AB7D50" w:rsidRDefault="00B8249D" w:rsidP="005848C1">
            <w:pPr>
              <w:spacing w:line="360" w:lineRule="auto"/>
              <w:rPr>
                <w:rFonts w:ascii="Arial" w:eastAsiaTheme="minorEastAsia" w:hAnsi="Arial" w:cs="Arial"/>
                <w:color w:val="000000" w:themeColor="text1"/>
              </w:rPr>
            </w:pPr>
            <w:r w:rsidRPr="00AB7D50">
              <w:rPr>
                <w:rFonts w:ascii="Arial" w:eastAsiaTheme="minorEastAsia" w:hAnsi="Arial" w:cs="Arial"/>
                <w:color w:val="000000" w:themeColor="text1"/>
              </w:rPr>
              <w:t>Individuals are classified as female or male based on a series of biological features and the information on their identification card.</w:t>
            </w:r>
          </w:p>
        </w:tc>
        <w:tc>
          <w:tcPr>
            <w:tcW w:w="1684" w:type="dxa"/>
          </w:tcPr>
          <w:p w14:paraId="67A14472" w14:textId="70703AA1" w:rsidR="00B8249D" w:rsidRPr="00B677DB" w:rsidRDefault="00B8249D" w:rsidP="005848C1">
            <w:pPr>
              <w:spacing w:line="360" w:lineRule="auto"/>
              <w:rPr>
                <w:rFonts w:ascii="Arial" w:eastAsiaTheme="minorEastAsia" w:hAnsi="Arial" w:cs="Arial"/>
                <w:color w:val="000000" w:themeColor="text1"/>
                <w:lang w:val="en-GB"/>
              </w:rPr>
            </w:pPr>
            <w:r w:rsidRPr="00B677DB">
              <w:rPr>
                <w:rFonts w:ascii="Arial" w:eastAsiaTheme="minorEastAsia" w:hAnsi="Arial" w:cs="Arial"/>
                <w:color w:val="000000" w:themeColor="text1"/>
                <w:lang w:val="en-GB"/>
              </w:rPr>
              <w:t>Preoperative</w:t>
            </w:r>
          </w:p>
        </w:tc>
      </w:tr>
      <w:tr w:rsidR="00B8249D" w14:paraId="506DADC1" w14:textId="77777777" w:rsidTr="004A6692">
        <w:trPr>
          <w:trHeight w:val="1120"/>
        </w:trPr>
        <w:tc>
          <w:tcPr>
            <w:tcW w:w="1729" w:type="dxa"/>
          </w:tcPr>
          <w:p w14:paraId="11D508AC" w14:textId="6424DFE8" w:rsidR="00B8249D" w:rsidRPr="004558DC" w:rsidRDefault="00B8249D" w:rsidP="005848C1">
            <w:pPr>
              <w:spacing w:line="360" w:lineRule="auto"/>
              <w:rPr>
                <w:rFonts w:ascii="Arial" w:eastAsiaTheme="minorEastAsia" w:hAnsi="Arial" w:cs="Arial"/>
                <w:color w:val="000000" w:themeColor="text1"/>
                <w:lang w:val="en-GB"/>
              </w:rPr>
            </w:pPr>
            <w:r w:rsidRPr="004558DC">
              <w:rPr>
                <w:rFonts w:ascii="Arial" w:eastAsiaTheme="minorEastAsia" w:hAnsi="Arial" w:cs="Arial" w:hint="eastAsia"/>
                <w:color w:val="000000" w:themeColor="text1"/>
                <w:lang w:val="en-GB"/>
              </w:rPr>
              <w:t>A</w:t>
            </w:r>
            <w:r>
              <w:rPr>
                <w:rFonts w:ascii="Arial" w:eastAsiaTheme="minorEastAsia" w:hAnsi="Arial" w:cs="Arial"/>
                <w:color w:val="000000" w:themeColor="text1"/>
                <w:lang w:val="en-GB"/>
              </w:rPr>
              <w:t>ge</w:t>
            </w:r>
          </w:p>
        </w:tc>
        <w:tc>
          <w:tcPr>
            <w:tcW w:w="5173" w:type="dxa"/>
          </w:tcPr>
          <w:p w14:paraId="34BA70DF" w14:textId="0E8CF752" w:rsidR="00B8249D" w:rsidRPr="005C2C44" w:rsidRDefault="00B8249D" w:rsidP="005848C1">
            <w:pPr>
              <w:spacing w:line="360" w:lineRule="auto"/>
              <w:rPr>
                <w:rFonts w:ascii="Arial" w:eastAsiaTheme="minorEastAsia" w:hAnsi="Arial" w:cs="Arial"/>
                <w:color w:val="000000" w:themeColor="text1"/>
              </w:rPr>
            </w:pPr>
            <w:r w:rsidRPr="005C2C44">
              <w:rPr>
                <w:rFonts w:ascii="Arial" w:eastAsiaTheme="minorEastAsia" w:hAnsi="Arial" w:cs="Arial"/>
                <w:color w:val="000000" w:themeColor="text1"/>
              </w:rPr>
              <w:t>Participants' actual age at the time of study enrollment is calculated in complete years.</w:t>
            </w:r>
          </w:p>
        </w:tc>
        <w:tc>
          <w:tcPr>
            <w:tcW w:w="1684" w:type="dxa"/>
          </w:tcPr>
          <w:p w14:paraId="73C46543" w14:textId="3B876B6E" w:rsidR="00B8249D" w:rsidRDefault="00B8249D" w:rsidP="005848C1">
            <w:pPr>
              <w:spacing w:line="360" w:lineRule="auto"/>
              <w:rPr>
                <w:rFonts w:ascii="Arial" w:eastAsiaTheme="minorEastAsia" w:hAnsi="Arial" w:cs="Arial"/>
                <w:b/>
                <w:bCs/>
                <w:color w:val="000000" w:themeColor="text1"/>
                <w:sz w:val="28"/>
                <w:szCs w:val="28"/>
                <w:lang w:val="en-GB"/>
              </w:rPr>
            </w:pPr>
            <w:r w:rsidRPr="00B677DB">
              <w:rPr>
                <w:rFonts w:ascii="Arial" w:eastAsiaTheme="minorEastAsia" w:hAnsi="Arial" w:cs="Arial"/>
                <w:color w:val="000000" w:themeColor="text1"/>
                <w:lang w:val="en-GB"/>
              </w:rPr>
              <w:t>Preoperative</w:t>
            </w:r>
          </w:p>
        </w:tc>
      </w:tr>
      <w:tr w:rsidR="00B8249D" w14:paraId="29476946" w14:textId="77777777" w:rsidTr="004A6692">
        <w:trPr>
          <w:trHeight w:val="2681"/>
        </w:trPr>
        <w:tc>
          <w:tcPr>
            <w:tcW w:w="1729" w:type="dxa"/>
          </w:tcPr>
          <w:p w14:paraId="1AAFAD0B" w14:textId="42E2C750" w:rsidR="00B8249D" w:rsidRPr="0012795F" w:rsidRDefault="00B8249D" w:rsidP="005848C1">
            <w:pPr>
              <w:spacing w:line="360" w:lineRule="auto"/>
              <w:rPr>
                <w:rFonts w:ascii="Arial" w:eastAsiaTheme="minorEastAsia" w:hAnsi="Arial" w:cs="Arial"/>
                <w:color w:val="000000" w:themeColor="text1"/>
              </w:rPr>
            </w:pPr>
            <w:r>
              <w:rPr>
                <w:rFonts w:ascii="Arial" w:eastAsiaTheme="minorEastAsia" w:hAnsi="Arial" w:cs="Arial" w:hint="eastAsia"/>
                <w:color w:val="000000" w:themeColor="text1"/>
              </w:rPr>
              <w:t>High</w:t>
            </w:r>
          </w:p>
        </w:tc>
        <w:tc>
          <w:tcPr>
            <w:tcW w:w="5173" w:type="dxa"/>
          </w:tcPr>
          <w:p w14:paraId="608E2FFF" w14:textId="58DBC65A" w:rsidR="00B8249D" w:rsidRPr="00B8249D" w:rsidRDefault="00303009" w:rsidP="005848C1">
            <w:pPr>
              <w:spacing w:line="360" w:lineRule="auto"/>
              <w:rPr>
                <w:rFonts w:ascii="Arial" w:eastAsiaTheme="minorEastAsia" w:hAnsi="Arial" w:cs="Arial"/>
                <w:color w:val="000000" w:themeColor="text1"/>
              </w:rPr>
            </w:pPr>
            <w:r>
              <w:rPr>
                <w:rFonts w:ascii="Arial" w:eastAsiaTheme="minorEastAsia" w:hAnsi="Arial" w:cs="Arial" w:hint="eastAsia"/>
                <w:color w:val="000000" w:themeColor="text1"/>
              </w:rPr>
              <w:t>V</w:t>
            </w:r>
            <w:r w:rsidR="00B8249D" w:rsidRPr="00B8249D">
              <w:rPr>
                <w:rFonts w:ascii="Arial" w:eastAsiaTheme="minorEastAsia" w:hAnsi="Arial" w:cs="Arial"/>
                <w:color w:val="000000" w:themeColor="text1"/>
              </w:rPr>
              <w:t>ertical distance from the base of the feet to the top of the head, measured in a standing position with the feet together using a calibrated stadiometer, and recorded in centimeters (cm).</w:t>
            </w:r>
          </w:p>
        </w:tc>
        <w:tc>
          <w:tcPr>
            <w:tcW w:w="1684" w:type="dxa"/>
          </w:tcPr>
          <w:p w14:paraId="6EF0DC7C" w14:textId="4829A4C8" w:rsidR="00B8249D" w:rsidRDefault="005C3839" w:rsidP="005848C1">
            <w:pPr>
              <w:spacing w:line="360" w:lineRule="auto"/>
              <w:rPr>
                <w:rFonts w:ascii="Arial" w:eastAsiaTheme="minorEastAsia" w:hAnsi="Arial" w:cs="Arial"/>
                <w:b/>
                <w:bCs/>
                <w:color w:val="000000" w:themeColor="text1"/>
                <w:sz w:val="28"/>
                <w:szCs w:val="28"/>
                <w:lang w:val="en-GB"/>
              </w:rPr>
            </w:pPr>
            <w:r w:rsidRPr="00B677DB">
              <w:rPr>
                <w:rFonts w:ascii="Arial" w:eastAsiaTheme="minorEastAsia" w:hAnsi="Arial" w:cs="Arial"/>
                <w:color w:val="000000" w:themeColor="text1"/>
                <w:lang w:val="en-GB"/>
              </w:rPr>
              <w:t>Preoperative</w:t>
            </w:r>
          </w:p>
        </w:tc>
      </w:tr>
      <w:tr w:rsidR="00B8249D" w14:paraId="27C3FF69" w14:textId="77777777" w:rsidTr="004A6692">
        <w:trPr>
          <w:trHeight w:val="497"/>
        </w:trPr>
        <w:tc>
          <w:tcPr>
            <w:tcW w:w="1729" w:type="dxa"/>
          </w:tcPr>
          <w:p w14:paraId="30608B94" w14:textId="7AD8E613" w:rsidR="00B8249D" w:rsidRDefault="00B8249D" w:rsidP="005848C1">
            <w:pPr>
              <w:spacing w:line="360" w:lineRule="auto"/>
              <w:rPr>
                <w:rFonts w:ascii="Arial" w:eastAsiaTheme="minorEastAsia" w:hAnsi="Arial" w:cs="Arial"/>
                <w:color w:val="000000" w:themeColor="text1"/>
              </w:rPr>
            </w:pPr>
            <w:r>
              <w:rPr>
                <w:rFonts w:ascii="Arial" w:eastAsiaTheme="minorEastAsia" w:hAnsi="Arial" w:cs="Arial" w:hint="eastAsia"/>
                <w:color w:val="000000" w:themeColor="text1"/>
              </w:rPr>
              <w:t>Weight</w:t>
            </w:r>
          </w:p>
        </w:tc>
        <w:tc>
          <w:tcPr>
            <w:tcW w:w="5173" w:type="dxa"/>
          </w:tcPr>
          <w:p w14:paraId="02D7705B" w14:textId="7CA8AD5B" w:rsidR="00B8249D" w:rsidRPr="00EB7DDB" w:rsidRDefault="00303009" w:rsidP="005848C1">
            <w:pPr>
              <w:spacing w:line="360" w:lineRule="auto"/>
              <w:rPr>
                <w:rFonts w:ascii="Arial" w:eastAsiaTheme="minorEastAsia" w:hAnsi="Arial" w:cs="Arial"/>
                <w:color w:val="000000" w:themeColor="text1"/>
                <w:lang w:val="en-GB"/>
              </w:rPr>
            </w:pPr>
            <w:r>
              <w:rPr>
                <w:rFonts w:ascii="Arial" w:eastAsiaTheme="minorEastAsia" w:hAnsi="Arial" w:cs="Arial" w:hint="eastAsia"/>
                <w:color w:val="000000" w:themeColor="text1"/>
                <w:lang w:val="en-GB"/>
              </w:rPr>
              <w:t>T</w:t>
            </w:r>
            <w:r w:rsidR="00EB7DDB" w:rsidRPr="00EB7DDB">
              <w:rPr>
                <w:rFonts w:ascii="Arial" w:eastAsiaTheme="minorEastAsia" w:hAnsi="Arial" w:cs="Arial"/>
                <w:color w:val="000000" w:themeColor="text1"/>
                <w:lang w:val="en-GB"/>
              </w:rPr>
              <w:t>otal mass of the participant, measured using a calibrated scale while the participant is dressed in light clothing and without shoes, and recorded in kilograms (kg).</w:t>
            </w:r>
          </w:p>
        </w:tc>
        <w:tc>
          <w:tcPr>
            <w:tcW w:w="1684" w:type="dxa"/>
          </w:tcPr>
          <w:p w14:paraId="3461D20D" w14:textId="00A36D52" w:rsidR="00B8249D" w:rsidRDefault="005C3839" w:rsidP="005848C1">
            <w:pPr>
              <w:spacing w:line="360" w:lineRule="auto"/>
              <w:rPr>
                <w:rFonts w:ascii="Arial" w:eastAsiaTheme="minorEastAsia" w:hAnsi="Arial" w:cs="Arial"/>
                <w:b/>
                <w:bCs/>
                <w:color w:val="000000" w:themeColor="text1"/>
                <w:sz w:val="28"/>
                <w:szCs w:val="28"/>
                <w:lang w:val="en-GB"/>
              </w:rPr>
            </w:pPr>
            <w:r w:rsidRPr="00B677DB">
              <w:rPr>
                <w:rFonts w:ascii="Arial" w:eastAsiaTheme="minorEastAsia" w:hAnsi="Arial" w:cs="Arial"/>
                <w:color w:val="000000" w:themeColor="text1"/>
                <w:lang w:val="en-GB"/>
              </w:rPr>
              <w:t>Preoperative</w:t>
            </w:r>
          </w:p>
        </w:tc>
      </w:tr>
      <w:tr w:rsidR="00B8249D" w14:paraId="5938D9CC" w14:textId="77777777" w:rsidTr="004A6692">
        <w:trPr>
          <w:trHeight w:val="511"/>
        </w:trPr>
        <w:tc>
          <w:tcPr>
            <w:tcW w:w="1729" w:type="dxa"/>
          </w:tcPr>
          <w:p w14:paraId="5EBE7402" w14:textId="33846D52" w:rsidR="00B8249D" w:rsidRDefault="00B8249D" w:rsidP="005848C1">
            <w:pPr>
              <w:spacing w:line="360" w:lineRule="auto"/>
              <w:rPr>
                <w:rFonts w:ascii="Arial" w:eastAsiaTheme="minorEastAsia" w:hAnsi="Arial" w:cs="Arial"/>
                <w:color w:val="000000" w:themeColor="text1"/>
              </w:rPr>
            </w:pPr>
            <w:r>
              <w:rPr>
                <w:rFonts w:ascii="Arial" w:eastAsiaTheme="minorEastAsia" w:hAnsi="Arial" w:cs="Arial" w:hint="eastAsia"/>
                <w:color w:val="000000" w:themeColor="text1"/>
              </w:rPr>
              <w:t>BMI</w:t>
            </w:r>
          </w:p>
        </w:tc>
        <w:tc>
          <w:tcPr>
            <w:tcW w:w="5173" w:type="dxa"/>
          </w:tcPr>
          <w:p w14:paraId="4B7562B1" w14:textId="3D3B103C" w:rsidR="00B8249D" w:rsidRPr="00303009" w:rsidRDefault="00303009" w:rsidP="005848C1">
            <w:pPr>
              <w:spacing w:line="360" w:lineRule="auto"/>
              <w:rPr>
                <w:rFonts w:ascii="Arial" w:eastAsiaTheme="minorEastAsia" w:hAnsi="Arial" w:cs="Arial"/>
                <w:color w:val="000000" w:themeColor="text1"/>
                <w:lang w:val="en-GB"/>
              </w:rPr>
            </w:pPr>
            <w:r w:rsidRPr="00303009">
              <w:rPr>
                <w:rFonts w:ascii="Arial" w:eastAsiaTheme="minorEastAsia" w:hAnsi="Arial" w:cs="Arial"/>
                <w:color w:val="000000" w:themeColor="text1"/>
                <w:lang w:val="en-GB"/>
              </w:rPr>
              <w:t>Body Mass Index (BMI) is calculated from an individual’s weight and height, using the formula: BMI = Weight (kg) / Height (m)²</w:t>
            </w:r>
          </w:p>
        </w:tc>
        <w:tc>
          <w:tcPr>
            <w:tcW w:w="1684" w:type="dxa"/>
          </w:tcPr>
          <w:p w14:paraId="58B95684" w14:textId="18A58782" w:rsidR="00B8249D" w:rsidRDefault="005C3839" w:rsidP="005848C1">
            <w:pPr>
              <w:spacing w:line="360" w:lineRule="auto"/>
              <w:rPr>
                <w:rFonts w:ascii="Arial" w:eastAsiaTheme="minorEastAsia" w:hAnsi="Arial" w:cs="Arial"/>
                <w:b/>
                <w:bCs/>
                <w:color w:val="000000" w:themeColor="text1"/>
                <w:sz w:val="28"/>
                <w:szCs w:val="28"/>
                <w:lang w:val="en-GB"/>
              </w:rPr>
            </w:pPr>
            <w:r w:rsidRPr="00B677DB">
              <w:rPr>
                <w:rFonts w:ascii="Arial" w:eastAsiaTheme="minorEastAsia" w:hAnsi="Arial" w:cs="Arial"/>
                <w:color w:val="000000" w:themeColor="text1"/>
                <w:lang w:val="en-GB"/>
              </w:rPr>
              <w:t>Preoperative</w:t>
            </w:r>
          </w:p>
        </w:tc>
      </w:tr>
      <w:tr w:rsidR="00B8249D" w14:paraId="37C6D290" w14:textId="77777777" w:rsidTr="004A6692">
        <w:trPr>
          <w:trHeight w:val="497"/>
        </w:trPr>
        <w:tc>
          <w:tcPr>
            <w:tcW w:w="1729" w:type="dxa"/>
          </w:tcPr>
          <w:p w14:paraId="339E6F62" w14:textId="6E98C109" w:rsidR="00B8249D" w:rsidRPr="0012795F" w:rsidRDefault="00B8249D" w:rsidP="005848C1">
            <w:pPr>
              <w:spacing w:line="360" w:lineRule="auto"/>
              <w:rPr>
                <w:rFonts w:ascii="Arial" w:eastAsiaTheme="minorEastAsia" w:hAnsi="Arial" w:cs="Arial"/>
                <w:color w:val="000000" w:themeColor="text1"/>
                <w:lang w:val="en-GB"/>
              </w:rPr>
            </w:pPr>
            <w:r w:rsidRPr="0012795F">
              <w:rPr>
                <w:rFonts w:ascii="Arial" w:eastAsiaTheme="minorEastAsia" w:hAnsi="Arial" w:cs="Arial"/>
                <w:color w:val="000000" w:themeColor="text1"/>
                <w:lang w:val="en-GB"/>
              </w:rPr>
              <w:t>ASA</w:t>
            </w:r>
          </w:p>
        </w:tc>
        <w:tc>
          <w:tcPr>
            <w:tcW w:w="5173" w:type="dxa"/>
          </w:tcPr>
          <w:p w14:paraId="6023CAFB" w14:textId="21EC4716" w:rsidR="00B8249D" w:rsidRPr="002C7CE6" w:rsidRDefault="002C7CE6" w:rsidP="005848C1">
            <w:pPr>
              <w:spacing w:line="360" w:lineRule="auto"/>
              <w:rPr>
                <w:rFonts w:ascii="Arial" w:eastAsiaTheme="minorEastAsia" w:hAnsi="Arial" w:cs="Arial"/>
                <w:color w:val="000000" w:themeColor="text1"/>
              </w:rPr>
            </w:pPr>
            <w:r w:rsidRPr="002C7CE6">
              <w:rPr>
                <w:rFonts w:ascii="Arial" w:eastAsiaTheme="minorEastAsia" w:hAnsi="Arial" w:cs="Arial"/>
                <w:color w:val="000000" w:themeColor="text1"/>
              </w:rPr>
              <w:t xml:space="preserve">ASA (American Society of Anesthesiologists) </w:t>
            </w:r>
            <w:r w:rsidR="00BD05DC" w:rsidRPr="00BD05DC">
              <w:rPr>
                <w:rFonts w:ascii="Arial" w:eastAsiaTheme="minorEastAsia" w:hAnsi="Arial" w:cs="Arial"/>
                <w:color w:val="000000" w:themeColor="text1"/>
              </w:rPr>
              <w:t xml:space="preserve">Physical Status Classification System is used to assess a patient’s preoperative health condition and categorize them into one of the following classes: ASA I (healthy patient), ASA II (mild systemic disease), ASA III (severe systemic disease), ASA IV (severe disease that is a constant threat to life), ASA V (moribund patient), or ASA VI (brain-dead patient). </w:t>
            </w:r>
          </w:p>
        </w:tc>
        <w:tc>
          <w:tcPr>
            <w:tcW w:w="1684" w:type="dxa"/>
          </w:tcPr>
          <w:p w14:paraId="1AF4AE13" w14:textId="4162171E" w:rsidR="00B8249D" w:rsidRDefault="00B8249D" w:rsidP="005848C1">
            <w:pPr>
              <w:spacing w:line="360" w:lineRule="auto"/>
              <w:rPr>
                <w:rFonts w:ascii="Arial" w:eastAsiaTheme="minorEastAsia" w:hAnsi="Arial" w:cs="Arial"/>
                <w:b/>
                <w:bCs/>
                <w:color w:val="000000" w:themeColor="text1"/>
                <w:sz w:val="28"/>
                <w:szCs w:val="28"/>
                <w:lang w:val="en-GB"/>
              </w:rPr>
            </w:pPr>
            <w:r w:rsidRPr="00B677DB">
              <w:rPr>
                <w:rFonts w:ascii="Arial" w:eastAsiaTheme="minorEastAsia" w:hAnsi="Arial" w:cs="Arial"/>
                <w:color w:val="000000" w:themeColor="text1"/>
                <w:lang w:val="en-GB"/>
              </w:rPr>
              <w:t>Preoperative</w:t>
            </w:r>
          </w:p>
        </w:tc>
      </w:tr>
      <w:tr w:rsidR="00223F9C" w14:paraId="4C539899" w14:textId="77777777" w:rsidTr="004A6692">
        <w:trPr>
          <w:trHeight w:val="511"/>
        </w:trPr>
        <w:tc>
          <w:tcPr>
            <w:tcW w:w="1729" w:type="dxa"/>
          </w:tcPr>
          <w:p w14:paraId="6188B8F9" w14:textId="61FF37D3" w:rsidR="00223F9C" w:rsidRDefault="00223F9C" w:rsidP="00223F9C">
            <w:pPr>
              <w:spacing w:line="360" w:lineRule="auto"/>
              <w:rPr>
                <w:rFonts w:ascii="Arial" w:eastAsiaTheme="minorEastAsia" w:hAnsi="Arial" w:cs="Arial"/>
                <w:b/>
                <w:bCs/>
                <w:color w:val="000000" w:themeColor="text1"/>
                <w:sz w:val="28"/>
                <w:szCs w:val="28"/>
                <w:lang w:val="en-GB"/>
              </w:rPr>
            </w:pPr>
            <w:r w:rsidRPr="0012795F">
              <w:rPr>
                <w:rFonts w:ascii="Arial" w:eastAsiaTheme="minorEastAsia" w:hAnsi="Arial" w:cs="Arial"/>
                <w:color w:val="000000" w:themeColor="text1"/>
              </w:rPr>
              <w:t>Complications</w:t>
            </w:r>
          </w:p>
        </w:tc>
        <w:tc>
          <w:tcPr>
            <w:tcW w:w="5173" w:type="dxa"/>
          </w:tcPr>
          <w:p w14:paraId="552D206B" w14:textId="7F1B0397" w:rsidR="00223F9C" w:rsidRPr="00223F9C" w:rsidRDefault="00223F9C" w:rsidP="00223F9C">
            <w:pPr>
              <w:spacing w:line="360" w:lineRule="auto"/>
              <w:rPr>
                <w:rFonts w:ascii="Arial" w:eastAsiaTheme="minorEastAsia" w:hAnsi="Arial" w:cs="Arial"/>
                <w:color w:val="000000" w:themeColor="text1"/>
                <w:lang w:val="en-GB"/>
              </w:rPr>
            </w:pPr>
            <w:r w:rsidRPr="00223F9C">
              <w:rPr>
                <w:rFonts w:ascii="Arial" w:eastAsiaTheme="minorEastAsia" w:hAnsi="Arial" w:cs="Arial"/>
                <w:color w:val="000000" w:themeColor="text1"/>
                <w:lang w:val="en-GB"/>
              </w:rPr>
              <w:t>Based on the participants’ preoperative examination reports and medical history inquiries, the presence of hypertension, diabetes, heart disease, or cerebrovascular disease was assessed. The presence of any of these conditions was defined as the presence of complications.</w:t>
            </w:r>
          </w:p>
        </w:tc>
        <w:tc>
          <w:tcPr>
            <w:tcW w:w="1684" w:type="dxa"/>
          </w:tcPr>
          <w:p w14:paraId="4E23BE97" w14:textId="71EFD62B" w:rsidR="00223F9C" w:rsidRDefault="00223F9C" w:rsidP="00223F9C">
            <w:pPr>
              <w:spacing w:line="360" w:lineRule="auto"/>
              <w:rPr>
                <w:rFonts w:ascii="Arial" w:eastAsiaTheme="minorEastAsia" w:hAnsi="Arial" w:cs="Arial"/>
                <w:b/>
                <w:bCs/>
                <w:color w:val="000000" w:themeColor="text1"/>
                <w:sz w:val="28"/>
                <w:szCs w:val="28"/>
                <w:lang w:val="en-GB"/>
              </w:rPr>
            </w:pPr>
            <w:r w:rsidRPr="00B677DB">
              <w:rPr>
                <w:rFonts w:ascii="Arial" w:eastAsiaTheme="minorEastAsia" w:hAnsi="Arial" w:cs="Arial"/>
                <w:color w:val="000000" w:themeColor="text1"/>
                <w:lang w:val="en-GB"/>
              </w:rPr>
              <w:t>Preoperative</w:t>
            </w:r>
          </w:p>
        </w:tc>
      </w:tr>
      <w:tr w:rsidR="00223F9C" w14:paraId="3B9630F3" w14:textId="77777777" w:rsidTr="004A6692">
        <w:trPr>
          <w:trHeight w:val="3703"/>
        </w:trPr>
        <w:tc>
          <w:tcPr>
            <w:tcW w:w="1729" w:type="dxa"/>
          </w:tcPr>
          <w:p w14:paraId="3E11F515" w14:textId="3F03EAF7" w:rsidR="00223F9C" w:rsidRDefault="00D418B9" w:rsidP="00223F9C">
            <w:pPr>
              <w:spacing w:line="360" w:lineRule="auto"/>
              <w:rPr>
                <w:rFonts w:ascii="Arial" w:eastAsiaTheme="minorEastAsia" w:hAnsi="Arial" w:cs="Arial"/>
                <w:b/>
                <w:bCs/>
                <w:color w:val="000000" w:themeColor="text1"/>
                <w:sz w:val="28"/>
                <w:szCs w:val="28"/>
                <w:lang w:val="en-GB"/>
              </w:rPr>
            </w:pPr>
            <w:r w:rsidRPr="006C7D17">
              <w:rPr>
                <w:rFonts w:ascii="Arial" w:hAnsi="Arial" w:cs="Arial"/>
              </w:rPr>
              <w:t>Propofol</w:t>
            </w:r>
          </w:p>
        </w:tc>
        <w:tc>
          <w:tcPr>
            <w:tcW w:w="5173" w:type="dxa"/>
          </w:tcPr>
          <w:p w14:paraId="51F3F5C1" w14:textId="74001141" w:rsidR="00223F9C" w:rsidRPr="00AA55E3" w:rsidRDefault="00AA55E3" w:rsidP="00223F9C">
            <w:pPr>
              <w:spacing w:line="360" w:lineRule="auto"/>
              <w:rPr>
                <w:rFonts w:ascii="Arial" w:eastAsiaTheme="minorEastAsia" w:hAnsi="Arial" w:cs="Arial"/>
                <w:color w:val="000000" w:themeColor="text1"/>
                <w:lang w:val="en-GB"/>
              </w:rPr>
            </w:pPr>
            <w:r w:rsidRPr="00AA55E3">
              <w:rPr>
                <w:rFonts w:ascii="Arial" w:eastAsiaTheme="minorEastAsia" w:hAnsi="Arial" w:cs="Arial"/>
                <w:color w:val="000000" w:themeColor="text1"/>
                <w:lang w:val="en-GB"/>
              </w:rPr>
              <w:t xml:space="preserve">Propofol: Emulsion, manufactured by Xi’an </w:t>
            </w:r>
            <w:proofErr w:type="spellStart"/>
            <w:r w:rsidRPr="00AA55E3">
              <w:rPr>
                <w:rFonts w:ascii="Arial" w:eastAsiaTheme="minorEastAsia" w:hAnsi="Arial" w:cs="Arial"/>
                <w:color w:val="000000" w:themeColor="text1"/>
                <w:lang w:val="en-GB"/>
              </w:rPr>
              <w:t>Libang</w:t>
            </w:r>
            <w:proofErr w:type="spellEnd"/>
            <w:r w:rsidRPr="00AA55E3">
              <w:rPr>
                <w:rFonts w:ascii="Arial" w:eastAsiaTheme="minorEastAsia" w:hAnsi="Arial" w:cs="Arial"/>
                <w:color w:val="000000" w:themeColor="text1"/>
                <w:lang w:val="en-GB"/>
              </w:rPr>
              <w:t xml:space="preserve"> Pharmaceutical Co., Ltd., </w:t>
            </w:r>
            <w:r w:rsidR="004C467D" w:rsidRPr="00E2275D">
              <w:rPr>
                <w:rFonts w:ascii="Arial" w:eastAsiaTheme="minorEastAsia" w:hAnsi="Arial" w:cs="Arial"/>
                <w:color w:val="000000" w:themeColor="text1"/>
                <w:lang w:val="en-GB"/>
              </w:rPr>
              <w:t xml:space="preserve">Chinese </w:t>
            </w:r>
            <w:r w:rsidR="00EF3488">
              <w:rPr>
                <w:rFonts w:ascii="Arial" w:eastAsiaTheme="minorEastAsia" w:hAnsi="Arial" w:cs="Arial" w:hint="eastAsia"/>
                <w:color w:val="000000" w:themeColor="text1"/>
                <w:lang w:val="en-GB"/>
              </w:rPr>
              <w:t>Drug</w:t>
            </w:r>
            <w:r w:rsidR="004C467D" w:rsidRPr="00E2275D">
              <w:rPr>
                <w:rFonts w:ascii="Arial" w:eastAsiaTheme="minorEastAsia" w:hAnsi="Arial" w:cs="Arial"/>
                <w:color w:val="000000" w:themeColor="text1"/>
                <w:lang w:val="en-GB"/>
              </w:rPr>
              <w:t xml:space="preserve"> approval number</w:t>
            </w:r>
            <w:r w:rsidRPr="00AA55E3">
              <w:rPr>
                <w:rFonts w:ascii="Arial" w:eastAsiaTheme="minorEastAsia" w:hAnsi="Arial" w:cs="Arial"/>
                <w:color w:val="000000" w:themeColor="text1"/>
                <w:lang w:val="en-GB"/>
              </w:rPr>
              <w:t>: H20123318.</w:t>
            </w:r>
            <w:r w:rsidR="00296AE6">
              <w:t xml:space="preserve"> </w:t>
            </w:r>
            <w:r w:rsidR="00471604" w:rsidRPr="00471604">
              <w:rPr>
                <w:rFonts w:ascii="Arial" w:eastAsiaTheme="minorEastAsia" w:hAnsi="Arial" w:cs="Arial"/>
                <w:color w:val="000000" w:themeColor="text1"/>
                <w:lang w:val="en-GB"/>
              </w:rPr>
              <w:t xml:space="preserve">Use the Marsh pharmacokinetic model for target-controlled infusion </w:t>
            </w:r>
            <w:proofErr w:type="spellStart"/>
            <w:r w:rsidR="00471604" w:rsidRPr="00471604">
              <w:rPr>
                <w:rFonts w:ascii="Arial" w:eastAsiaTheme="minorEastAsia" w:hAnsi="Arial" w:cs="Arial"/>
                <w:color w:val="000000" w:themeColor="text1"/>
                <w:lang w:val="en-GB"/>
              </w:rPr>
              <w:t>anesthesia</w:t>
            </w:r>
            <w:proofErr w:type="spellEnd"/>
            <w:r w:rsidR="00471604" w:rsidRPr="00471604">
              <w:rPr>
                <w:rFonts w:ascii="Arial" w:eastAsiaTheme="minorEastAsia" w:hAnsi="Arial" w:cs="Arial"/>
                <w:color w:val="000000" w:themeColor="text1"/>
                <w:lang w:val="en-GB"/>
              </w:rPr>
              <w:t xml:space="preserve"> and record the control infusion concentration used during </w:t>
            </w:r>
            <w:proofErr w:type="spellStart"/>
            <w:r w:rsidR="00471604" w:rsidRPr="00471604">
              <w:rPr>
                <w:rFonts w:ascii="Arial" w:eastAsiaTheme="minorEastAsia" w:hAnsi="Arial" w:cs="Arial"/>
                <w:color w:val="000000" w:themeColor="text1"/>
                <w:lang w:val="en-GB"/>
              </w:rPr>
              <w:t>anesthesia</w:t>
            </w:r>
            <w:proofErr w:type="spellEnd"/>
            <w:r w:rsidR="00471604" w:rsidRPr="00471604">
              <w:rPr>
                <w:rFonts w:ascii="Arial" w:eastAsiaTheme="minorEastAsia" w:hAnsi="Arial" w:cs="Arial"/>
                <w:color w:val="000000" w:themeColor="text1"/>
                <w:lang w:val="en-GB"/>
              </w:rPr>
              <w:t xml:space="preserve"> maintenance, in units of ug-ml-1.</w:t>
            </w:r>
          </w:p>
        </w:tc>
        <w:tc>
          <w:tcPr>
            <w:tcW w:w="1684" w:type="dxa"/>
          </w:tcPr>
          <w:p w14:paraId="6AF45CBA" w14:textId="5918F733" w:rsidR="00223F9C" w:rsidRPr="00EB00AA" w:rsidRDefault="00EB00AA" w:rsidP="00223F9C">
            <w:pPr>
              <w:spacing w:line="360" w:lineRule="auto"/>
              <w:rPr>
                <w:rFonts w:ascii="Arial" w:eastAsiaTheme="minorEastAsia" w:hAnsi="Arial" w:cs="Arial"/>
                <w:color w:val="000000" w:themeColor="text1"/>
                <w:lang w:val="en-GB"/>
              </w:rPr>
            </w:pPr>
            <w:r w:rsidRPr="00EB00AA">
              <w:rPr>
                <w:rFonts w:ascii="Arial" w:eastAsiaTheme="minorEastAsia" w:hAnsi="Arial" w:cs="Arial" w:hint="eastAsia"/>
                <w:color w:val="000000" w:themeColor="text1"/>
                <w:lang w:val="en-GB"/>
              </w:rPr>
              <w:t>I</w:t>
            </w:r>
            <w:r w:rsidRPr="00EB00AA">
              <w:rPr>
                <w:rFonts w:ascii="Arial" w:eastAsiaTheme="minorEastAsia" w:hAnsi="Arial" w:cs="Arial"/>
                <w:color w:val="000000" w:themeColor="text1"/>
                <w:lang w:val="en-GB"/>
              </w:rPr>
              <w:t>ntraoperative</w:t>
            </w:r>
          </w:p>
        </w:tc>
      </w:tr>
      <w:tr w:rsidR="00223F9C" w14:paraId="7558CA52" w14:textId="77777777" w:rsidTr="004A6692">
        <w:trPr>
          <w:trHeight w:val="511"/>
        </w:trPr>
        <w:tc>
          <w:tcPr>
            <w:tcW w:w="1729" w:type="dxa"/>
          </w:tcPr>
          <w:p w14:paraId="0BE0AAFB" w14:textId="2605C4F5" w:rsidR="00223F9C" w:rsidRDefault="00D80B12" w:rsidP="00223F9C">
            <w:pPr>
              <w:spacing w:line="360" w:lineRule="auto"/>
              <w:rPr>
                <w:rFonts w:ascii="Arial" w:eastAsiaTheme="minorEastAsia" w:hAnsi="Arial" w:cs="Arial"/>
                <w:b/>
                <w:bCs/>
                <w:color w:val="000000" w:themeColor="text1"/>
                <w:sz w:val="28"/>
                <w:szCs w:val="28"/>
                <w:lang w:val="en-GB"/>
              </w:rPr>
            </w:pPr>
            <w:r w:rsidRPr="006C7D17">
              <w:rPr>
                <w:rFonts w:ascii="Arial" w:hAnsi="Arial" w:cs="Arial"/>
              </w:rPr>
              <w:t xml:space="preserve">Sevoflurane </w:t>
            </w:r>
          </w:p>
        </w:tc>
        <w:tc>
          <w:tcPr>
            <w:tcW w:w="5173" w:type="dxa"/>
          </w:tcPr>
          <w:p w14:paraId="450C0459" w14:textId="44611282" w:rsidR="00223F9C" w:rsidRPr="004C467D" w:rsidRDefault="00057088" w:rsidP="00223F9C">
            <w:pPr>
              <w:spacing w:line="360" w:lineRule="auto"/>
              <w:rPr>
                <w:rFonts w:ascii="Arial" w:eastAsiaTheme="minorEastAsia" w:hAnsi="Arial" w:cs="Arial"/>
                <w:color w:val="000000" w:themeColor="text1"/>
                <w:lang w:val="en-GB"/>
              </w:rPr>
            </w:pPr>
            <w:r w:rsidRPr="00057088">
              <w:rPr>
                <w:rFonts w:ascii="Arial" w:eastAsiaTheme="minorEastAsia" w:hAnsi="Arial" w:cs="Arial"/>
                <w:color w:val="000000" w:themeColor="text1"/>
                <w:lang w:val="en-GB"/>
              </w:rPr>
              <w:t xml:space="preserve">Sevoflurane: Liquid, </w:t>
            </w:r>
            <w:r w:rsidR="0095582C" w:rsidRPr="00BB33E5">
              <w:rPr>
                <w:rFonts w:ascii="Arial" w:eastAsiaTheme="minorEastAsia" w:hAnsi="Arial" w:cs="Arial"/>
                <w:color w:val="000000" w:themeColor="text1"/>
                <w:lang w:val="en-GB"/>
              </w:rPr>
              <w:t>produced</w:t>
            </w:r>
            <w:r w:rsidR="0095582C">
              <w:rPr>
                <w:rFonts w:ascii="Arial" w:eastAsiaTheme="minorEastAsia" w:hAnsi="Arial" w:cs="Arial" w:hint="eastAsia"/>
                <w:color w:val="000000" w:themeColor="text1"/>
                <w:lang w:val="en-GB"/>
              </w:rPr>
              <w:t xml:space="preserve"> by</w:t>
            </w:r>
            <w:r w:rsidRPr="00057088">
              <w:rPr>
                <w:rFonts w:ascii="Arial" w:eastAsiaTheme="minorEastAsia" w:hAnsi="Arial" w:cs="Arial"/>
                <w:color w:val="000000" w:themeColor="text1"/>
                <w:lang w:val="en-GB"/>
              </w:rPr>
              <w:t xml:space="preserve"> Shanghai </w:t>
            </w:r>
            <w:proofErr w:type="spellStart"/>
            <w:r w:rsidRPr="00057088">
              <w:rPr>
                <w:rFonts w:ascii="Arial" w:eastAsiaTheme="minorEastAsia" w:hAnsi="Arial" w:cs="Arial"/>
                <w:color w:val="000000" w:themeColor="text1"/>
                <w:lang w:val="en-GB"/>
              </w:rPr>
              <w:t>Hengrui</w:t>
            </w:r>
            <w:proofErr w:type="spellEnd"/>
            <w:r w:rsidRPr="00057088">
              <w:rPr>
                <w:rFonts w:ascii="Arial" w:eastAsiaTheme="minorEastAsia" w:hAnsi="Arial" w:cs="Arial"/>
                <w:color w:val="000000" w:themeColor="text1"/>
                <w:lang w:val="en-GB"/>
              </w:rPr>
              <w:t xml:space="preserve"> Pharmaceutical Co., Ltd., </w:t>
            </w:r>
            <w:r w:rsidR="00691329" w:rsidRPr="00E2275D">
              <w:rPr>
                <w:rFonts w:ascii="Arial" w:eastAsiaTheme="minorEastAsia" w:hAnsi="Arial" w:cs="Arial"/>
                <w:color w:val="000000" w:themeColor="text1"/>
                <w:lang w:val="en-GB"/>
              </w:rPr>
              <w:t xml:space="preserve">Chinese </w:t>
            </w:r>
            <w:r w:rsidR="00691329">
              <w:rPr>
                <w:rFonts w:ascii="Arial" w:eastAsiaTheme="minorEastAsia" w:hAnsi="Arial" w:cs="Arial" w:hint="eastAsia"/>
                <w:color w:val="000000" w:themeColor="text1"/>
                <w:lang w:val="en-GB"/>
              </w:rPr>
              <w:t>Drug</w:t>
            </w:r>
            <w:r w:rsidR="00691329" w:rsidRPr="00E2275D">
              <w:rPr>
                <w:rFonts w:ascii="Arial" w:eastAsiaTheme="minorEastAsia" w:hAnsi="Arial" w:cs="Arial"/>
                <w:color w:val="000000" w:themeColor="text1"/>
                <w:lang w:val="en-GB"/>
              </w:rPr>
              <w:t xml:space="preserve"> approval number:</w:t>
            </w:r>
            <w:r w:rsidR="00691329" w:rsidRPr="004C467D">
              <w:rPr>
                <w:rFonts w:ascii="Arial" w:eastAsiaTheme="minorEastAsia" w:hAnsi="Arial" w:cs="Arial"/>
                <w:color w:val="000000" w:themeColor="text1"/>
                <w:lang w:val="en-GB"/>
              </w:rPr>
              <w:t xml:space="preserve"> </w:t>
            </w:r>
            <w:r w:rsidRPr="00057088">
              <w:rPr>
                <w:rFonts w:ascii="Arial" w:eastAsiaTheme="minorEastAsia" w:hAnsi="Arial" w:cs="Arial"/>
                <w:color w:val="000000" w:themeColor="text1"/>
                <w:lang w:val="en-GB"/>
              </w:rPr>
              <w:t xml:space="preserve"> H20070172</w:t>
            </w:r>
            <w:r w:rsidR="004C467D" w:rsidRPr="004C467D">
              <w:rPr>
                <w:rFonts w:ascii="Arial" w:eastAsiaTheme="minorEastAsia" w:hAnsi="Arial" w:cs="Arial"/>
                <w:color w:val="000000" w:themeColor="text1"/>
                <w:lang w:val="en-GB"/>
              </w:rPr>
              <w:t>.</w:t>
            </w:r>
            <w:r w:rsidR="001255DD">
              <w:t xml:space="preserve"> </w:t>
            </w:r>
            <w:r w:rsidR="00A84DCA" w:rsidRPr="00A84DCA">
              <w:rPr>
                <w:rFonts w:ascii="Arial" w:eastAsiaTheme="minorEastAsia" w:hAnsi="Arial" w:cs="Arial"/>
                <w:color w:val="000000" w:themeColor="text1"/>
                <w:lang w:val="en-GB"/>
              </w:rPr>
              <w:t xml:space="preserve">Record the concentration of sevoflurane inhaled during maintenance of </w:t>
            </w:r>
            <w:proofErr w:type="spellStart"/>
            <w:r w:rsidR="00A84DCA" w:rsidRPr="00A84DCA">
              <w:rPr>
                <w:rFonts w:ascii="Arial" w:eastAsiaTheme="minorEastAsia" w:hAnsi="Arial" w:cs="Arial"/>
                <w:color w:val="000000" w:themeColor="text1"/>
                <w:lang w:val="en-GB"/>
              </w:rPr>
              <w:t>anesthesia</w:t>
            </w:r>
            <w:proofErr w:type="spellEnd"/>
            <w:r w:rsidR="00A84DCA" w:rsidRPr="00A84DCA">
              <w:rPr>
                <w:rFonts w:ascii="Arial" w:eastAsiaTheme="minorEastAsia" w:hAnsi="Arial" w:cs="Arial"/>
                <w:color w:val="000000" w:themeColor="text1"/>
                <w:lang w:val="en-GB"/>
              </w:rPr>
              <w:t>, in percentage.</w:t>
            </w:r>
          </w:p>
        </w:tc>
        <w:tc>
          <w:tcPr>
            <w:tcW w:w="1684" w:type="dxa"/>
          </w:tcPr>
          <w:p w14:paraId="68A3F772" w14:textId="2B70A65C" w:rsidR="00223F9C" w:rsidRDefault="00EB00AA" w:rsidP="00223F9C">
            <w:pPr>
              <w:spacing w:line="360" w:lineRule="auto"/>
              <w:rPr>
                <w:rFonts w:ascii="Arial" w:eastAsiaTheme="minorEastAsia" w:hAnsi="Arial" w:cs="Arial"/>
                <w:b/>
                <w:bCs/>
                <w:color w:val="000000" w:themeColor="text1"/>
                <w:sz w:val="28"/>
                <w:szCs w:val="28"/>
                <w:lang w:val="en-GB"/>
              </w:rPr>
            </w:pPr>
            <w:r w:rsidRPr="00EB00AA">
              <w:rPr>
                <w:rFonts w:ascii="Arial" w:eastAsiaTheme="minorEastAsia" w:hAnsi="Arial" w:cs="Arial" w:hint="eastAsia"/>
                <w:color w:val="000000" w:themeColor="text1"/>
                <w:lang w:val="en-GB"/>
              </w:rPr>
              <w:t>I</w:t>
            </w:r>
            <w:r w:rsidRPr="00EB00AA">
              <w:rPr>
                <w:rFonts w:ascii="Arial" w:eastAsiaTheme="minorEastAsia" w:hAnsi="Arial" w:cs="Arial"/>
                <w:color w:val="000000" w:themeColor="text1"/>
                <w:lang w:val="en-GB"/>
              </w:rPr>
              <w:t>ntraoperative</w:t>
            </w:r>
          </w:p>
        </w:tc>
      </w:tr>
      <w:tr w:rsidR="00D80B12" w14:paraId="4C52A6C0" w14:textId="77777777" w:rsidTr="004A6692">
        <w:trPr>
          <w:trHeight w:val="511"/>
        </w:trPr>
        <w:tc>
          <w:tcPr>
            <w:tcW w:w="1729" w:type="dxa"/>
          </w:tcPr>
          <w:p w14:paraId="7934EAF7" w14:textId="4661AAB1" w:rsidR="00D80B12" w:rsidRPr="006C7D17" w:rsidRDefault="008E46F2" w:rsidP="00223F9C">
            <w:pPr>
              <w:spacing w:line="360" w:lineRule="auto"/>
              <w:rPr>
                <w:rFonts w:ascii="Arial" w:hAnsi="Arial" w:cs="Arial"/>
              </w:rPr>
            </w:pPr>
            <w:r w:rsidRPr="006C7D17">
              <w:rPr>
                <w:rFonts w:ascii="Arial" w:hAnsi="Arial" w:cs="Arial"/>
                <w:color w:val="000000" w:themeColor="text1"/>
              </w:rPr>
              <w:t xml:space="preserve">phenylephrine </w:t>
            </w:r>
          </w:p>
        </w:tc>
        <w:tc>
          <w:tcPr>
            <w:tcW w:w="5173" w:type="dxa"/>
          </w:tcPr>
          <w:p w14:paraId="7E26FEE3" w14:textId="16944FEC" w:rsidR="00D80B12" w:rsidRPr="00BB33E5" w:rsidRDefault="0028596A" w:rsidP="00223F9C">
            <w:pPr>
              <w:spacing w:line="360" w:lineRule="auto"/>
              <w:rPr>
                <w:rFonts w:ascii="Arial" w:eastAsiaTheme="minorEastAsia" w:hAnsi="Arial" w:cs="Arial"/>
                <w:color w:val="000000" w:themeColor="text1"/>
                <w:lang w:val="en-GB"/>
              </w:rPr>
            </w:pPr>
            <w:r w:rsidRPr="006C7D17">
              <w:rPr>
                <w:rFonts w:ascii="Arial" w:hAnsi="Arial" w:cs="Arial"/>
                <w:color w:val="000000" w:themeColor="text1"/>
              </w:rPr>
              <w:t>P</w:t>
            </w:r>
            <w:r w:rsidR="00271206" w:rsidRPr="006C7D17">
              <w:rPr>
                <w:rFonts w:ascii="Arial" w:hAnsi="Arial" w:cs="Arial"/>
                <w:color w:val="000000" w:themeColor="text1"/>
              </w:rPr>
              <w:t>henylephrine</w:t>
            </w:r>
            <w:r>
              <w:rPr>
                <w:rFonts w:ascii="宋体" w:eastAsia="宋体" w:hAnsi="宋体" w:cs="宋体" w:hint="eastAsia"/>
                <w:color w:val="000000" w:themeColor="text1"/>
              </w:rPr>
              <w:t>：</w:t>
            </w:r>
            <w:r w:rsidR="0095582C" w:rsidRPr="00BB33E5">
              <w:rPr>
                <w:rFonts w:ascii="Arial" w:eastAsiaTheme="minorEastAsia" w:hAnsi="Arial" w:cs="Arial"/>
                <w:color w:val="000000" w:themeColor="text1"/>
                <w:lang w:val="en-GB"/>
              </w:rPr>
              <w:t>produced</w:t>
            </w:r>
            <w:r w:rsidR="00BB33E5" w:rsidRPr="00BB33E5">
              <w:rPr>
                <w:rFonts w:ascii="Arial" w:eastAsiaTheme="minorEastAsia" w:hAnsi="Arial" w:cs="Arial"/>
                <w:color w:val="000000" w:themeColor="text1"/>
                <w:lang w:val="en-GB"/>
              </w:rPr>
              <w:t xml:space="preserve"> by Shanghai </w:t>
            </w:r>
            <w:r w:rsidR="00D06B67">
              <w:rPr>
                <w:rFonts w:ascii="Arial" w:eastAsiaTheme="minorEastAsia" w:hAnsi="Arial" w:cs="Arial" w:hint="eastAsia"/>
                <w:color w:val="000000" w:themeColor="text1"/>
                <w:lang w:val="en-GB"/>
              </w:rPr>
              <w:t>Harvest</w:t>
            </w:r>
            <w:r w:rsidR="00BB33E5" w:rsidRPr="00BB33E5">
              <w:rPr>
                <w:rFonts w:ascii="Arial" w:eastAsiaTheme="minorEastAsia" w:hAnsi="Arial" w:cs="Arial"/>
                <w:color w:val="000000" w:themeColor="text1"/>
                <w:lang w:val="en-GB"/>
              </w:rPr>
              <w:t xml:space="preserve"> Pharmaceutical Co., Ltd. </w:t>
            </w:r>
            <w:r w:rsidR="00271206" w:rsidRPr="00271206">
              <w:rPr>
                <w:rFonts w:ascii="Arial" w:eastAsiaTheme="minorEastAsia" w:hAnsi="Arial" w:cs="Arial"/>
                <w:color w:val="000000" w:themeColor="text1"/>
                <w:lang w:val="en-GB"/>
              </w:rPr>
              <w:t>Chinese Drug approval number:</w:t>
            </w:r>
            <w:r w:rsidR="00BB33E5" w:rsidRPr="00BB33E5">
              <w:rPr>
                <w:rFonts w:ascii="Arial" w:eastAsiaTheme="minorEastAsia" w:hAnsi="Arial" w:cs="Arial"/>
                <w:color w:val="000000" w:themeColor="text1"/>
                <w:lang w:val="en-GB"/>
              </w:rPr>
              <w:t xml:space="preserve"> H31021175</w:t>
            </w:r>
            <w:r w:rsidR="00A84DCA">
              <w:rPr>
                <w:rFonts w:ascii="Arial" w:eastAsiaTheme="minorEastAsia" w:hAnsi="Arial" w:cs="Arial" w:hint="eastAsia"/>
                <w:color w:val="000000" w:themeColor="text1"/>
                <w:lang w:val="en-GB"/>
              </w:rPr>
              <w:t>.</w:t>
            </w:r>
            <w:r w:rsidR="003547DB">
              <w:t xml:space="preserve"> </w:t>
            </w:r>
            <w:r w:rsidR="003679ED" w:rsidRPr="003679ED">
              <w:rPr>
                <w:rFonts w:ascii="Arial" w:eastAsiaTheme="minorEastAsia" w:hAnsi="Arial" w:cs="Arial"/>
                <w:color w:val="000000" w:themeColor="text1"/>
                <w:lang w:val="en-GB"/>
              </w:rPr>
              <w:t xml:space="preserve">Record the total dosage of drugs used during general </w:t>
            </w:r>
            <w:proofErr w:type="spellStart"/>
            <w:r w:rsidR="003679ED" w:rsidRPr="003679ED">
              <w:rPr>
                <w:rFonts w:ascii="Arial" w:eastAsiaTheme="minorEastAsia" w:hAnsi="Arial" w:cs="Arial"/>
                <w:color w:val="000000" w:themeColor="text1"/>
                <w:lang w:val="en-GB"/>
              </w:rPr>
              <w:t>anesthesia</w:t>
            </w:r>
            <w:proofErr w:type="spellEnd"/>
            <w:r w:rsidR="003679ED" w:rsidRPr="003679ED">
              <w:rPr>
                <w:rFonts w:ascii="Arial" w:eastAsiaTheme="minorEastAsia" w:hAnsi="Arial" w:cs="Arial"/>
                <w:color w:val="000000" w:themeColor="text1"/>
                <w:lang w:val="en-GB"/>
              </w:rPr>
              <w:t xml:space="preserve">, in </w:t>
            </w:r>
            <w:r w:rsidR="003547DB" w:rsidRPr="003547DB">
              <w:rPr>
                <w:rFonts w:ascii="Arial" w:eastAsiaTheme="minorEastAsia" w:hAnsi="Arial" w:cs="Arial"/>
                <w:color w:val="000000" w:themeColor="text1"/>
                <w:lang w:val="en-GB"/>
              </w:rPr>
              <w:t>micrograms</w:t>
            </w:r>
            <w:r w:rsidR="003547DB">
              <w:rPr>
                <w:rFonts w:ascii="Arial" w:eastAsiaTheme="minorEastAsia" w:hAnsi="Arial" w:cs="Arial" w:hint="eastAsia"/>
                <w:color w:val="000000" w:themeColor="text1"/>
                <w:lang w:val="en-GB"/>
              </w:rPr>
              <w:t>.</w:t>
            </w:r>
          </w:p>
        </w:tc>
        <w:tc>
          <w:tcPr>
            <w:tcW w:w="1684" w:type="dxa"/>
          </w:tcPr>
          <w:p w14:paraId="390D3FBA" w14:textId="1BD63BFD" w:rsidR="00D80B12" w:rsidRDefault="006E596F" w:rsidP="00223F9C">
            <w:pPr>
              <w:spacing w:line="360" w:lineRule="auto"/>
              <w:rPr>
                <w:rFonts w:ascii="Arial" w:eastAsiaTheme="minorEastAsia" w:hAnsi="Arial" w:cs="Arial"/>
                <w:b/>
                <w:bCs/>
                <w:color w:val="000000" w:themeColor="text1"/>
                <w:sz w:val="28"/>
                <w:szCs w:val="28"/>
                <w:lang w:val="en-GB"/>
              </w:rPr>
            </w:pPr>
            <w:r w:rsidRPr="00EB00AA">
              <w:rPr>
                <w:rFonts w:ascii="Arial" w:eastAsiaTheme="minorEastAsia" w:hAnsi="Arial" w:cs="Arial" w:hint="eastAsia"/>
                <w:color w:val="000000" w:themeColor="text1"/>
                <w:lang w:val="en-GB"/>
              </w:rPr>
              <w:t>I</w:t>
            </w:r>
            <w:r w:rsidRPr="00EB00AA">
              <w:rPr>
                <w:rFonts w:ascii="Arial" w:eastAsiaTheme="minorEastAsia" w:hAnsi="Arial" w:cs="Arial"/>
                <w:color w:val="000000" w:themeColor="text1"/>
                <w:lang w:val="en-GB"/>
              </w:rPr>
              <w:t>ntraoperative</w:t>
            </w:r>
          </w:p>
        </w:tc>
      </w:tr>
      <w:tr w:rsidR="008E46F2" w14:paraId="2E7A1B64" w14:textId="77777777" w:rsidTr="004A6692">
        <w:trPr>
          <w:trHeight w:val="511"/>
        </w:trPr>
        <w:tc>
          <w:tcPr>
            <w:tcW w:w="1729" w:type="dxa"/>
          </w:tcPr>
          <w:p w14:paraId="630179B4" w14:textId="4D2136AB" w:rsidR="008E46F2" w:rsidRPr="006C7D17" w:rsidRDefault="00DF0DDB" w:rsidP="00223F9C">
            <w:pPr>
              <w:spacing w:line="360" w:lineRule="auto"/>
              <w:rPr>
                <w:rFonts w:ascii="Arial" w:hAnsi="Arial" w:cs="Arial"/>
                <w:color w:val="000000" w:themeColor="text1"/>
              </w:rPr>
            </w:pPr>
            <w:r w:rsidRPr="006C7D17">
              <w:rPr>
                <w:rFonts w:ascii="Arial" w:hAnsi="Arial" w:cs="Arial"/>
              </w:rPr>
              <w:t xml:space="preserve">Sufentanil </w:t>
            </w:r>
          </w:p>
        </w:tc>
        <w:tc>
          <w:tcPr>
            <w:tcW w:w="5173" w:type="dxa"/>
          </w:tcPr>
          <w:p w14:paraId="4AA6EC6B" w14:textId="7CE657B5" w:rsidR="008E46F2" w:rsidRDefault="00EF5584" w:rsidP="00223F9C">
            <w:pPr>
              <w:spacing w:line="360" w:lineRule="auto"/>
              <w:rPr>
                <w:rFonts w:ascii="Arial" w:eastAsiaTheme="minorEastAsia" w:hAnsi="Arial" w:cs="Arial"/>
                <w:b/>
                <w:bCs/>
                <w:color w:val="000000" w:themeColor="text1"/>
                <w:sz w:val="28"/>
                <w:szCs w:val="28"/>
                <w:lang w:val="en-GB"/>
              </w:rPr>
            </w:pPr>
            <w:r w:rsidRPr="004C467D">
              <w:rPr>
                <w:rFonts w:ascii="Arial" w:eastAsiaTheme="minorEastAsia" w:hAnsi="Arial" w:cs="Arial"/>
                <w:color w:val="000000" w:themeColor="text1"/>
                <w:lang w:val="en-GB"/>
              </w:rPr>
              <w:t xml:space="preserve">Sufentanil: produced by Yichang </w:t>
            </w:r>
            <w:proofErr w:type="spellStart"/>
            <w:r w:rsidRPr="004C467D">
              <w:rPr>
                <w:rFonts w:ascii="Arial" w:eastAsiaTheme="minorEastAsia" w:hAnsi="Arial" w:cs="Arial"/>
                <w:color w:val="000000" w:themeColor="text1"/>
                <w:lang w:val="en-GB"/>
              </w:rPr>
              <w:t>Renfu</w:t>
            </w:r>
            <w:proofErr w:type="spellEnd"/>
            <w:r w:rsidRPr="004C467D">
              <w:rPr>
                <w:rFonts w:ascii="Arial" w:eastAsiaTheme="minorEastAsia" w:hAnsi="Arial" w:cs="Arial"/>
                <w:color w:val="000000" w:themeColor="text1"/>
                <w:lang w:val="en-GB"/>
              </w:rPr>
              <w:t xml:space="preserve"> Pharmaceutical Co., Ltd.,</w:t>
            </w:r>
            <w:r w:rsidR="00271206">
              <w:rPr>
                <w:rFonts w:ascii="Arial" w:eastAsiaTheme="minorEastAsia" w:hAnsi="Arial" w:cs="Arial" w:hint="eastAsia"/>
                <w:color w:val="000000" w:themeColor="text1"/>
                <w:lang w:val="en-GB"/>
              </w:rPr>
              <w:t xml:space="preserve"> </w:t>
            </w:r>
            <w:r w:rsidR="00271206" w:rsidRPr="00E2275D">
              <w:rPr>
                <w:rFonts w:ascii="Arial" w:eastAsiaTheme="minorEastAsia" w:hAnsi="Arial" w:cs="Arial"/>
                <w:color w:val="000000" w:themeColor="text1"/>
                <w:lang w:val="en-GB"/>
              </w:rPr>
              <w:t xml:space="preserve">Chinese </w:t>
            </w:r>
            <w:r w:rsidR="00271206">
              <w:rPr>
                <w:rFonts w:ascii="Arial" w:eastAsiaTheme="minorEastAsia" w:hAnsi="Arial" w:cs="Arial" w:hint="eastAsia"/>
                <w:color w:val="000000" w:themeColor="text1"/>
                <w:lang w:val="en-GB"/>
              </w:rPr>
              <w:t>Drug</w:t>
            </w:r>
            <w:r w:rsidR="00271206" w:rsidRPr="00E2275D">
              <w:rPr>
                <w:rFonts w:ascii="Arial" w:eastAsiaTheme="minorEastAsia" w:hAnsi="Arial" w:cs="Arial"/>
                <w:color w:val="000000" w:themeColor="text1"/>
                <w:lang w:val="en-GB"/>
              </w:rPr>
              <w:t xml:space="preserve"> approval number</w:t>
            </w:r>
            <w:r w:rsidRPr="00E2275D">
              <w:rPr>
                <w:rFonts w:ascii="Arial" w:eastAsiaTheme="minorEastAsia" w:hAnsi="Arial" w:cs="Arial"/>
                <w:color w:val="000000" w:themeColor="text1"/>
                <w:lang w:val="en-GB"/>
              </w:rPr>
              <w:t>:</w:t>
            </w:r>
            <w:r w:rsidRPr="004C467D">
              <w:rPr>
                <w:rFonts w:ascii="Arial" w:eastAsiaTheme="minorEastAsia" w:hAnsi="Arial" w:cs="Arial"/>
                <w:color w:val="000000" w:themeColor="text1"/>
                <w:lang w:val="en-GB"/>
              </w:rPr>
              <w:t xml:space="preserve"> H20054171.</w:t>
            </w:r>
            <w:r w:rsidR="003547DB">
              <w:t xml:space="preserve"> </w:t>
            </w:r>
            <w:r w:rsidR="003547DB" w:rsidRPr="003547DB">
              <w:rPr>
                <w:rFonts w:ascii="Arial" w:eastAsiaTheme="minorEastAsia" w:hAnsi="Arial" w:cs="Arial"/>
                <w:color w:val="000000" w:themeColor="text1"/>
                <w:lang w:val="en-GB"/>
              </w:rPr>
              <w:t>T</w:t>
            </w:r>
            <w:r w:rsidR="003679ED">
              <w:t xml:space="preserve"> </w:t>
            </w:r>
            <w:r w:rsidR="003679ED" w:rsidRPr="003679ED">
              <w:rPr>
                <w:rFonts w:ascii="Arial" w:eastAsiaTheme="minorEastAsia" w:hAnsi="Arial" w:cs="Arial"/>
                <w:color w:val="000000" w:themeColor="text1"/>
                <w:lang w:val="en-GB"/>
              </w:rPr>
              <w:t xml:space="preserve">Record the total dosage of drugs used during general </w:t>
            </w:r>
            <w:proofErr w:type="spellStart"/>
            <w:r w:rsidR="003679ED" w:rsidRPr="003679ED">
              <w:rPr>
                <w:rFonts w:ascii="Arial" w:eastAsiaTheme="minorEastAsia" w:hAnsi="Arial" w:cs="Arial"/>
                <w:color w:val="000000" w:themeColor="text1"/>
                <w:lang w:val="en-GB"/>
              </w:rPr>
              <w:t>anesthesia</w:t>
            </w:r>
            <w:proofErr w:type="spellEnd"/>
            <w:r w:rsidR="003679ED" w:rsidRPr="003679ED">
              <w:rPr>
                <w:rFonts w:ascii="Arial" w:eastAsiaTheme="minorEastAsia" w:hAnsi="Arial" w:cs="Arial"/>
                <w:color w:val="000000" w:themeColor="text1"/>
                <w:lang w:val="en-GB"/>
              </w:rPr>
              <w:t xml:space="preserve">, </w:t>
            </w:r>
            <w:r w:rsidR="003547DB" w:rsidRPr="003547DB">
              <w:rPr>
                <w:rFonts w:ascii="Arial" w:eastAsiaTheme="minorEastAsia" w:hAnsi="Arial" w:cs="Arial"/>
                <w:color w:val="000000" w:themeColor="text1"/>
                <w:lang w:val="en-GB"/>
              </w:rPr>
              <w:t>in micrograms</w:t>
            </w:r>
            <w:r w:rsidR="003547DB">
              <w:rPr>
                <w:rFonts w:ascii="Arial" w:eastAsiaTheme="minorEastAsia" w:hAnsi="Arial" w:cs="Arial" w:hint="eastAsia"/>
                <w:color w:val="000000" w:themeColor="text1"/>
                <w:lang w:val="en-GB"/>
              </w:rPr>
              <w:t>.</w:t>
            </w:r>
          </w:p>
        </w:tc>
        <w:tc>
          <w:tcPr>
            <w:tcW w:w="1684" w:type="dxa"/>
          </w:tcPr>
          <w:p w14:paraId="00C8B2A5" w14:textId="04C82950" w:rsidR="008E46F2" w:rsidRDefault="006E596F" w:rsidP="00223F9C">
            <w:pPr>
              <w:spacing w:line="360" w:lineRule="auto"/>
              <w:rPr>
                <w:rFonts w:ascii="Arial" w:eastAsiaTheme="minorEastAsia" w:hAnsi="Arial" w:cs="Arial"/>
                <w:b/>
                <w:bCs/>
                <w:color w:val="000000" w:themeColor="text1"/>
                <w:sz w:val="28"/>
                <w:szCs w:val="28"/>
                <w:lang w:val="en-GB"/>
              </w:rPr>
            </w:pPr>
            <w:r w:rsidRPr="00EB00AA">
              <w:rPr>
                <w:rFonts w:ascii="Arial" w:eastAsiaTheme="minorEastAsia" w:hAnsi="Arial" w:cs="Arial" w:hint="eastAsia"/>
                <w:color w:val="000000" w:themeColor="text1"/>
                <w:lang w:val="en-GB"/>
              </w:rPr>
              <w:t>I</w:t>
            </w:r>
            <w:r w:rsidRPr="00EB00AA">
              <w:rPr>
                <w:rFonts w:ascii="Arial" w:eastAsiaTheme="minorEastAsia" w:hAnsi="Arial" w:cs="Arial"/>
                <w:color w:val="000000" w:themeColor="text1"/>
                <w:lang w:val="en-GB"/>
              </w:rPr>
              <w:t>ntraoperative</w:t>
            </w:r>
          </w:p>
        </w:tc>
      </w:tr>
      <w:tr w:rsidR="00DF0DDB" w14:paraId="216FBAA3" w14:textId="77777777" w:rsidTr="004A6692">
        <w:trPr>
          <w:trHeight w:val="511"/>
        </w:trPr>
        <w:tc>
          <w:tcPr>
            <w:tcW w:w="1729" w:type="dxa"/>
          </w:tcPr>
          <w:p w14:paraId="2CDD7D53" w14:textId="4E34375C" w:rsidR="00DF0DDB" w:rsidRPr="006C7D17" w:rsidRDefault="00E571E7" w:rsidP="00223F9C">
            <w:pPr>
              <w:spacing w:line="360" w:lineRule="auto"/>
              <w:rPr>
                <w:rFonts w:ascii="Arial" w:hAnsi="Arial" w:cs="Arial"/>
              </w:rPr>
            </w:pPr>
            <w:r w:rsidRPr="006C7D17">
              <w:rPr>
                <w:rFonts w:ascii="Arial" w:hAnsi="Arial" w:cs="Arial"/>
              </w:rPr>
              <w:t>Remifentanil</w:t>
            </w:r>
          </w:p>
        </w:tc>
        <w:tc>
          <w:tcPr>
            <w:tcW w:w="5173" w:type="dxa"/>
          </w:tcPr>
          <w:p w14:paraId="481D9B77" w14:textId="7AD86B60" w:rsidR="00DF0DDB" w:rsidRPr="00E2275D" w:rsidRDefault="00E2275D" w:rsidP="00223F9C">
            <w:pPr>
              <w:spacing w:line="360" w:lineRule="auto"/>
              <w:rPr>
                <w:rFonts w:ascii="Arial" w:eastAsiaTheme="minorEastAsia" w:hAnsi="Arial" w:cs="Arial"/>
                <w:color w:val="000000" w:themeColor="text1"/>
                <w:lang w:val="en-GB"/>
              </w:rPr>
            </w:pPr>
            <w:r w:rsidRPr="00E2275D">
              <w:rPr>
                <w:rFonts w:ascii="Arial" w:eastAsiaTheme="minorEastAsia" w:hAnsi="Arial" w:cs="Arial"/>
                <w:color w:val="000000" w:themeColor="text1"/>
                <w:lang w:val="en-GB"/>
              </w:rPr>
              <w:t xml:space="preserve">Remifentanil: produced by Yichang </w:t>
            </w:r>
            <w:proofErr w:type="spellStart"/>
            <w:r w:rsidRPr="00E2275D">
              <w:rPr>
                <w:rFonts w:ascii="Arial" w:eastAsiaTheme="minorEastAsia" w:hAnsi="Arial" w:cs="Arial"/>
                <w:color w:val="000000" w:themeColor="text1"/>
                <w:lang w:val="en-GB"/>
              </w:rPr>
              <w:t>Renfu</w:t>
            </w:r>
            <w:proofErr w:type="spellEnd"/>
            <w:r w:rsidRPr="00E2275D">
              <w:rPr>
                <w:rFonts w:ascii="Arial" w:eastAsiaTheme="minorEastAsia" w:hAnsi="Arial" w:cs="Arial"/>
                <w:color w:val="000000" w:themeColor="text1"/>
                <w:lang w:val="en-GB"/>
              </w:rPr>
              <w:t xml:space="preserve"> Pharmaceutical Co., Ltd., Chinese </w:t>
            </w:r>
            <w:r w:rsidR="00691329">
              <w:rPr>
                <w:rFonts w:ascii="Arial" w:eastAsiaTheme="minorEastAsia" w:hAnsi="Arial" w:cs="Arial" w:hint="eastAsia"/>
                <w:color w:val="000000" w:themeColor="text1"/>
                <w:lang w:val="en-GB"/>
              </w:rPr>
              <w:t>Drug</w:t>
            </w:r>
            <w:r w:rsidRPr="00E2275D">
              <w:rPr>
                <w:rFonts w:ascii="Arial" w:eastAsiaTheme="minorEastAsia" w:hAnsi="Arial" w:cs="Arial"/>
                <w:color w:val="000000" w:themeColor="text1"/>
                <w:lang w:val="en-GB"/>
              </w:rPr>
              <w:t xml:space="preserve"> approval number: H20030197.</w:t>
            </w:r>
            <w:r w:rsidR="00523FEE">
              <w:t xml:space="preserve"> </w:t>
            </w:r>
            <w:r w:rsidR="007D2A60" w:rsidRPr="007D2A60">
              <w:rPr>
                <w:rFonts w:ascii="Arial" w:eastAsiaTheme="minorEastAsia" w:hAnsi="Arial" w:cs="Arial"/>
                <w:color w:val="000000" w:themeColor="text1"/>
                <w:lang w:val="en-GB"/>
              </w:rPr>
              <w:t xml:space="preserve">Apply the Minto pharmacokinetic model for target-controlled infusion </w:t>
            </w:r>
            <w:proofErr w:type="spellStart"/>
            <w:r w:rsidR="00C61362" w:rsidRPr="007D2A60">
              <w:rPr>
                <w:rFonts w:ascii="Arial" w:eastAsiaTheme="minorEastAsia" w:hAnsi="Arial" w:cs="Arial"/>
                <w:color w:val="000000" w:themeColor="text1"/>
                <w:lang w:val="en-GB"/>
              </w:rPr>
              <w:t>anesthesia</w:t>
            </w:r>
            <w:proofErr w:type="spellEnd"/>
            <w:r w:rsidR="00C61362" w:rsidRPr="007D2A60">
              <w:rPr>
                <w:rFonts w:ascii="Arial" w:eastAsiaTheme="minorEastAsia" w:hAnsi="Arial" w:cs="Arial"/>
                <w:color w:val="000000" w:themeColor="text1"/>
                <w:lang w:val="en-GB"/>
              </w:rPr>
              <w:t xml:space="preserve"> and</w:t>
            </w:r>
            <w:r w:rsidR="007D2A60" w:rsidRPr="007D2A60">
              <w:rPr>
                <w:rFonts w:ascii="Arial" w:eastAsiaTheme="minorEastAsia" w:hAnsi="Arial" w:cs="Arial"/>
                <w:color w:val="000000" w:themeColor="text1"/>
                <w:lang w:val="en-GB"/>
              </w:rPr>
              <w:t xml:space="preserve"> record the total drug dose used during the surgical procedure in micrograms.</w:t>
            </w:r>
          </w:p>
        </w:tc>
        <w:tc>
          <w:tcPr>
            <w:tcW w:w="1684" w:type="dxa"/>
          </w:tcPr>
          <w:p w14:paraId="32E1F48E" w14:textId="0DE591B8" w:rsidR="00DF0DDB" w:rsidRDefault="006E596F" w:rsidP="00223F9C">
            <w:pPr>
              <w:spacing w:line="360" w:lineRule="auto"/>
              <w:rPr>
                <w:rFonts w:ascii="Arial" w:eastAsiaTheme="minorEastAsia" w:hAnsi="Arial" w:cs="Arial"/>
                <w:b/>
                <w:bCs/>
                <w:color w:val="000000" w:themeColor="text1"/>
                <w:sz w:val="28"/>
                <w:szCs w:val="28"/>
                <w:lang w:val="en-GB"/>
              </w:rPr>
            </w:pPr>
            <w:r w:rsidRPr="00EB00AA">
              <w:rPr>
                <w:rFonts w:ascii="Arial" w:eastAsiaTheme="minorEastAsia" w:hAnsi="Arial" w:cs="Arial" w:hint="eastAsia"/>
                <w:color w:val="000000" w:themeColor="text1"/>
                <w:lang w:val="en-GB"/>
              </w:rPr>
              <w:t>I</w:t>
            </w:r>
            <w:r w:rsidRPr="00EB00AA">
              <w:rPr>
                <w:rFonts w:ascii="Arial" w:eastAsiaTheme="minorEastAsia" w:hAnsi="Arial" w:cs="Arial"/>
                <w:color w:val="000000" w:themeColor="text1"/>
                <w:lang w:val="en-GB"/>
              </w:rPr>
              <w:t>ntraoperative</w:t>
            </w:r>
          </w:p>
        </w:tc>
      </w:tr>
      <w:tr w:rsidR="006B7076" w14:paraId="7D1F82E4" w14:textId="77777777" w:rsidTr="004A6692">
        <w:trPr>
          <w:trHeight w:val="511"/>
        </w:trPr>
        <w:tc>
          <w:tcPr>
            <w:tcW w:w="1729" w:type="dxa"/>
          </w:tcPr>
          <w:p w14:paraId="39E9919B" w14:textId="5B1B7879" w:rsidR="006B7076" w:rsidRPr="006C7D17" w:rsidRDefault="000100F2" w:rsidP="00223F9C">
            <w:pPr>
              <w:spacing w:line="360" w:lineRule="auto"/>
              <w:rPr>
                <w:rFonts w:ascii="Arial" w:hAnsi="Arial" w:cs="Arial"/>
              </w:rPr>
            </w:pPr>
            <w:r w:rsidRPr="006C7D17">
              <w:rPr>
                <w:rFonts w:ascii="Arial" w:hAnsi="Arial" w:cs="Arial"/>
              </w:rPr>
              <w:t>Cisatracurium</w:t>
            </w:r>
          </w:p>
        </w:tc>
        <w:tc>
          <w:tcPr>
            <w:tcW w:w="5173" w:type="dxa"/>
          </w:tcPr>
          <w:p w14:paraId="5083BADA" w14:textId="4BD67A9C" w:rsidR="006B7076" w:rsidRPr="00883091" w:rsidRDefault="00883091" w:rsidP="00223F9C">
            <w:pPr>
              <w:spacing w:line="360" w:lineRule="auto"/>
              <w:rPr>
                <w:rFonts w:ascii="Arial" w:eastAsiaTheme="minorEastAsia" w:hAnsi="Arial" w:cs="Arial"/>
                <w:color w:val="000000" w:themeColor="text1"/>
                <w:lang w:val="en-GB"/>
              </w:rPr>
            </w:pPr>
            <w:r w:rsidRPr="00883091">
              <w:rPr>
                <w:rFonts w:ascii="Arial" w:hAnsi="Arial" w:cs="Arial"/>
              </w:rPr>
              <w:t>Cisatracurium</w:t>
            </w:r>
            <w:r w:rsidRPr="00883091">
              <w:rPr>
                <w:rFonts w:ascii="Arial" w:hAnsi="Arial" w:cs="Arial" w:hint="eastAsia"/>
              </w:rPr>
              <w:t>:</w:t>
            </w:r>
            <w:r w:rsidR="0028596A">
              <w:rPr>
                <w:rFonts w:ascii="Arial" w:hAnsi="Arial" w:cs="Arial" w:hint="eastAsia"/>
              </w:rPr>
              <w:t xml:space="preserve"> </w:t>
            </w:r>
            <w:r w:rsidR="0028596A" w:rsidRPr="00E2275D">
              <w:rPr>
                <w:rFonts w:ascii="Arial" w:eastAsiaTheme="minorEastAsia" w:hAnsi="Arial" w:cs="Arial"/>
                <w:color w:val="000000" w:themeColor="text1"/>
                <w:lang w:val="en-GB"/>
              </w:rPr>
              <w:t>produced by</w:t>
            </w:r>
            <w:r w:rsidR="0028596A">
              <w:rPr>
                <w:rFonts w:ascii="Arial" w:eastAsiaTheme="minorEastAsia" w:hAnsi="Arial" w:cs="Arial" w:hint="eastAsia"/>
                <w:color w:val="000000" w:themeColor="text1"/>
                <w:lang w:val="en-GB"/>
              </w:rPr>
              <w:t xml:space="preserve"> </w:t>
            </w:r>
            <w:r w:rsidRPr="00883091">
              <w:rPr>
                <w:rFonts w:ascii="Arial" w:eastAsiaTheme="minorEastAsia" w:hAnsi="Arial" w:cs="Arial"/>
                <w:color w:val="000000" w:themeColor="text1"/>
                <w:lang w:val="en-GB"/>
              </w:rPr>
              <w:t xml:space="preserve">Shanghai </w:t>
            </w:r>
            <w:proofErr w:type="spellStart"/>
            <w:r w:rsidRPr="00883091">
              <w:rPr>
                <w:rFonts w:ascii="Arial" w:eastAsiaTheme="minorEastAsia" w:hAnsi="Arial" w:cs="Arial"/>
                <w:color w:val="000000" w:themeColor="text1"/>
                <w:lang w:val="en-GB"/>
              </w:rPr>
              <w:t>Hengrui</w:t>
            </w:r>
            <w:proofErr w:type="spellEnd"/>
            <w:r w:rsidRPr="00883091">
              <w:rPr>
                <w:rFonts w:ascii="Arial" w:eastAsiaTheme="minorEastAsia" w:hAnsi="Arial" w:cs="Arial"/>
                <w:color w:val="000000" w:themeColor="text1"/>
                <w:lang w:val="en-GB"/>
              </w:rPr>
              <w:t xml:space="preserve"> Pharmaceutical Co., Ltd., </w:t>
            </w:r>
            <w:r w:rsidRPr="00E2275D">
              <w:rPr>
                <w:rFonts w:ascii="Arial" w:eastAsiaTheme="minorEastAsia" w:hAnsi="Arial" w:cs="Arial"/>
                <w:color w:val="000000" w:themeColor="text1"/>
                <w:lang w:val="en-GB"/>
              </w:rPr>
              <w:t xml:space="preserve">Chinese </w:t>
            </w:r>
            <w:r>
              <w:rPr>
                <w:rFonts w:ascii="Arial" w:eastAsiaTheme="minorEastAsia" w:hAnsi="Arial" w:cs="Arial" w:hint="eastAsia"/>
                <w:color w:val="000000" w:themeColor="text1"/>
                <w:lang w:val="en-GB"/>
              </w:rPr>
              <w:t>Drug</w:t>
            </w:r>
            <w:r w:rsidRPr="00E2275D">
              <w:rPr>
                <w:rFonts w:ascii="Arial" w:eastAsiaTheme="minorEastAsia" w:hAnsi="Arial" w:cs="Arial"/>
                <w:color w:val="000000" w:themeColor="text1"/>
                <w:lang w:val="en-GB"/>
              </w:rPr>
              <w:t xml:space="preserve"> approval number</w:t>
            </w:r>
            <w:r w:rsidRPr="00883091">
              <w:rPr>
                <w:rFonts w:ascii="Arial" w:eastAsiaTheme="minorEastAsia" w:hAnsi="Arial" w:cs="Arial"/>
                <w:color w:val="000000" w:themeColor="text1"/>
                <w:lang w:val="en-GB"/>
              </w:rPr>
              <w:t>: H20060869</w:t>
            </w:r>
            <w:r w:rsidRPr="00883091">
              <w:rPr>
                <w:rFonts w:ascii="Arial" w:eastAsiaTheme="minorEastAsia" w:hAnsi="Arial" w:cs="Arial" w:hint="eastAsia"/>
                <w:color w:val="000000" w:themeColor="text1"/>
                <w:lang w:val="en-GB"/>
              </w:rPr>
              <w:t>.</w:t>
            </w:r>
            <w:r w:rsidR="003679ED">
              <w:t xml:space="preserve"> </w:t>
            </w:r>
            <w:r w:rsidR="003679ED" w:rsidRPr="003679ED">
              <w:rPr>
                <w:rFonts w:ascii="Arial" w:eastAsiaTheme="minorEastAsia" w:hAnsi="Arial" w:cs="Arial"/>
                <w:color w:val="000000" w:themeColor="text1"/>
                <w:lang w:val="en-GB"/>
              </w:rPr>
              <w:t xml:space="preserve">Record the total dosage of drugs used during general </w:t>
            </w:r>
            <w:proofErr w:type="spellStart"/>
            <w:r w:rsidR="003679ED" w:rsidRPr="003679ED">
              <w:rPr>
                <w:rFonts w:ascii="Arial" w:eastAsiaTheme="minorEastAsia" w:hAnsi="Arial" w:cs="Arial"/>
                <w:color w:val="000000" w:themeColor="text1"/>
                <w:lang w:val="en-GB"/>
              </w:rPr>
              <w:t>anesthesia</w:t>
            </w:r>
            <w:proofErr w:type="spellEnd"/>
            <w:r w:rsidR="003679ED" w:rsidRPr="003679ED">
              <w:rPr>
                <w:rFonts w:ascii="Arial" w:eastAsiaTheme="minorEastAsia" w:hAnsi="Arial" w:cs="Arial"/>
                <w:color w:val="000000" w:themeColor="text1"/>
                <w:lang w:val="en-GB"/>
              </w:rPr>
              <w:t>, in milligrams.</w:t>
            </w:r>
          </w:p>
        </w:tc>
        <w:tc>
          <w:tcPr>
            <w:tcW w:w="1684" w:type="dxa"/>
          </w:tcPr>
          <w:p w14:paraId="68A42B56" w14:textId="3B140767" w:rsidR="006B7076" w:rsidRDefault="006E596F" w:rsidP="00223F9C">
            <w:pPr>
              <w:spacing w:line="360" w:lineRule="auto"/>
              <w:rPr>
                <w:rFonts w:ascii="Arial" w:eastAsiaTheme="minorEastAsia" w:hAnsi="Arial" w:cs="Arial"/>
                <w:b/>
                <w:bCs/>
                <w:color w:val="000000" w:themeColor="text1"/>
                <w:sz w:val="28"/>
                <w:szCs w:val="28"/>
                <w:lang w:val="en-GB"/>
              </w:rPr>
            </w:pPr>
            <w:r w:rsidRPr="00EB00AA">
              <w:rPr>
                <w:rFonts w:ascii="Arial" w:eastAsiaTheme="minorEastAsia" w:hAnsi="Arial" w:cs="Arial" w:hint="eastAsia"/>
                <w:color w:val="000000" w:themeColor="text1"/>
                <w:lang w:val="en-GB"/>
              </w:rPr>
              <w:t>I</w:t>
            </w:r>
            <w:r w:rsidRPr="00EB00AA">
              <w:rPr>
                <w:rFonts w:ascii="Arial" w:eastAsiaTheme="minorEastAsia" w:hAnsi="Arial" w:cs="Arial"/>
                <w:color w:val="000000" w:themeColor="text1"/>
                <w:lang w:val="en-GB"/>
              </w:rPr>
              <w:t>ntraoperative</w:t>
            </w:r>
          </w:p>
        </w:tc>
      </w:tr>
      <w:tr w:rsidR="006B7076" w14:paraId="1ABDBCB4" w14:textId="77777777" w:rsidTr="004A6692">
        <w:trPr>
          <w:trHeight w:val="511"/>
        </w:trPr>
        <w:tc>
          <w:tcPr>
            <w:tcW w:w="1729" w:type="dxa"/>
          </w:tcPr>
          <w:p w14:paraId="538EB822" w14:textId="481A7036" w:rsidR="006B7076" w:rsidRPr="006C7D17" w:rsidRDefault="00312437" w:rsidP="00223F9C">
            <w:pPr>
              <w:spacing w:line="360" w:lineRule="auto"/>
              <w:rPr>
                <w:rFonts w:ascii="Arial" w:hAnsi="Arial" w:cs="Arial"/>
              </w:rPr>
            </w:pPr>
            <w:r w:rsidRPr="006C7D17">
              <w:rPr>
                <w:rFonts w:ascii="Arial" w:hAnsi="Arial" w:cs="Arial"/>
              </w:rPr>
              <w:t>Oxycodone</w:t>
            </w:r>
          </w:p>
        </w:tc>
        <w:tc>
          <w:tcPr>
            <w:tcW w:w="5173" w:type="dxa"/>
          </w:tcPr>
          <w:p w14:paraId="253AC1BA" w14:textId="0E1E4C63" w:rsidR="006B7076" w:rsidRPr="00006B98" w:rsidRDefault="007221A2" w:rsidP="00223F9C">
            <w:pPr>
              <w:spacing w:line="360" w:lineRule="auto"/>
              <w:rPr>
                <w:rFonts w:ascii="Arial" w:eastAsiaTheme="minorEastAsia" w:hAnsi="Arial" w:cs="Arial"/>
                <w:lang w:val="en-GB"/>
              </w:rPr>
            </w:pPr>
            <w:r w:rsidRPr="006C7D17">
              <w:rPr>
                <w:rFonts w:ascii="Arial" w:hAnsi="Arial" w:cs="Arial"/>
              </w:rPr>
              <w:t>Oxycodone</w:t>
            </w:r>
            <w:r>
              <w:rPr>
                <w:rFonts w:ascii="宋体" w:eastAsia="宋体" w:hAnsi="宋体" w:cs="宋体" w:hint="eastAsia"/>
              </w:rPr>
              <w:t>：</w:t>
            </w:r>
            <w:r w:rsidRPr="00E2275D">
              <w:rPr>
                <w:rFonts w:ascii="Arial" w:eastAsiaTheme="minorEastAsia" w:hAnsi="Arial" w:cs="Arial"/>
                <w:color w:val="000000" w:themeColor="text1"/>
                <w:lang w:val="en-GB"/>
              </w:rPr>
              <w:t>produced by</w:t>
            </w:r>
            <w:r w:rsidRPr="00006B98">
              <w:rPr>
                <w:rFonts w:ascii="Arial" w:eastAsiaTheme="minorEastAsia" w:hAnsi="Arial" w:cs="Arial"/>
                <w:lang w:val="en-GB"/>
              </w:rPr>
              <w:t xml:space="preserve"> </w:t>
            </w:r>
            <w:r w:rsidR="00006B98" w:rsidRPr="00006B98">
              <w:rPr>
                <w:rFonts w:ascii="Arial" w:eastAsiaTheme="minorEastAsia" w:hAnsi="Arial" w:cs="Arial"/>
                <w:lang w:val="en-GB"/>
              </w:rPr>
              <w:t>Rafa Laboratories Ltd.</w:t>
            </w:r>
            <w:r w:rsidRPr="00E2275D">
              <w:rPr>
                <w:rFonts w:ascii="Arial" w:eastAsiaTheme="minorEastAsia" w:hAnsi="Arial" w:cs="Arial"/>
                <w:color w:val="000000" w:themeColor="text1"/>
                <w:lang w:val="en-GB"/>
              </w:rPr>
              <w:t xml:space="preserve"> </w:t>
            </w:r>
            <w:r w:rsidR="003679ED" w:rsidRPr="003679ED">
              <w:rPr>
                <w:rFonts w:ascii="Arial" w:eastAsiaTheme="minorEastAsia" w:hAnsi="Arial" w:cs="Arial"/>
                <w:color w:val="000000" w:themeColor="text1"/>
                <w:lang w:val="en-GB"/>
              </w:rPr>
              <w:t xml:space="preserve">Record the total dosage of drugs used during general </w:t>
            </w:r>
            <w:proofErr w:type="spellStart"/>
            <w:r w:rsidR="003679ED" w:rsidRPr="003679ED">
              <w:rPr>
                <w:rFonts w:ascii="Arial" w:eastAsiaTheme="minorEastAsia" w:hAnsi="Arial" w:cs="Arial"/>
                <w:color w:val="000000" w:themeColor="text1"/>
                <w:lang w:val="en-GB"/>
              </w:rPr>
              <w:t>anesthesia</w:t>
            </w:r>
            <w:proofErr w:type="spellEnd"/>
            <w:r w:rsidR="003679ED" w:rsidRPr="003679ED">
              <w:rPr>
                <w:rFonts w:ascii="Arial" w:eastAsiaTheme="minorEastAsia" w:hAnsi="Arial" w:cs="Arial"/>
                <w:color w:val="000000" w:themeColor="text1"/>
                <w:lang w:val="en-GB"/>
              </w:rPr>
              <w:t>, in milligrams.</w:t>
            </w:r>
          </w:p>
        </w:tc>
        <w:tc>
          <w:tcPr>
            <w:tcW w:w="1684" w:type="dxa"/>
          </w:tcPr>
          <w:p w14:paraId="5A26BA16" w14:textId="0A6CBFCE" w:rsidR="006B7076" w:rsidRDefault="006E596F" w:rsidP="00223F9C">
            <w:pPr>
              <w:spacing w:line="360" w:lineRule="auto"/>
              <w:rPr>
                <w:rFonts w:ascii="Arial" w:eastAsiaTheme="minorEastAsia" w:hAnsi="Arial" w:cs="Arial"/>
                <w:b/>
                <w:bCs/>
                <w:color w:val="000000" w:themeColor="text1"/>
                <w:sz w:val="28"/>
                <w:szCs w:val="28"/>
                <w:lang w:val="en-GB"/>
              </w:rPr>
            </w:pPr>
            <w:r w:rsidRPr="00EB00AA">
              <w:rPr>
                <w:rFonts w:ascii="Arial" w:eastAsiaTheme="minorEastAsia" w:hAnsi="Arial" w:cs="Arial" w:hint="eastAsia"/>
                <w:color w:val="000000" w:themeColor="text1"/>
                <w:lang w:val="en-GB"/>
              </w:rPr>
              <w:t>I</w:t>
            </w:r>
            <w:r w:rsidRPr="00EB00AA">
              <w:rPr>
                <w:rFonts w:ascii="Arial" w:eastAsiaTheme="minorEastAsia" w:hAnsi="Arial" w:cs="Arial"/>
                <w:color w:val="000000" w:themeColor="text1"/>
                <w:lang w:val="en-GB"/>
              </w:rPr>
              <w:t>ntraoperative</w:t>
            </w:r>
          </w:p>
        </w:tc>
      </w:tr>
      <w:tr w:rsidR="00312437" w14:paraId="6AAD6BC9" w14:textId="77777777" w:rsidTr="004A6692">
        <w:trPr>
          <w:trHeight w:val="511"/>
        </w:trPr>
        <w:tc>
          <w:tcPr>
            <w:tcW w:w="1729" w:type="dxa"/>
          </w:tcPr>
          <w:p w14:paraId="4F7FE5AC" w14:textId="48CB5D9C" w:rsidR="00312437" w:rsidRPr="006C7D17" w:rsidRDefault="00E01058" w:rsidP="00223F9C">
            <w:pPr>
              <w:spacing w:line="360" w:lineRule="auto"/>
              <w:rPr>
                <w:rFonts w:ascii="Arial" w:hAnsi="Arial" w:cs="Arial"/>
              </w:rPr>
            </w:pPr>
            <w:r w:rsidRPr="006C7D17">
              <w:rPr>
                <w:rFonts w:ascii="Arial" w:hAnsi="Arial" w:cs="Arial"/>
              </w:rPr>
              <w:t>Infusion</w:t>
            </w:r>
          </w:p>
        </w:tc>
        <w:tc>
          <w:tcPr>
            <w:tcW w:w="5173" w:type="dxa"/>
          </w:tcPr>
          <w:p w14:paraId="789AD18C" w14:textId="3187CA17" w:rsidR="00312437" w:rsidRPr="00340315" w:rsidRDefault="00340315" w:rsidP="00223F9C">
            <w:pPr>
              <w:spacing w:line="360" w:lineRule="auto"/>
              <w:rPr>
                <w:rFonts w:ascii="Arial" w:eastAsiaTheme="minorEastAsia" w:hAnsi="Arial" w:cs="Arial"/>
                <w:color w:val="000000" w:themeColor="text1"/>
                <w:lang w:val="en-GB"/>
              </w:rPr>
            </w:pPr>
            <w:r w:rsidRPr="00340315">
              <w:rPr>
                <w:rFonts w:ascii="Arial" w:eastAsiaTheme="minorEastAsia" w:hAnsi="Arial" w:cs="Arial"/>
                <w:color w:val="000000" w:themeColor="text1"/>
                <w:lang w:val="en-GB"/>
              </w:rPr>
              <w:t xml:space="preserve">Record the total volume of intravenous fluids administered during the entire surgery, in </w:t>
            </w:r>
            <w:proofErr w:type="spellStart"/>
            <w:r w:rsidRPr="00340315">
              <w:rPr>
                <w:rFonts w:ascii="Arial" w:eastAsiaTheme="minorEastAsia" w:hAnsi="Arial" w:cs="Arial"/>
                <w:color w:val="000000" w:themeColor="text1"/>
                <w:lang w:val="en-GB"/>
              </w:rPr>
              <w:t>milliliters</w:t>
            </w:r>
            <w:proofErr w:type="spellEnd"/>
            <w:r w:rsidRPr="00340315">
              <w:rPr>
                <w:rFonts w:ascii="Arial" w:eastAsiaTheme="minorEastAsia" w:hAnsi="Arial" w:cs="Arial"/>
                <w:color w:val="000000" w:themeColor="text1"/>
                <w:lang w:val="en-GB"/>
              </w:rPr>
              <w:t>.</w:t>
            </w:r>
          </w:p>
        </w:tc>
        <w:tc>
          <w:tcPr>
            <w:tcW w:w="1684" w:type="dxa"/>
          </w:tcPr>
          <w:p w14:paraId="6665CE6F" w14:textId="0B0E7E8B" w:rsidR="00312437" w:rsidRDefault="00340315" w:rsidP="00223F9C">
            <w:pPr>
              <w:spacing w:line="360" w:lineRule="auto"/>
              <w:rPr>
                <w:rFonts w:ascii="Arial" w:eastAsiaTheme="minorEastAsia" w:hAnsi="Arial" w:cs="Arial"/>
                <w:b/>
                <w:bCs/>
                <w:color w:val="000000" w:themeColor="text1"/>
                <w:sz w:val="28"/>
                <w:szCs w:val="28"/>
                <w:lang w:val="en-GB"/>
              </w:rPr>
            </w:pPr>
            <w:r w:rsidRPr="00EB00AA">
              <w:rPr>
                <w:rFonts w:ascii="Arial" w:eastAsiaTheme="minorEastAsia" w:hAnsi="Arial" w:cs="Arial" w:hint="eastAsia"/>
                <w:color w:val="000000" w:themeColor="text1"/>
                <w:lang w:val="en-GB"/>
              </w:rPr>
              <w:t>I</w:t>
            </w:r>
            <w:r w:rsidRPr="00EB00AA">
              <w:rPr>
                <w:rFonts w:ascii="Arial" w:eastAsiaTheme="minorEastAsia" w:hAnsi="Arial" w:cs="Arial"/>
                <w:color w:val="000000" w:themeColor="text1"/>
                <w:lang w:val="en-GB"/>
              </w:rPr>
              <w:t>ntraoperative</w:t>
            </w:r>
          </w:p>
        </w:tc>
      </w:tr>
      <w:tr w:rsidR="00312437" w14:paraId="2152EEDA" w14:textId="77777777" w:rsidTr="004A6692">
        <w:trPr>
          <w:trHeight w:val="511"/>
        </w:trPr>
        <w:tc>
          <w:tcPr>
            <w:tcW w:w="1729" w:type="dxa"/>
          </w:tcPr>
          <w:p w14:paraId="19030156" w14:textId="3E44947F" w:rsidR="00312437" w:rsidRPr="004F6233" w:rsidRDefault="006B3C15" w:rsidP="00223F9C">
            <w:pPr>
              <w:spacing w:line="360" w:lineRule="auto"/>
              <w:rPr>
                <w:rFonts w:ascii="Arial" w:hAnsi="Arial" w:cs="Arial"/>
              </w:rPr>
            </w:pPr>
            <w:r w:rsidRPr="004F6233">
              <w:rPr>
                <w:rFonts w:ascii="Arial" w:hAnsi="Arial" w:cs="Arial"/>
              </w:rPr>
              <w:t>Urine output</w:t>
            </w:r>
          </w:p>
        </w:tc>
        <w:tc>
          <w:tcPr>
            <w:tcW w:w="5173" w:type="dxa"/>
          </w:tcPr>
          <w:p w14:paraId="2356FFB5" w14:textId="16BACCC7" w:rsidR="00312437" w:rsidRPr="004F6233" w:rsidRDefault="004F6233" w:rsidP="00223F9C">
            <w:pPr>
              <w:spacing w:line="360" w:lineRule="auto"/>
              <w:rPr>
                <w:rFonts w:ascii="Arial" w:eastAsiaTheme="minorEastAsia" w:hAnsi="Arial" w:cs="Arial"/>
                <w:color w:val="000000" w:themeColor="text1"/>
                <w:lang w:val="en-GB"/>
              </w:rPr>
            </w:pPr>
            <w:r w:rsidRPr="004F6233">
              <w:rPr>
                <w:rFonts w:ascii="Arial" w:eastAsiaTheme="minorEastAsia" w:hAnsi="Arial" w:cs="Arial"/>
                <w:color w:val="000000" w:themeColor="text1"/>
                <w:lang w:val="en-GB"/>
              </w:rPr>
              <w:t xml:space="preserve">Record the total urine output of </w:t>
            </w:r>
            <w:r w:rsidRPr="004F6233">
              <w:rPr>
                <w:rFonts w:ascii="Arial" w:eastAsiaTheme="minorEastAsia" w:hAnsi="Arial" w:cs="Arial" w:hint="eastAsia"/>
                <w:color w:val="000000" w:themeColor="text1"/>
                <w:lang w:val="en-GB"/>
              </w:rPr>
              <w:t>the</w:t>
            </w:r>
            <w:r w:rsidRPr="004F6233">
              <w:rPr>
                <w:rFonts w:ascii="Arial" w:eastAsiaTheme="minorEastAsia" w:hAnsi="Arial" w:cs="Arial"/>
                <w:color w:val="000000" w:themeColor="text1"/>
                <w:lang w:val="en-GB"/>
              </w:rPr>
              <w:t xml:space="preserve"> participants throughout the surgery, in </w:t>
            </w:r>
            <w:proofErr w:type="spellStart"/>
            <w:r w:rsidRPr="004F6233">
              <w:rPr>
                <w:rFonts w:ascii="Arial" w:eastAsiaTheme="minorEastAsia" w:hAnsi="Arial" w:cs="Arial"/>
                <w:color w:val="000000" w:themeColor="text1"/>
                <w:lang w:val="en-GB"/>
              </w:rPr>
              <w:t>milliliters</w:t>
            </w:r>
            <w:proofErr w:type="spellEnd"/>
            <w:r w:rsidRPr="004F6233">
              <w:rPr>
                <w:rFonts w:ascii="Arial" w:eastAsiaTheme="minorEastAsia" w:hAnsi="Arial" w:cs="Arial"/>
                <w:color w:val="000000" w:themeColor="text1"/>
                <w:lang w:val="en-GB"/>
              </w:rPr>
              <w:t>.</w:t>
            </w:r>
          </w:p>
        </w:tc>
        <w:tc>
          <w:tcPr>
            <w:tcW w:w="1684" w:type="dxa"/>
          </w:tcPr>
          <w:p w14:paraId="5B9C96D2" w14:textId="46195F0E" w:rsidR="00312437" w:rsidRDefault="00340315" w:rsidP="00223F9C">
            <w:pPr>
              <w:spacing w:line="360" w:lineRule="auto"/>
              <w:rPr>
                <w:rFonts w:ascii="Arial" w:eastAsiaTheme="minorEastAsia" w:hAnsi="Arial" w:cs="Arial"/>
                <w:b/>
                <w:bCs/>
                <w:color w:val="000000" w:themeColor="text1"/>
                <w:sz w:val="28"/>
                <w:szCs w:val="28"/>
                <w:lang w:val="en-GB"/>
              </w:rPr>
            </w:pPr>
            <w:r w:rsidRPr="00EB00AA">
              <w:rPr>
                <w:rFonts w:ascii="Arial" w:eastAsiaTheme="minorEastAsia" w:hAnsi="Arial" w:cs="Arial" w:hint="eastAsia"/>
                <w:color w:val="000000" w:themeColor="text1"/>
                <w:lang w:val="en-GB"/>
              </w:rPr>
              <w:t>I</w:t>
            </w:r>
            <w:r w:rsidRPr="00EB00AA">
              <w:rPr>
                <w:rFonts w:ascii="Arial" w:eastAsiaTheme="minorEastAsia" w:hAnsi="Arial" w:cs="Arial"/>
                <w:color w:val="000000" w:themeColor="text1"/>
                <w:lang w:val="en-GB"/>
              </w:rPr>
              <w:t>ntraoperative</w:t>
            </w:r>
          </w:p>
        </w:tc>
      </w:tr>
      <w:tr w:rsidR="004A6692" w14:paraId="3741D628" w14:textId="77777777" w:rsidTr="004A6692">
        <w:trPr>
          <w:trHeight w:val="511"/>
        </w:trPr>
        <w:tc>
          <w:tcPr>
            <w:tcW w:w="1729" w:type="dxa"/>
          </w:tcPr>
          <w:p w14:paraId="0ACE3ABD" w14:textId="6503088F" w:rsidR="004A6692" w:rsidRPr="004F6233" w:rsidRDefault="004A6692" w:rsidP="004A6692">
            <w:pPr>
              <w:spacing w:line="360" w:lineRule="auto"/>
              <w:rPr>
                <w:rFonts w:ascii="Arial" w:hAnsi="Arial" w:cs="Arial"/>
              </w:rPr>
            </w:pPr>
            <w:r>
              <w:rPr>
                <w:rFonts w:ascii="Arial" w:hAnsi="Arial" w:cs="Arial"/>
              </w:rPr>
              <w:t>MAP, SVR, SVV, CO</w:t>
            </w:r>
          </w:p>
        </w:tc>
        <w:tc>
          <w:tcPr>
            <w:tcW w:w="5173" w:type="dxa"/>
          </w:tcPr>
          <w:p w14:paraId="24B0228E" w14:textId="5DDDE13B" w:rsidR="004A6692" w:rsidRPr="004F6233" w:rsidRDefault="004A6692" w:rsidP="004A6692">
            <w:pPr>
              <w:spacing w:line="360" w:lineRule="auto"/>
              <w:rPr>
                <w:rFonts w:ascii="Arial" w:eastAsiaTheme="minorEastAsia" w:hAnsi="Arial" w:cs="Arial"/>
                <w:color w:val="000000" w:themeColor="text1"/>
                <w:lang w:val="en-GB"/>
              </w:rPr>
            </w:pPr>
            <w:r w:rsidRPr="004A6692">
              <w:rPr>
                <w:rFonts w:ascii="Arial" w:eastAsiaTheme="minorEastAsia" w:hAnsi="Arial" w:cs="Arial"/>
                <w:color w:val="000000" w:themeColor="text1"/>
                <w:lang w:val="en-GB"/>
              </w:rPr>
              <w:t>During the surgery, invasive arterial pressure and the Masimo LiDCO™ hemodynamic monitoring system (Masimo Corporation, California, USA) were used. Hemodynamic monitoring was conducted. Hemodynamic parameters such as mean arterial pressure (MAP), systemic vascular resistance (SVR), stroke volume variability (SVV), and cardiac output (CO) were recorded before the start of the surgery (T0) and every 30 minutes after the surgery (T1-T6).</w:t>
            </w:r>
          </w:p>
        </w:tc>
        <w:tc>
          <w:tcPr>
            <w:tcW w:w="1684" w:type="dxa"/>
          </w:tcPr>
          <w:p w14:paraId="142A566A" w14:textId="2CE73E4D" w:rsidR="004A6692" w:rsidRPr="00EB00AA" w:rsidRDefault="004A6692" w:rsidP="004A6692">
            <w:pPr>
              <w:spacing w:line="360" w:lineRule="auto"/>
              <w:rPr>
                <w:rFonts w:ascii="Arial" w:eastAsiaTheme="minorEastAsia" w:hAnsi="Arial" w:cs="Arial"/>
                <w:color w:val="000000" w:themeColor="text1"/>
                <w:lang w:val="en-GB"/>
              </w:rPr>
            </w:pPr>
            <w:r w:rsidRPr="00EB00AA">
              <w:rPr>
                <w:rFonts w:ascii="Arial" w:eastAsiaTheme="minorEastAsia" w:hAnsi="Arial" w:cs="Arial" w:hint="eastAsia"/>
                <w:color w:val="000000" w:themeColor="text1"/>
                <w:lang w:val="en-GB"/>
              </w:rPr>
              <w:t>I</w:t>
            </w:r>
            <w:r w:rsidRPr="00EB00AA">
              <w:rPr>
                <w:rFonts w:ascii="Arial" w:eastAsiaTheme="minorEastAsia" w:hAnsi="Arial" w:cs="Arial"/>
                <w:color w:val="000000" w:themeColor="text1"/>
                <w:lang w:val="en-GB"/>
              </w:rPr>
              <w:t>ntraoperative</w:t>
            </w:r>
          </w:p>
        </w:tc>
      </w:tr>
      <w:tr w:rsidR="004A6692" w14:paraId="32A51219" w14:textId="77777777" w:rsidTr="004A6692">
        <w:trPr>
          <w:trHeight w:val="557"/>
        </w:trPr>
        <w:tc>
          <w:tcPr>
            <w:tcW w:w="1729" w:type="dxa"/>
          </w:tcPr>
          <w:p w14:paraId="2CCEA1A2" w14:textId="50C9FD3A" w:rsidR="004A6692" w:rsidRPr="006C7D17" w:rsidRDefault="004A6692" w:rsidP="004A6692">
            <w:pPr>
              <w:spacing w:line="360" w:lineRule="auto"/>
              <w:rPr>
                <w:rFonts w:ascii="Arial" w:hAnsi="Arial" w:cs="Arial"/>
              </w:rPr>
            </w:pPr>
            <w:r w:rsidRPr="006C7D17">
              <w:rPr>
                <w:rFonts w:ascii="Arial" w:hAnsi="Arial" w:cs="Arial"/>
              </w:rPr>
              <w:t>PONV</w:t>
            </w:r>
          </w:p>
        </w:tc>
        <w:tc>
          <w:tcPr>
            <w:tcW w:w="5173" w:type="dxa"/>
          </w:tcPr>
          <w:p w14:paraId="0E1B7E00" w14:textId="14E2014B" w:rsidR="004A6692" w:rsidRDefault="004A6692" w:rsidP="004A6692">
            <w:pPr>
              <w:spacing w:line="360" w:lineRule="auto"/>
              <w:rPr>
                <w:rFonts w:ascii="Arial" w:eastAsiaTheme="minorEastAsia" w:hAnsi="Arial" w:cs="Arial"/>
                <w:b/>
                <w:bCs/>
                <w:color w:val="000000" w:themeColor="text1"/>
                <w:sz w:val="28"/>
                <w:szCs w:val="28"/>
                <w:lang w:val="en-GB"/>
              </w:rPr>
            </w:pPr>
            <w:r w:rsidRPr="00C71B4D">
              <w:rPr>
                <w:rFonts w:ascii="Arial" w:eastAsia="宋体" w:hAnsi="Arial" w:cs="Arial"/>
                <w:color w:val="0E0E0E"/>
                <w:kern w:val="0"/>
              </w:rPr>
              <w:t xml:space="preserve">Postoperative Nausea and Vomiting (PONV) is defined as the occurrence of nausea and/or vomiting at any time within 48 hours post-surgery. If nausea or vomiting is observed during this period, it is considered a positive case of PONV. </w:t>
            </w:r>
          </w:p>
        </w:tc>
        <w:tc>
          <w:tcPr>
            <w:tcW w:w="1684" w:type="dxa"/>
          </w:tcPr>
          <w:p w14:paraId="4FBD77AD" w14:textId="796D8F81" w:rsidR="004A6692" w:rsidRPr="00473A6B" w:rsidRDefault="004A6692" w:rsidP="004A6692">
            <w:pPr>
              <w:spacing w:line="360" w:lineRule="auto"/>
              <w:rPr>
                <w:rFonts w:ascii="Arial" w:eastAsiaTheme="minorEastAsia" w:hAnsi="Arial" w:cs="Arial"/>
                <w:color w:val="000000" w:themeColor="text1"/>
                <w:lang w:val="en-GB"/>
              </w:rPr>
            </w:pPr>
            <w:r w:rsidRPr="00473A6B">
              <w:rPr>
                <w:rFonts w:ascii="Arial" w:eastAsiaTheme="minorEastAsia" w:hAnsi="Arial" w:cs="Arial"/>
                <w:color w:val="000000" w:themeColor="text1"/>
                <w:lang w:val="en-GB"/>
              </w:rPr>
              <w:t>Postoperative</w:t>
            </w:r>
          </w:p>
        </w:tc>
      </w:tr>
      <w:tr w:rsidR="004A6692" w14:paraId="19F72FB3" w14:textId="77777777" w:rsidTr="004A6692">
        <w:trPr>
          <w:trHeight w:val="511"/>
        </w:trPr>
        <w:tc>
          <w:tcPr>
            <w:tcW w:w="1729" w:type="dxa"/>
          </w:tcPr>
          <w:p w14:paraId="669021A6" w14:textId="15CB29F8" w:rsidR="004A6692" w:rsidRPr="006C7D17" w:rsidRDefault="004A6692" w:rsidP="004A6692">
            <w:pPr>
              <w:spacing w:line="360" w:lineRule="auto"/>
              <w:rPr>
                <w:rFonts w:ascii="Arial" w:hAnsi="Arial" w:cs="Arial"/>
              </w:rPr>
            </w:pPr>
            <w:proofErr w:type="spellStart"/>
            <w:r w:rsidRPr="006C7D17">
              <w:rPr>
                <w:rFonts w:ascii="Arial" w:hAnsi="Arial" w:cs="Arial"/>
              </w:rPr>
              <w:t>PreHb</w:t>
            </w:r>
            <w:proofErr w:type="spellEnd"/>
            <w:r>
              <w:rPr>
                <w:rFonts w:ascii="Arial" w:hAnsi="Arial" w:cs="Arial" w:hint="eastAsia"/>
              </w:rPr>
              <w:t>,</w:t>
            </w:r>
            <w:r w:rsidRPr="006C7D17">
              <w:rPr>
                <w:rFonts w:ascii="Arial" w:hAnsi="Arial" w:cs="Arial"/>
              </w:rPr>
              <w:t xml:space="preserve"> </w:t>
            </w:r>
            <w:proofErr w:type="spellStart"/>
            <w:r w:rsidRPr="006C7D17">
              <w:rPr>
                <w:rFonts w:ascii="Arial" w:hAnsi="Arial" w:cs="Arial"/>
              </w:rPr>
              <w:t>PostHb</w:t>
            </w:r>
            <w:proofErr w:type="spellEnd"/>
            <w:r>
              <w:rPr>
                <w:rFonts w:ascii="Arial" w:hAnsi="Arial" w:cs="Arial" w:hint="eastAsia"/>
              </w:rPr>
              <w:t>,</w:t>
            </w:r>
            <w:r w:rsidRPr="006C7D17">
              <w:rPr>
                <w:rFonts w:ascii="Arial" w:hAnsi="Arial" w:cs="Arial"/>
              </w:rPr>
              <w:t xml:space="preserve"> </w:t>
            </w:r>
            <w:proofErr w:type="spellStart"/>
            <w:r w:rsidRPr="006C7D17">
              <w:rPr>
                <w:rFonts w:ascii="Arial" w:hAnsi="Arial" w:cs="Arial"/>
              </w:rPr>
              <w:t>DeHb</w:t>
            </w:r>
            <w:proofErr w:type="spellEnd"/>
          </w:p>
        </w:tc>
        <w:tc>
          <w:tcPr>
            <w:tcW w:w="5173" w:type="dxa"/>
          </w:tcPr>
          <w:p w14:paraId="4267C501" w14:textId="72378A62" w:rsidR="004A6692" w:rsidRPr="00C7331E" w:rsidRDefault="004A6692" w:rsidP="004A6692">
            <w:pPr>
              <w:spacing w:line="360" w:lineRule="auto"/>
              <w:rPr>
                <w:rFonts w:ascii="Arial" w:eastAsiaTheme="minorEastAsia" w:hAnsi="Arial" w:cs="Arial"/>
                <w:color w:val="000000" w:themeColor="text1"/>
                <w:lang w:val="en-GB"/>
              </w:rPr>
            </w:pPr>
            <w:r w:rsidRPr="00C7331E">
              <w:rPr>
                <w:rFonts w:ascii="Arial" w:eastAsiaTheme="minorEastAsia" w:hAnsi="Arial" w:cs="Arial"/>
                <w:color w:val="000000" w:themeColor="text1"/>
                <w:lang w:val="en-GB"/>
              </w:rPr>
              <w:t xml:space="preserve">Venous blood was collected from participants before and after surgery to measure the </w:t>
            </w:r>
            <w:proofErr w:type="spellStart"/>
            <w:r w:rsidRPr="00C7331E">
              <w:rPr>
                <w:rFonts w:ascii="Arial" w:eastAsiaTheme="minorEastAsia" w:hAnsi="Arial" w:cs="Arial"/>
                <w:color w:val="000000" w:themeColor="text1"/>
                <w:lang w:val="en-GB"/>
              </w:rPr>
              <w:t>hemoglobin</w:t>
            </w:r>
            <w:proofErr w:type="spellEnd"/>
            <w:r w:rsidRPr="00C7331E">
              <w:rPr>
                <w:rFonts w:ascii="Arial" w:eastAsiaTheme="minorEastAsia" w:hAnsi="Arial" w:cs="Arial"/>
                <w:color w:val="000000" w:themeColor="text1"/>
                <w:lang w:val="en-GB"/>
              </w:rPr>
              <w:t xml:space="preserve"> content in the venous blood, recorded as </w:t>
            </w:r>
            <w:proofErr w:type="spellStart"/>
            <w:r>
              <w:rPr>
                <w:rFonts w:ascii="Arial" w:eastAsiaTheme="minorEastAsia" w:hAnsi="Arial" w:cs="Arial" w:hint="eastAsia"/>
                <w:color w:val="000000" w:themeColor="text1"/>
                <w:lang w:val="en-GB"/>
              </w:rPr>
              <w:t>P</w:t>
            </w:r>
            <w:r w:rsidRPr="00C7331E">
              <w:rPr>
                <w:rFonts w:ascii="Arial" w:eastAsiaTheme="minorEastAsia" w:hAnsi="Arial" w:cs="Arial"/>
                <w:color w:val="000000" w:themeColor="text1"/>
                <w:lang w:val="en-GB"/>
              </w:rPr>
              <w:t>reH</w:t>
            </w:r>
            <w:r>
              <w:rPr>
                <w:rFonts w:ascii="Arial" w:eastAsiaTheme="minorEastAsia" w:hAnsi="Arial" w:cs="Arial" w:hint="eastAsia"/>
                <w:color w:val="000000" w:themeColor="text1"/>
                <w:lang w:val="en-GB"/>
              </w:rPr>
              <w:t>b</w:t>
            </w:r>
            <w:proofErr w:type="spellEnd"/>
            <w:r w:rsidRPr="00C7331E">
              <w:rPr>
                <w:rFonts w:ascii="Arial" w:eastAsiaTheme="minorEastAsia" w:hAnsi="Arial" w:cs="Arial" w:hint="eastAsia"/>
                <w:color w:val="000000" w:themeColor="text1"/>
                <w:lang w:val="en-GB"/>
              </w:rPr>
              <w:t xml:space="preserve"> </w:t>
            </w:r>
            <w:r w:rsidRPr="00C7331E">
              <w:rPr>
                <w:rFonts w:ascii="Arial" w:eastAsiaTheme="minorEastAsia" w:hAnsi="Arial" w:cs="Arial"/>
                <w:color w:val="000000" w:themeColor="text1"/>
                <w:lang w:val="en-GB"/>
              </w:rPr>
              <w:t xml:space="preserve">and </w:t>
            </w:r>
            <w:proofErr w:type="spellStart"/>
            <w:r>
              <w:rPr>
                <w:rFonts w:ascii="Arial" w:eastAsiaTheme="minorEastAsia" w:hAnsi="Arial" w:cs="Arial" w:hint="eastAsia"/>
                <w:color w:val="000000" w:themeColor="text1"/>
                <w:lang w:val="en-GB"/>
              </w:rPr>
              <w:t>P</w:t>
            </w:r>
            <w:r w:rsidRPr="00C7331E">
              <w:rPr>
                <w:rFonts w:ascii="Arial" w:eastAsiaTheme="minorEastAsia" w:hAnsi="Arial" w:cs="Arial"/>
                <w:color w:val="000000" w:themeColor="text1"/>
                <w:lang w:val="en-GB"/>
              </w:rPr>
              <w:t>ostH</w:t>
            </w:r>
            <w:r>
              <w:rPr>
                <w:rFonts w:ascii="Arial" w:eastAsiaTheme="minorEastAsia" w:hAnsi="Arial" w:cs="Arial" w:hint="eastAsia"/>
                <w:color w:val="000000" w:themeColor="text1"/>
                <w:lang w:val="en-GB"/>
              </w:rPr>
              <w:t>b</w:t>
            </w:r>
            <w:proofErr w:type="spellEnd"/>
            <w:r w:rsidRPr="00C7331E">
              <w:rPr>
                <w:rFonts w:ascii="Arial" w:eastAsiaTheme="minorEastAsia" w:hAnsi="Arial" w:cs="Arial"/>
                <w:color w:val="000000" w:themeColor="text1"/>
                <w:lang w:val="en-GB"/>
              </w:rPr>
              <w:t xml:space="preserve"> respectively. The decrease in </w:t>
            </w:r>
            <w:proofErr w:type="spellStart"/>
            <w:r w:rsidRPr="00C7331E">
              <w:rPr>
                <w:rFonts w:ascii="Arial" w:eastAsiaTheme="minorEastAsia" w:hAnsi="Arial" w:cs="Arial"/>
                <w:color w:val="000000" w:themeColor="text1"/>
                <w:lang w:val="en-GB"/>
              </w:rPr>
              <w:t>hemoglobin</w:t>
            </w:r>
            <w:proofErr w:type="spellEnd"/>
            <w:r w:rsidRPr="00C7331E">
              <w:rPr>
                <w:rFonts w:ascii="Arial" w:eastAsiaTheme="minorEastAsia" w:hAnsi="Arial" w:cs="Arial"/>
                <w:color w:val="000000" w:themeColor="text1"/>
                <w:lang w:val="en-GB"/>
              </w:rPr>
              <w:t xml:space="preserve"> was calculated and recorded as </w:t>
            </w:r>
            <w:proofErr w:type="spellStart"/>
            <w:r w:rsidRPr="00C7331E">
              <w:rPr>
                <w:rFonts w:ascii="Arial" w:eastAsiaTheme="minorEastAsia" w:hAnsi="Arial" w:cs="Arial"/>
                <w:color w:val="000000" w:themeColor="text1"/>
                <w:lang w:val="en-GB"/>
              </w:rPr>
              <w:t>D</w:t>
            </w:r>
            <w:r>
              <w:rPr>
                <w:rFonts w:ascii="Arial" w:eastAsiaTheme="minorEastAsia" w:hAnsi="Arial" w:cs="Arial" w:hint="eastAsia"/>
                <w:color w:val="000000" w:themeColor="text1"/>
                <w:lang w:val="en-GB"/>
              </w:rPr>
              <w:t>e</w:t>
            </w:r>
            <w:r w:rsidRPr="00C7331E">
              <w:rPr>
                <w:rFonts w:ascii="Arial" w:eastAsiaTheme="minorEastAsia" w:hAnsi="Arial" w:cs="Arial"/>
                <w:color w:val="000000" w:themeColor="text1"/>
                <w:lang w:val="en-GB"/>
              </w:rPr>
              <w:t>Hb</w:t>
            </w:r>
            <w:proofErr w:type="spellEnd"/>
            <w:r w:rsidRPr="00C7331E">
              <w:rPr>
                <w:rFonts w:ascii="Arial" w:eastAsiaTheme="minorEastAsia" w:hAnsi="Arial" w:cs="Arial"/>
                <w:color w:val="000000" w:themeColor="text1"/>
                <w:lang w:val="en-GB"/>
              </w:rPr>
              <w:t>, with units in g/L.</w:t>
            </w:r>
            <w:r>
              <w:t xml:space="preserve"> </w:t>
            </w:r>
            <w:r w:rsidRPr="00924BE6">
              <w:rPr>
                <w:rFonts w:ascii="Arial" w:eastAsiaTheme="minorEastAsia" w:hAnsi="Arial" w:cs="Arial"/>
                <w:color w:val="000000" w:themeColor="text1"/>
                <w:lang w:val="en-GB"/>
              </w:rPr>
              <w:t>he testing was conducted in the biochemical laboratory of the research hospital.</w:t>
            </w:r>
          </w:p>
        </w:tc>
        <w:tc>
          <w:tcPr>
            <w:tcW w:w="1684" w:type="dxa"/>
          </w:tcPr>
          <w:p w14:paraId="21FDA031" w14:textId="77777777" w:rsidR="004A6692" w:rsidRDefault="004A6692" w:rsidP="004A6692">
            <w:pPr>
              <w:spacing w:line="360" w:lineRule="auto"/>
              <w:rPr>
                <w:rFonts w:ascii="Arial" w:eastAsiaTheme="minorEastAsia" w:hAnsi="Arial" w:cs="Arial"/>
                <w:b/>
                <w:bCs/>
                <w:color w:val="000000" w:themeColor="text1"/>
                <w:sz w:val="28"/>
                <w:szCs w:val="28"/>
                <w:lang w:val="en-GB"/>
              </w:rPr>
            </w:pPr>
          </w:p>
        </w:tc>
      </w:tr>
      <w:tr w:rsidR="004A6692" w14:paraId="1CAB8973" w14:textId="77777777" w:rsidTr="004A6692">
        <w:trPr>
          <w:trHeight w:val="511"/>
        </w:trPr>
        <w:tc>
          <w:tcPr>
            <w:tcW w:w="1729" w:type="dxa"/>
          </w:tcPr>
          <w:p w14:paraId="352A8FFF" w14:textId="699B2720" w:rsidR="004A6692" w:rsidRPr="006C7D17" w:rsidRDefault="004A6692" w:rsidP="004A6692">
            <w:pPr>
              <w:spacing w:line="360" w:lineRule="auto"/>
              <w:rPr>
                <w:rFonts w:ascii="Arial" w:hAnsi="Arial" w:cs="Arial"/>
              </w:rPr>
            </w:pPr>
            <w:r>
              <w:rPr>
                <w:rFonts w:ascii="Arial" w:hAnsi="Arial" w:cs="Arial" w:hint="eastAsia"/>
              </w:rPr>
              <w:t>KIM-</w:t>
            </w:r>
            <w:r>
              <w:rPr>
                <w:rFonts w:ascii="Arial" w:hAnsi="Arial" w:cs="Arial"/>
              </w:rPr>
              <w:t>1, TIMP</w:t>
            </w:r>
            <w:r>
              <w:rPr>
                <w:rFonts w:ascii="Arial" w:hAnsi="Arial" w:cs="Arial" w:hint="eastAsia"/>
              </w:rPr>
              <w:t>-</w:t>
            </w:r>
            <w:r>
              <w:rPr>
                <w:rFonts w:ascii="Arial" w:hAnsi="Arial" w:cs="Arial"/>
              </w:rPr>
              <w:t>2, IL</w:t>
            </w:r>
            <w:r>
              <w:rPr>
                <w:rFonts w:ascii="Arial" w:hAnsi="Arial" w:cs="Arial" w:hint="eastAsia"/>
              </w:rPr>
              <w:t>-18</w:t>
            </w:r>
          </w:p>
        </w:tc>
        <w:tc>
          <w:tcPr>
            <w:tcW w:w="5173" w:type="dxa"/>
          </w:tcPr>
          <w:p w14:paraId="3CE2EC53" w14:textId="2D356275" w:rsidR="004A6692" w:rsidRDefault="009931EF" w:rsidP="004A6692">
            <w:pPr>
              <w:spacing w:line="360" w:lineRule="auto"/>
              <w:rPr>
                <w:rFonts w:ascii="Arial" w:eastAsiaTheme="minorEastAsia" w:hAnsi="Arial" w:cs="Arial"/>
                <w:b/>
                <w:bCs/>
                <w:color w:val="000000" w:themeColor="text1"/>
                <w:sz w:val="28"/>
                <w:szCs w:val="28"/>
                <w:lang w:val="en-GB"/>
              </w:rPr>
            </w:pPr>
            <w:r>
              <w:rPr>
                <w:rFonts w:ascii="Arial" w:hAnsi="Arial" w:cs="Arial" w:hint="eastAsia"/>
              </w:rPr>
              <w:t>U</w:t>
            </w:r>
            <w:r w:rsidRPr="000324DE">
              <w:rPr>
                <w:rFonts w:ascii="Arial" w:hAnsi="Arial" w:cs="Arial"/>
              </w:rPr>
              <w:t>rine samples collected pre-surgery, and on days 1, 2, and 6 post-</w:t>
            </w:r>
            <w:proofErr w:type="gramStart"/>
            <w:r w:rsidRPr="000324DE">
              <w:rPr>
                <w:rFonts w:ascii="Arial" w:hAnsi="Arial" w:cs="Arial"/>
              </w:rPr>
              <w:t>surgery</w:t>
            </w:r>
            <w:proofErr w:type="gramEnd"/>
            <w:r w:rsidRPr="000324DE">
              <w:rPr>
                <w:rFonts w:ascii="Arial" w:hAnsi="Arial" w:cs="Arial"/>
              </w:rPr>
              <w:t>, were analyzed using the Enzyme-Linked Immunosorbent Assay (ELISA; DL-TIMP2-Hu, DL-Kim1-Hu, and DL-IL-18-Hu, DL-develop Systems, Wuxi, China) to measure the concentrations of TIMP-2, KIM-1, and IL-18.</w:t>
            </w:r>
          </w:p>
        </w:tc>
        <w:tc>
          <w:tcPr>
            <w:tcW w:w="1684" w:type="dxa"/>
          </w:tcPr>
          <w:p w14:paraId="6890F8F4" w14:textId="480E82A4" w:rsidR="004A6692" w:rsidRPr="00C15554" w:rsidRDefault="00A3101F" w:rsidP="004A6692">
            <w:pPr>
              <w:spacing w:line="360" w:lineRule="auto"/>
              <w:rPr>
                <w:rFonts w:ascii="Arial" w:eastAsiaTheme="minorEastAsia" w:hAnsi="Arial" w:cs="Arial"/>
                <w:color w:val="000000" w:themeColor="text1"/>
                <w:lang w:val="en-GB"/>
              </w:rPr>
            </w:pPr>
            <w:r>
              <w:rPr>
                <w:rFonts w:ascii="Arial" w:hAnsi="Arial" w:cs="Arial" w:hint="eastAsia"/>
              </w:rPr>
              <w:t>P</w:t>
            </w:r>
            <w:r w:rsidRPr="000324DE">
              <w:rPr>
                <w:rFonts w:ascii="Arial" w:hAnsi="Arial" w:cs="Arial" w:hint="eastAsia"/>
              </w:rPr>
              <w:t>r</w:t>
            </w:r>
            <w:r w:rsidRPr="000324DE">
              <w:rPr>
                <w:rFonts w:ascii="Arial" w:hAnsi="Arial" w:cs="Arial"/>
              </w:rPr>
              <w:t>e-surgery, and on days 1, 2, and 6 post-</w:t>
            </w:r>
            <w:proofErr w:type="gramStart"/>
            <w:r w:rsidRPr="000324DE">
              <w:rPr>
                <w:rFonts w:ascii="Arial" w:hAnsi="Arial" w:cs="Arial"/>
              </w:rPr>
              <w:t>surgery</w:t>
            </w:r>
            <w:proofErr w:type="gramEnd"/>
          </w:p>
        </w:tc>
      </w:tr>
      <w:tr w:rsidR="004A6692" w14:paraId="63B95715" w14:textId="77777777" w:rsidTr="004A6692">
        <w:trPr>
          <w:trHeight w:val="511"/>
        </w:trPr>
        <w:tc>
          <w:tcPr>
            <w:tcW w:w="1729" w:type="dxa"/>
          </w:tcPr>
          <w:p w14:paraId="072D4F2D" w14:textId="6C4B969B" w:rsidR="004A6692" w:rsidRPr="006C7D17" w:rsidRDefault="004A6692" w:rsidP="004A6692">
            <w:pPr>
              <w:spacing w:line="360" w:lineRule="auto"/>
              <w:rPr>
                <w:rFonts w:ascii="Arial" w:hAnsi="Arial" w:cs="Arial"/>
              </w:rPr>
            </w:pPr>
            <w:r>
              <w:rPr>
                <w:rFonts w:ascii="Arial" w:hAnsi="Arial" w:cs="Arial" w:hint="eastAsia"/>
              </w:rPr>
              <w:t>Cys-C, eGFR, UA</w:t>
            </w:r>
          </w:p>
        </w:tc>
        <w:tc>
          <w:tcPr>
            <w:tcW w:w="5173" w:type="dxa"/>
          </w:tcPr>
          <w:p w14:paraId="704336F4" w14:textId="50EA9FE6" w:rsidR="004A6692" w:rsidRPr="00BE4FB2" w:rsidRDefault="004A6692" w:rsidP="004A6692">
            <w:pPr>
              <w:spacing w:line="360" w:lineRule="auto"/>
              <w:rPr>
                <w:rFonts w:ascii="Arial" w:eastAsiaTheme="minorEastAsia" w:hAnsi="Arial" w:cs="Arial"/>
                <w:color w:val="000000" w:themeColor="text1"/>
                <w:lang w:val="en-GB"/>
              </w:rPr>
            </w:pPr>
            <w:r w:rsidRPr="00AE10B5">
              <w:rPr>
                <w:rFonts w:ascii="Arial" w:eastAsiaTheme="minorEastAsia" w:hAnsi="Arial" w:cs="Arial"/>
                <w:color w:val="000000" w:themeColor="text1"/>
                <w:lang w:val="en-GB"/>
              </w:rPr>
              <w:t xml:space="preserve">Venous blood was collected from participants postoperatively and on days 1, 2, and 6 after surgery. The levels of </w:t>
            </w:r>
            <w:r>
              <w:rPr>
                <w:rFonts w:ascii="Arial" w:eastAsiaTheme="minorEastAsia" w:hAnsi="Arial" w:cs="Arial" w:hint="eastAsia"/>
                <w:color w:val="000000" w:themeColor="text1"/>
                <w:lang w:val="en-GB"/>
              </w:rPr>
              <w:t>Cys-</w:t>
            </w:r>
            <w:proofErr w:type="gramStart"/>
            <w:r>
              <w:rPr>
                <w:rFonts w:ascii="Arial" w:eastAsiaTheme="minorEastAsia" w:hAnsi="Arial" w:cs="Arial" w:hint="eastAsia"/>
                <w:color w:val="000000" w:themeColor="text1"/>
                <w:lang w:val="en-GB"/>
              </w:rPr>
              <w:t>C(</w:t>
            </w:r>
            <w:proofErr w:type="gramEnd"/>
            <w:r w:rsidRPr="00AE10B5">
              <w:rPr>
                <w:rFonts w:ascii="Arial" w:eastAsiaTheme="minorEastAsia" w:hAnsi="Arial" w:cs="Arial"/>
                <w:color w:val="000000" w:themeColor="text1"/>
                <w:lang w:val="en-GB"/>
              </w:rPr>
              <w:t>cystatin</w:t>
            </w:r>
            <w:r>
              <w:rPr>
                <w:rFonts w:ascii="Arial" w:eastAsiaTheme="minorEastAsia" w:hAnsi="Arial" w:cs="Arial" w:hint="eastAsia"/>
                <w:color w:val="000000" w:themeColor="text1"/>
                <w:lang w:val="en-GB"/>
              </w:rPr>
              <w:t xml:space="preserve"> C)</w:t>
            </w:r>
            <w:r w:rsidRPr="00AE10B5">
              <w:rPr>
                <w:rFonts w:ascii="Arial" w:eastAsiaTheme="minorEastAsia" w:hAnsi="Arial" w:cs="Arial"/>
                <w:color w:val="000000" w:themeColor="text1"/>
                <w:lang w:val="en-GB"/>
              </w:rPr>
              <w:t xml:space="preserve">, creatinine, and </w:t>
            </w:r>
            <w:r>
              <w:rPr>
                <w:rFonts w:ascii="Arial" w:eastAsiaTheme="minorEastAsia" w:hAnsi="Arial" w:cs="Arial" w:hint="eastAsia"/>
                <w:color w:val="000000" w:themeColor="text1"/>
                <w:lang w:val="en-GB"/>
              </w:rPr>
              <w:t>UA(</w:t>
            </w:r>
            <w:r w:rsidRPr="00AE10B5">
              <w:rPr>
                <w:rFonts w:ascii="Arial" w:eastAsiaTheme="minorEastAsia" w:hAnsi="Arial" w:cs="Arial"/>
                <w:color w:val="000000" w:themeColor="text1"/>
                <w:lang w:val="en-GB"/>
              </w:rPr>
              <w:t>uric acid</w:t>
            </w:r>
            <w:r>
              <w:rPr>
                <w:rFonts w:ascii="Arial" w:eastAsiaTheme="minorEastAsia" w:hAnsi="Arial" w:cs="Arial" w:hint="eastAsia"/>
                <w:color w:val="000000" w:themeColor="text1"/>
                <w:lang w:val="en-GB"/>
              </w:rPr>
              <w:t>)</w:t>
            </w:r>
            <w:r w:rsidRPr="00AE10B5">
              <w:rPr>
                <w:rFonts w:ascii="Arial" w:eastAsiaTheme="minorEastAsia" w:hAnsi="Arial" w:cs="Arial"/>
                <w:color w:val="000000" w:themeColor="text1"/>
                <w:lang w:val="en-GB"/>
              </w:rPr>
              <w:t xml:space="preserve"> in the venous blood were measured, and the GFR was estimated using the Cockcroft-Gault equation. The testing was conducted in the biochemical laboratory of the research hospital.</w:t>
            </w:r>
          </w:p>
        </w:tc>
        <w:tc>
          <w:tcPr>
            <w:tcW w:w="1684" w:type="dxa"/>
          </w:tcPr>
          <w:p w14:paraId="5DA02507" w14:textId="31B058E9" w:rsidR="004A6692" w:rsidRPr="00C15554" w:rsidRDefault="00A3101F" w:rsidP="004A6692">
            <w:pPr>
              <w:spacing w:line="360" w:lineRule="auto"/>
              <w:rPr>
                <w:rFonts w:ascii="Arial" w:eastAsiaTheme="minorEastAsia" w:hAnsi="Arial" w:cs="Arial"/>
                <w:color w:val="000000" w:themeColor="text1"/>
                <w:lang w:val="en-GB"/>
              </w:rPr>
            </w:pPr>
            <w:r>
              <w:rPr>
                <w:rFonts w:ascii="Arial" w:hAnsi="Arial" w:cs="Arial" w:hint="eastAsia"/>
              </w:rPr>
              <w:t>P</w:t>
            </w:r>
            <w:r w:rsidRPr="000324DE">
              <w:rPr>
                <w:rFonts w:ascii="Arial" w:hAnsi="Arial" w:cs="Arial" w:hint="eastAsia"/>
              </w:rPr>
              <w:t>r</w:t>
            </w:r>
            <w:r w:rsidRPr="000324DE">
              <w:rPr>
                <w:rFonts w:ascii="Arial" w:hAnsi="Arial" w:cs="Arial"/>
              </w:rPr>
              <w:t>e-surgery, and on days 1, 2, and 6 post-</w:t>
            </w:r>
            <w:proofErr w:type="gramStart"/>
            <w:r w:rsidRPr="000324DE">
              <w:rPr>
                <w:rFonts w:ascii="Arial" w:hAnsi="Arial" w:cs="Arial"/>
              </w:rPr>
              <w:t>surgery</w:t>
            </w:r>
            <w:proofErr w:type="gramEnd"/>
          </w:p>
        </w:tc>
      </w:tr>
      <w:tr w:rsidR="004A6692" w14:paraId="5F30B708" w14:textId="77777777" w:rsidTr="004A6692">
        <w:trPr>
          <w:trHeight w:val="511"/>
        </w:trPr>
        <w:tc>
          <w:tcPr>
            <w:tcW w:w="1729" w:type="dxa"/>
          </w:tcPr>
          <w:p w14:paraId="76992C9D" w14:textId="16FD8C39" w:rsidR="004A6692" w:rsidRPr="006C7D17" w:rsidRDefault="004A6692" w:rsidP="004A6692">
            <w:pPr>
              <w:spacing w:line="360" w:lineRule="auto"/>
              <w:rPr>
                <w:rFonts w:ascii="Arial" w:hAnsi="Arial" w:cs="Arial"/>
              </w:rPr>
            </w:pPr>
            <w:r w:rsidRPr="009A7A2D">
              <w:rPr>
                <w:rFonts w:ascii="Arial" w:hAnsi="Arial" w:cs="Arial"/>
              </w:rPr>
              <w:t>Urine output</w:t>
            </w:r>
          </w:p>
        </w:tc>
        <w:tc>
          <w:tcPr>
            <w:tcW w:w="5173" w:type="dxa"/>
          </w:tcPr>
          <w:p w14:paraId="6D516A6F" w14:textId="5D604099" w:rsidR="004A6692" w:rsidRPr="00A951E7" w:rsidRDefault="00A951E7" w:rsidP="004A6692">
            <w:pPr>
              <w:spacing w:line="360" w:lineRule="auto"/>
              <w:rPr>
                <w:rFonts w:ascii="Arial" w:eastAsiaTheme="minorEastAsia" w:hAnsi="Arial" w:cs="Arial"/>
                <w:color w:val="000000" w:themeColor="text1"/>
                <w:lang w:val="en-GB"/>
              </w:rPr>
            </w:pPr>
            <w:r w:rsidRPr="00A951E7">
              <w:rPr>
                <w:rFonts w:ascii="Arial" w:eastAsiaTheme="minorEastAsia" w:hAnsi="Arial" w:cs="Arial"/>
                <w:color w:val="000000" w:themeColor="text1"/>
                <w:lang w:val="en-GB"/>
              </w:rPr>
              <w:t xml:space="preserve">Record the urine output of participants on the day before surgery (0Day), the first day after surgery (1Day), and the second day (2Day). Present it in </w:t>
            </w:r>
            <w:proofErr w:type="spellStart"/>
            <w:r w:rsidRPr="00A951E7">
              <w:rPr>
                <w:rFonts w:ascii="Arial" w:eastAsiaTheme="minorEastAsia" w:hAnsi="Arial" w:cs="Arial"/>
                <w:color w:val="000000" w:themeColor="text1"/>
                <w:lang w:val="en-GB"/>
              </w:rPr>
              <w:t>milliliters</w:t>
            </w:r>
            <w:proofErr w:type="spellEnd"/>
            <w:r w:rsidRPr="00A951E7">
              <w:rPr>
                <w:rFonts w:ascii="Arial" w:eastAsiaTheme="minorEastAsia" w:hAnsi="Arial" w:cs="Arial"/>
                <w:color w:val="000000" w:themeColor="text1"/>
                <w:lang w:val="en-GB"/>
              </w:rPr>
              <w:t xml:space="preserve"> per hour per kilogram of body weight</w:t>
            </w:r>
            <w:r>
              <w:rPr>
                <w:rFonts w:ascii="Arial" w:eastAsiaTheme="minorEastAsia" w:hAnsi="Arial" w:cs="Arial" w:hint="eastAsia"/>
                <w:color w:val="000000" w:themeColor="text1"/>
                <w:lang w:val="en-GB"/>
              </w:rPr>
              <w:t>（</w:t>
            </w:r>
            <w:r>
              <w:rPr>
                <w:rFonts w:ascii="Arial" w:eastAsiaTheme="minorEastAsia" w:hAnsi="Arial" w:cs="Arial" w:hint="eastAsia"/>
                <w:color w:val="000000" w:themeColor="text1"/>
                <w:lang w:val="en-GB"/>
              </w:rPr>
              <w:t>ml/</w:t>
            </w:r>
            <w:r w:rsidR="00EF60E0">
              <w:rPr>
                <w:rFonts w:ascii="Arial" w:eastAsiaTheme="minorEastAsia" w:hAnsi="Arial" w:cs="Arial" w:hint="eastAsia"/>
                <w:color w:val="000000" w:themeColor="text1"/>
                <w:lang w:val="en-GB"/>
              </w:rPr>
              <w:t>h/kg</w:t>
            </w:r>
            <w:r w:rsidR="00EF60E0">
              <w:rPr>
                <w:rFonts w:ascii="Arial" w:eastAsiaTheme="minorEastAsia" w:hAnsi="Arial" w:cs="Arial" w:hint="eastAsia"/>
                <w:color w:val="000000" w:themeColor="text1"/>
                <w:lang w:val="en-GB"/>
              </w:rPr>
              <w:t>）</w:t>
            </w:r>
            <w:r w:rsidRPr="00A951E7">
              <w:rPr>
                <w:rFonts w:ascii="Arial" w:eastAsiaTheme="minorEastAsia" w:hAnsi="Arial" w:cs="Arial"/>
                <w:color w:val="000000" w:themeColor="text1"/>
                <w:lang w:val="en-GB"/>
              </w:rPr>
              <w:t>.</w:t>
            </w:r>
          </w:p>
        </w:tc>
        <w:tc>
          <w:tcPr>
            <w:tcW w:w="1684" w:type="dxa"/>
          </w:tcPr>
          <w:p w14:paraId="676D17A3" w14:textId="69B14091" w:rsidR="004A6692" w:rsidRPr="00EF60E0" w:rsidRDefault="00EF60E0" w:rsidP="004A6692">
            <w:pPr>
              <w:spacing w:line="360" w:lineRule="auto"/>
              <w:rPr>
                <w:rFonts w:ascii="Arial" w:eastAsiaTheme="minorEastAsia" w:hAnsi="Arial" w:cs="Arial"/>
                <w:color w:val="000000" w:themeColor="text1"/>
                <w:lang w:val="en-GB"/>
              </w:rPr>
            </w:pPr>
            <w:r w:rsidRPr="00EF60E0">
              <w:rPr>
                <w:rFonts w:ascii="Arial" w:eastAsiaTheme="minorEastAsia" w:hAnsi="Arial" w:cs="Arial"/>
                <w:color w:val="000000" w:themeColor="text1"/>
                <w:lang w:val="en-GB"/>
              </w:rPr>
              <w:t xml:space="preserve">the day before surgery, </w:t>
            </w:r>
            <w:r w:rsidRPr="000324DE">
              <w:rPr>
                <w:rFonts w:ascii="Arial" w:hAnsi="Arial" w:cs="Arial"/>
              </w:rPr>
              <w:t>and on days 1, 2, post-surgery</w:t>
            </w:r>
          </w:p>
        </w:tc>
      </w:tr>
    </w:tbl>
    <w:p w14:paraId="0BD471AE" w14:textId="1C8C55D8" w:rsidR="00720073" w:rsidRPr="00720073" w:rsidRDefault="00720073" w:rsidP="00720073">
      <w:pPr>
        <w:widowControl/>
        <w:spacing w:line="240" w:lineRule="auto"/>
        <w:jc w:val="left"/>
        <w:rPr>
          <w:rFonts w:ascii="Arial" w:eastAsia="宋体" w:hAnsi="Arial" w:cs="Arial" w:hint="eastAsia"/>
          <w:b/>
          <w:bCs/>
          <w:color w:val="000000" w:themeColor="text1"/>
          <w:kern w:val="0"/>
          <w:lang w:val="en-GB"/>
        </w:rPr>
      </w:pPr>
      <w:r>
        <w:br w:type="page"/>
      </w:r>
    </w:p>
    <w:p w14:paraId="6B7B0622" w14:textId="50F110E9" w:rsidR="00720073" w:rsidRPr="00C840FC" w:rsidRDefault="00720073" w:rsidP="00720073">
      <w:pPr>
        <w:pStyle w:val="2"/>
      </w:pPr>
      <w:r w:rsidRPr="00C840FC">
        <w:t>Table S</w:t>
      </w:r>
      <w:r>
        <w:rPr>
          <w:rFonts w:hint="eastAsia"/>
        </w:rPr>
        <w:t>2</w:t>
      </w:r>
      <w:r w:rsidRPr="00C840FC">
        <w:t>: Donors’ clinical follow-up outcomes adjust for Sufentanil.</w:t>
      </w:r>
    </w:p>
    <w:tbl>
      <w:tblPr>
        <w:tblStyle w:val="a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945"/>
        <w:gridCol w:w="1945"/>
        <w:gridCol w:w="2721"/>
      </w:tblGrid>
      <w:tr w:rsidR="00720073" w:rsidRPr="00C840FC" w14:paraId="7491925D" w14:textId="77777777" w:rsidTr="00D47C09">
        <w:trPr>
          <w:trHeight w:val="687"/>
        </w:trPr>
        <w:tc>
          <w:tcPr>
            <w:tcW w:w="0" w:type="auto"/>
            <w:vMerge w:val="restart"/>
            <w:tcBorders>
              <w:top w:val="single" w:sz="4" w:space="0" w:color="auto"/>
              <w:bottom w:val="nil"/>
            </w:tcBorders>
          </w:tcPr>
          <w:p w14:paraId="69A73000" w14:textId="77777777" w:rsidR="00720073" w:rsidRPr="00C840FC" w:rsidRDefault="00720073" w:rsidP="00D47C09">
            <w:pPr>
              <w:pStyle w:val="aa"/>
              <w:spacing w:line="360" w:lineRule="auto"/>
              <w:jc w:val="center"/>
              <w:rPr>
                <w:rFonts w:ascii="Arial" w:hAnsi="Arial" w:cs="Arial"/>
                <w:lang w:val="en-GB"/>
              </w:rPr>
            </w:pPr>
          </w:p>
        </w:tc>
        <w:tc>
          <w:tcPr>
            <w:tcW w:w="0" w:type="auto"/>
            <w:tcBorders>
              <w:top w:val="single" w:sz="4" w:space="0" w:color="auto"/>
              <w:bottom w:val="nil"/>
            </w:tcBorders>
          </w:tcPr>
          <w:p w14:paraId="4DE94E56"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P group (n=34)</w:t>
            </w:r>
          </w:p>
          <w:p w14:paraId="0A6F0705" w14:textId="77777777" w:rsidR="00720073" w:rsidRPr="00C840FC" w:rsidRDefault="00720073" w:rsidP="00D47C09">
            <w:pPr>
              <w:pStyle w:val="aa"/>
              <w:spacing w:line="360" w:lineRule="auto"/>
              <w:rPr>
                <w:rFonts w:ascii="Arial" w:eastAsia="宋体" w:hAnsi="Arial" w:cs="Arial"/>
                <w:lang w:val="en-GB"/>
              </w:rPr>
            </w:pPr>
          </w:p>
        </w:tc>
        <w:tc>
          <w:tcPr>
            <w:tcW w:w="0" w:type="auto"/>
            <w:tcBorders>
              <w:top w:val="single" w:sz="4" w:space="0" w:color="auto"/>
              <w:bottom w:val="nil"/>
            </w:tcBorders>
          </w:tcPr>
          <w:p w14:paraId="606D131F"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S group (n=28)</w:t>
            </w:r>
          </w:p>
        </w:tc>
        <w:tc>
          <w:tcPr>
            <w:tcW w:w="0" w:type="auto"/>
            <w:vMerge w:val="restart"/>
            <w:tcBorders>
              <w:top w:val="single" w:sz="4" w:space="0" w:color="auto"/>
            </w:tcBorders>
          </w:tcPr>
          <w:p w14:paraId="538370F7"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Mean between-group difference in change (95% CI)</w:t>
            </w:r>
          </w:p>
        </w:tc>
      </w:tr>
      <w:tr w:rsidR="00720073" w:rsidRPr="00C840FC" w14:paraId="17789797" w14:textId="77777777" w:rsidTr="00D47C09">
        <w:trPr>
          <w:trHeight w:val="158"/>
        </w:trPr>
        <w:tc>
          <w:tcPr>
            <w:tcW w:w="0" w:type="auto"/>
            <w:vMerge/>
            <w:tcBorders>
              <w:top w:val="nil"/>
              <w:bottom w:val="single" w:sz="4" w:space="0" w:color="auto"/>
            </w:tcBorders>
          </w:tcPr>
          <w:p w14:paraId="0FA8E370" w14:textId="77777777" w:rsidR="00720073" w:rsidRPr="00C840FC" w:rsidRDefault="00720073" w:rsidP="00D47C09">
            <w:pPr>
              <w:pStyle w:val="aa"/>
              <w:spacing w:line="360" w:lineRule="auto"/>
              <w:jc w:val="center"/>
              <w:rPr>
                <w:rFonts w:ascii="Arial" w:hAnsi="Arial" w:cs="Arial"/>
                <w:lang w:val="en-GB"/>
              </w:rPr>
            </w:pPr>
          </w:p>
        </w:tc>
        <w:tc>
          <w:tcPr>
            <w:tcW w:w="0" w:type="auto"/>
            <w:tcBorders>
              <w:top w:val="nil"/>
              <w:bottom w:val="single" w:sz="4" w:space="0" w:color="auto"/>
            </w:tcBorders>
          </w:tcPr>
          <w:p w14:paraId="5D29F7A8"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Mean change (95% CI)</w:t>
            </w:r>
          </w:p>
        </w:tc>
        <w:tc>
          <w:tcPr>
            <w:tcW w:w="0" w:type="auto"/>
            <w:tcBorders>
              <w:top w:val="nil"/>
              <w:bottom w:val="single" w:sz="4" w:space="0" w:color="auto"/>
            </w:tcBorders>
          </w:tcPr>
          <w:p w14:paraId="2E0EDC2C"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Mean change (95% CI)</w:t>
            </w:r>
          </w:p>
        </w:tc>
        <w:tc>
          <w:tcPr>
            <w:tcW w:w="0" w:type="auto"/>
            <w:vMerge/>
            <w:tcBorders>
              <w:bottom w:val="single" w:sz="4" w:space="0" w:color="auto"/>
            </w:tcBorders>
          </w:tcPr>
          <w:p w14:paraId="0B214C4B" w14:textId="77777777" w:rsidR="00720073" w:rsidRPr="00C840FC" w:rsidRDefault="00720073" w:rsidP="00D47C09">
            <w:pPr>
              <w:pStyle w:val="aa"/>
              <w:spacing w:line="360" w:lineRule="auto"/>
              <w:rPr>
                <w:rFonts w:ascii="Arial" w:hAnsi="Arial" w:cs="Arial"/>
                <w:lang w:val="en-GB"/>
              </w:rPr>
            </w:pPr>
          </w:p>
        </w:tc>
      </w:tr>
      <w:tr w:rsidR="00720073" w:rsidRPr="00C840FC" w14:paraId="3FF7FDB6" w14:textId="77777777" w:rsidTr="00D47C09">
        <w:trPr>
          <w:trHeight w:val="332"/>
        </w:trPr>
        <w:tc>
          <w:tcPr>
            <w:tcW w:w="0" w:type="auto"/>
            <w:tcBorders>
              <w:top w:val="single" w:sz="4" w:space="0" w:color="auto"/>
            </w:tcBorders>
          </w:tcPr>
          <w:p w14:paraId="085C3421"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Primary outcome</w:t>
            </w:r>
          </w:p>
        </w:tc>
        <w:tc>
          <w:tcPr>
            <w:tcW w:w="0" w:type="auto"/>
            <w:tcBorders>
              <w:top w:val="single" w:sz="4" w:space="0" w:color="auto"/>
            </w:tcBorders>
          </w:tcPr>
          <w:p w14:paraId="54489946" w14:textId="77777777" w:rsidR="00720073" w:rsidRPr="00C840FC" w:rsidRDefault="00720073" w:rsidP="00D47C09">
            <w:pPr>
              <w:pStyle w:val="aa"/>
              <w:spacing w:line="360" w:lineRule="auto"/>
              <w:jc w:val="center"/>
              <w:rPr>
                <w:rFonts w:ascii="Arial" w:hAnsi="Arial" w:cs="Arial"/>
                <w:lang w:val="en-GB"/>
              </w:rPr>
            </w:pPr>
          </w:p>
        </w:tc>
        <w:tc>
          <w:tcPr>
            <w:tcW w:w="0" w:type="auto"/>
            <w:tcBorders>
              <w:top w:val="single" w:sz="4" w:space="0" w:color="auto"/>
            </w:tcBorders>
          </w:tcPr>
          <w:p w14:paraId="002CF09E" w14:textId="77777777" w:rsidR="00720073" w:rsidRPr="00C840FC" w:rsidRDefault="00720073" w:rsidP="00D47C09">
            <w:pPr>
              <w:pStyle w:val="aa"/>
              <w:spacing w:line="360" w:lineRule="auto"/>
              <w:jc w:val="center"/>
              <w:rPr>
                <w:rFonts w:ascii="Arial" w:hAnsi="Arial" w:cs="Arial"/>
                <w:lang w:val="en-GB"/>
              </w:rPr>
            </w:pPr>
          </w:p>
        </w:tc>
        <w:tc>
          <w:tcPr>
            <w:tcW w:w="0" w:type="auto"/>
            <w:tcBorders>
              <w:top w:val="single" w:sz="4" w:space="0" w:color="auto"/>
            </w:tcBorders>
          </w:tcPr>
          <w:p w14:paraId="57179D3C" w14:textId="77777777" w:rsidR="00720073" w:rsidRPr="00C840FC" w:rsidRDefault="00720073" w:rsidP="00D47C09">
            <w:pPr>
              <w:pStyle w:val="aa"/>
              <w:spacing w:line="360" w:lineRule="auto"/>
              <w:jc w:val="center"/>
              <w:rPr>
                <w:rFonts w:ascii="Arial" w:hAnsi="Arial" w:cs="Arial"/>
                <w:lang w:val="en-GB"/>
              </w:rPr>
            </w:pPr>
          </w:p>
        </w:tc>
      </w:tr>
      <w:tr w:rsidR="00720073" w:rsidRPr="00C840FC" w14:paraId="64378E74" w14:textId="77777777" w:rsidTr="00D47C09">
        <w:trPr>
          <w:trHeight w:val="687"/>
        </w:trPr>
        <w:tc>
          <w:tcPr>
            <w:tcW w:w="0" w:type="auto"/>
          </w:tcPr>
          <w:p w14:paraId="27CCFB19"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KIM-1 (pg·ml</w:t>
            </w:r>
            <w:r w:rsidRPr="00C840FC">
              <w:rPr>
                <w:rFonts w:ascii="Arial" w:hAnsi="Arial" w:cs="Arial"/>
                <w:vertAlign w:val="superscript"/>
                <w:lang w:val="en-GB"/>
              </w:rPr>
              <w:t>-1</w:t>
            </w:r>
            <w:r w:rsidRPr="00C840FC">
              <w:rPr>
                <w:rFonts w:ascii="Arial" w:hAnsi="Arial" w:cs="Arial"/>
                <w:lang w:val="en-GB"/>
              </w:rPr>
              <w:t>)</w:t>
            </w:r>
          </w:p>
        </w:tc>
        <w:tc>
          <w:tcPr>
            <w:tcW w:w="0" w:type="auto"/>
          </w:tcPr>
          <w:p w14:paraId="7DC9A899"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0.45 (95% CI 0.23 to 0.67)</w:t>
            </w:r>
          </w:p>
        </w:tc>
        <w:tc>
          <w:tcPr>
            <w:tcW w:w="0" w:type="auto"/>
          </w:tcPr>
          <w:p w14:paraId="3C55F077"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0.22 (95% CI 0.03 to 0.47)</w:t>
            </w:r>
          </w:p>
        </w:tc>
        <w:tc>
          <w:tcPr>
            <w:tcW w:w="0" w:type="auto"/>
          </w:tcPr>
          <w:p w14:paraId="47F6DAE0"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-0.23 (95% CI -0.58 to 0.12)</w:t>
            </w:r>
          </w:p>
        </w:tc>
      </w:tr>
      <w:tr w:rsidR="00720073" w:rsidRPr="00C840FC" w14:paraId="17FD685B" w14:textId="77777777" w:rsidTr="00D47C09">
        <w:trPr>
          <w:trHeight w:val="687"/>
        </w:trPr>
        <w:tc>
          <w:tcPr>
            <w:tcW w:w="0" w:type="auto"/>
          </w:tcPr>
          <w:p w14:paraId="4260D221"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Secondary outcome</w:t>
            </w:r>
          </w:p>
        </w:tc>
        <w:tc>
          <w:tcPr>
            <w:tcW w:w="0" w:type="auto"/>
          </w:tcPr>
          <w:p w14:paraId="176A1B99" w14:textId="77777777" w:rsidR="00720073" w:rsidRPr="00C840FC" w:rsidRDefault="00720073" w:rsidP="00D47C09">
            <w:pPr>
              <w:pStyle w:val="aa"/>
              <w:spacing w:line="360" w:lineRule="auto"/>
              <w:jc w:val="center"/>
              <w:rPr>
                <w:rFonts w:ascii="Arial" w:hAnsi="Arial" w:cs="Arial"/>
                <w:lang w:val="en-GB"/>
              </w:rPr>
            </w:pPr>
          </w:p>
        </w:tc>
        <w:tc>
          <w:tcPr>
            <w:tcW w:w="0" w:type="auto"/>
          </w:tcPr>
          <w:p w14:paraId="5CB18DBA" w14:textId="77777777" w:rsidR="00720073" w:rsidRPr="00C840FC" w:rsidRDefault="00720073" w:rsidP="00D47C09">
            <w:pPr>
              <w:pStyle w:val="aa"/>
              <w:spacing w:line="360" w:lineRule="auto"/>
              <w:jc w:val="center"/>
              <w:rPr>
                <w:rFonts w:ascii="Arial" w:hAnsi="Arial" w:cs="Arial"/>
                <w:lang w:val="en-GB"/>
              </w:rPr>
            </w:pPr>
          </w:p>
        </w:tc>
        <w:tc>
          <w:tcPr>
            <w:tcW w:w="0" w:type="auto"/>
          </w:tcPr>
          <w:p w14:paraId="22970DE9" w14:textId="77777777" w:rsidR="00720073" w:rsidRPr="00C840FC" w:rsidRDefault="00720073" w:rsidP="00D47C09">
            <w:pPr>
              <w:pStyle w:val="aa"/>
              <w:spacing w:line="360" w:lineRule="auto"/>
              <w:jc w:val="center"/>
              <w:rPr>
                <w:rFonts w:ascii="Arial" w:hAnsi="Arial" w:cs="Arial"/>
                <w:lang w:val="en-GB"/>
              </w:rPr>
            </w:pPr>
          </w:p>
        </w:tc>
      </w:tr>
      <w:tr w:rsidR="00720073" w:rsidRPr="00C840FC" w14:paraId="2F18E73A" w14:textId="77777777" w:rsidTr="00D47C09">
        <w:trPr>
          <w:trHeight w:val="687"/>
        </w:trPr>
        <w:tc>
          <w:tcPr>
            <w:tcW w:w="0" w:type="auto"/>
          </w:tcPr>
          <w:p w14:paraId="6F993430"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TIMP-2 (ng·ml</w:t>
            </w:r>
            <w:r w:rsidRPr="00C840FC">
              <w:rPr>
                <w:rFonts w:ascii="Arial" w:hAnsi="Arial" w:cs="Arial"/>
                <w:vertAlign w:val="superscript"/>
                <w:lang w:val="en-GB"/>
              </w:rPr>
              <w:t>-1</w:t>
            </w:r>
            <w:r w:rsidRPr="00C840FC">
              <w:rPr>
                <w:rFonts w:ascii="Arial" w:hAnsi="Arial" w:cs="Arial"/>
                <w:lang w:val="en-GB"/>
              </w:rPr>
              <w:t>)</w:t>
            </w:r>
          </w:p>
        </w:tc>
        <w:tc>
          <w:tcPr>
            <w:tcW w:w="0" w:type="auto"/>
          </w:tcPr>
          <w:p w14:paraId="6373FA10"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14.15 (95% CI 10.02 to 18.27)</w:t>
            </w:r>
          </w:p>
        </w:tc>
        <w:tc>
          <w:tcPr>
            <w:tcW w:w="0" w:type="auto"/>
          </w:tcPr>
          <w:p w14:paraId="734D35EA"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13.31 (95% CI 8.72 to 17.90)</w:t>
            </w:r>
          </w:p>
        </w:tc>
        <w:tc>
          <w:tcPr>
            <w:tcW w:w="0" w:type="auto"/>
          </w:tcPr>
          <w:p w14:paraId="741A46BE"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-0.84 (95% CI -7.34 to 5.67)</w:t>
            </w:r>
          </w:p>
        </w:tc>
      </w:tr>
      <w:tr w:rsidR="00720073" w:rsidRPr="00C840FC" w14:paraId="2B457512" w14:textId="77777777" w:rsidTr="00D47C09">
        <w:trPr>
          <w:trHeight w:val="1031"/>
        </w:trPr>
        <w:tc>
          <w:tcPr>
            <w:tcW w:w="0" w:type="auto"/>
          </w:tcPr>
          <w:p w14:paraId="696B6DD1"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IL-18 (pg·ml</w:t>
            </w:r>
            <w:r w:rsidRPr="00C840FC">
              <w:rPr>
                <w:rFonts w:ascii="Arial" w:hAnsi="Arial" w:cs="Arial"/>
                <w:vertAlign w:val="superscript"/>
                <w:lang w:val="en-GB"/>
              </w:rPr>
              <w:t>-1</w:t>
            </w:r>
            <w:r w:rsidRPr="00C840FC">
              <w:rPr>
                <w:rFonts w:ascii="Arial" w:hAnsi="Arial" w:cs="Arial"/>
                <w:lang w:val="en-GB"/>
              </w:rPr>
              <w:t>)</w:t>
            </w:r>
          </w:p>
        </w:tc>
        <w:tc>
          <w:tcPr>
            <w:tcW w:w="0" w:type="auto"/>
          </w:tcPr>
          <w:p w14:paraId="5960CB48"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140.48 (95% CI 70.68 to 210.27)</w:t>
            </w:r>
          </w:p>
        </w:tc>
        <w:tc>
          <w:tcPr>
            <w:tcW w:w="0" w:type="auto"/>
          </w:tcPr>
          <w:p w14:paraId="7163799F"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222.09 (95% CI 144.34 to 299.84)</w:t>
            </w:r>
          </w:p>
        </w:tc>
        <w:tc>
          <w:tcPr>
            <w:tcW w:w="0" w:type="auto"/>
          </w:tcPr>
          <w:p w14:paraId="103DBB41"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81.61 (95% CI -28.50 to 191.72)</w:t>
            </w:r>
          </w:p>
        </w:tc>
      </w:tr>
      <w:tr w:rsidR="00720073" w:rsidRPr="00C840FC" w14:paraId="35A1FC1A" w14:textId="77777777" w:rsidTr="00D47C09">
        <w:trPr>
          <w:trHeight w:val="676"/>
        </w:trPr>
        <w:tc>
          <w:tcPr>
            <w:tcW w:w="0" w:type="auto"/>
          </w:tcPr>
          <w:p w14:paraId="22A8FFD1"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MAP (mmHg)</w:t>
            </w:r>
          </w:p>
        </w:tc>
        <w:tc>
          <w:tcPr>
            <w:tcW w:w="0" w:type="auto"/>
          </w:tcPr>
          <w:p w14:paraId="486ACB51"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1.06 (95% CI -3.63 to 5.73)</w:t>
            </w:r>
          </w:p>
        </w:tc>
        <w:tc>
          <w:tcPr>
            <w:tcW w:w="0" w:type="auto"/>
          </w:tcPr>
          <w:p w14:paraId="4406CCD3"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0.11 (95% CI -5.10 to 5.33)</w:t>
            </w:r>
          </w:p>
        </w:tc>
        <w:tc>
          <w:tcPr>
            <w:tcW w:w="0" w:type="auto"/>
          </w:tcPr>
          <w:p w14:paraId="53EC91CB"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-0.94 (95% CI -8.33 to 6.44)</w:t>
            </w:r>
          </w:p>
        </w:tc>
      </w:tr>
      <w:tr w:rsidR="00720073" w:rsidRPr="00C840FC" w14:paraId="551EE2FD" w14:textId="77777777" w:rsidTr="00D47C09">
        <w:trPr>
          <w:trHeight w:val="1031"/>
        </w:trPr>
        <w:tc>
          <w:tcPr>
            <w:tcW w:w="0" w:type="auto"/>
          </w:tcPr>
          <w:p w14:paraId="225145BE"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SVR (dyn·s·cm</w:t>
            </w:r>
            <w:r w:rsidRPr="00C840FC">
              <w:rPr>
                <w:rFonts w:ascii="Arial" w:hAnsi="Arial" w:cs="Arial"/>
                <w:vertAlign w:val="superscript"/>
                <w:lang w:val="en-GB"/>
              </w:rPr>
              <w:t>-5</w:t>
            </w:r>
            <w:r w:rsidRPr="00C840FC">
              <w:rPr>
                <w:rFonts w:ascii="Arial" w:hAnsi="Arial" w:cs="Arial"/>
                <w:lang w:val="en-GB"/>
              </w:rPr>
              <w:t>)</w:t>
            </w:r>
          </w:p>
        </w:tc>
        <w:tc>
          <w:tcPr>
            <w:tcW w:w="0" w:type="auto"/>
          </w:tcPr>
          <w:p w14:paraId="22ED4AC3"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255.73 (95% CI 139.58 to 371.89)</w:t>
            </w:r>
          </w:p>
        </w:tc>
        <w:tc>
          <w:tcPr>
            <w:tcW w:w="0" w:type="auto"/>
          </w:tcPr>
          <w:p w14:paraId="0459F249"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212.38 (95% CI 96.23 to 328.53)</w:t>
            </w:r>
          </w:p>
        </w:tc>
        <w:tc>
          <w:tcPr>
            <w:tcW w:w="0" w:type="auto"/>
          </w:tcPr>
          <w:p w14:paraId="09B08D06"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-43.35 (95% CI -208.67 to 121.97)</w:t>
            </w:r>
          </w:p>
        </w:tc>
      </w:tr>
      <w:tr w:rsidR="00720073" w:rsidRPr="00C840FC" w14:paraId="4ADD5424" w14:textId="77777777" w:rsidTr="00D47C09">
        <w:trPr>
          <w:trHeight w:val="687"/>
        </w:trPr>
        <w:tc>
          <w:tcPr>
            <w:tcW w:w="0" w:type="auto"/>
          </w:tcPr>
          <w:p w14:paraId="1CF6EC83"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SVV (%)</w:t>
            </w:r>
          </w:p>
        </w:tc>
        <w:tc>
          <w:tcPr>
            <w:tcW w:w="0" w:type="auto"/>
          </w:tcPr>
          <w:p w14:paraId="47DC26F2"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0.33 (95% CI -0.89 to 1.55)</w:t>
            </w:r>
          </w:p>
        </w:tc>
        <w:tc>
          <w:tcPr>
            <w:tcW w:w="0" w:type="auto"/>
          </w:tcPr>
          <w:p w14:paraId="63CEE515"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0.82 (95% CI -0.14 to 1.78)</w:t>
            </w:r>
          </w:p>
        </w:tc>
        <w:tc>
          <w:tcPr>
            <w:tcW w:w="0" w:type="auto"/>
          </w:tcPr>
          <w:p w14:paraId="1337484C"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0.50 (95% CI -1.12 to 2.12)</w:t>
            </w:r>
          </w:p>
        </w:tc>
      </w:tr>
      <w:tr w:rsidR="00720073" w:rsidRPr="00C840FC" w14:paraId="15B9D4F5" w14:textId="77777777" w:rsidTr="00D47C09">
        <w:trPr>
          <w:trHeight w:val="687"/>
        </w:trPr>
        <w:tc>
          <w:tcPr>
            <w:tcW w:w="0" w:type="auto"/>
          </w:tcPr>
          <w:p w14:paraId="27F1BC53"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CO (L·min</w:t>
            </w:r>
            <w:r w:rsidRPr="00C840FC">
              <w:rPr>
                <w:rFonts w:ascii="Arial" w:hAnsi="Arial" w:cs="Arial"/>
                <w:vertAlign w:val="superscript"/>
                <w:lang w:val="en-GB"/>
              </w:rPr>
              <w:t>-1</w:t>
            </w:r>
            <w:r w:rsidRPr="00C840FC">
              <w:rPr>
                <w:rFonts w:ascii="Arial" w:hAnsi="Arial" w:cs="Arial"/>
                <w:lang w:val="en-GB"/>
              </w:rPr>
              <w:t>)</w:t>
            </w:r>
          </w:p>
        </w:tc>
        <w:tc>
          <w:tcPr>
            <w:tcW w:w="0" w:type="auto"/>
          </w:tcPr>
          <w:p w14:paraId="7FD28E6C"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-0.35 (95% CI -0.73 to -0.03)</w:t>
            </w:r>
          </w:p>
        </w:tc>
        <w:tc>
          <w:tcPr>
            <w:tcW w:w="0" w:type="auto"/>
          </w:tcPr>
          <w:p w14:paraId="4BAEB002"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-0.43 (95% CI -0.73 to -0.13)</w:t>
            </w:r>
          </w:p>
        </w:tc>
        <w:tc>
          <w:tcPr>
            <w:tcW w:w="0" w:type="auto"/>
          </w:tcPr>
          <w:p w14:paraId="07A3106D"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-0.08 (95% CI -0.58 to 0.43)</w:t>
            </w:r>
          </w:p>
        </w:tc>
      </w:tr>
      <w:tr w:rsidR="00720073" w:rsidRPr="00C840FC" w14:paraId="45C57FBD" w14:textId="77777777" w:rsidTr="00D47C09">
        <w:trPr>
          <w:trHeight w:val="676"/>
        </w:trPr>
        <w:tc>
          <w:tcPr>
            <w:tcW w:w="0" w:type="auto"/>
          </w:tcPr>
          <w:p w14:paraId="152B66B1"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Cys-C (mg·L</w:t>
            </w:r>
            <w:r w:rsidRPr="00C840FC">
              <w:rPr>
                <w:rFonts w:ascii="Arial" w:hAnsi="Arial" w:cs="Arial"/>
                <w:vertAlign w:val="superscript"/>
                <w:lang w:val="en-GB"/>
              </w:rPr>
              <w:t>-1</w:t>
            </w:r>
            <w:r w:rsidRPr="00C840FC">
              <w:rPr>
                <w:rFonts w:ascii="Arial" w:hAnsi="Arial" w:cs="Arial"/>
                <w:lang w:val="en-GB"/>
              </w:rPr>
              <w:t>)</w:t>
            </w:r>
          </w:p>
        </w:tc>
        <w:tc>
          <w:tcPr>
            <w:tcW w:w="0" w:type="auto"/>
          </w:tcPr>
          <w:p w14:paraId="3D0F43CE"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0.28 (95% CI 0.23 to 0.33)</w:t>
            </w:r>
          </w:p>
        </w:tc>
        <w:tc>
          <w:tcPr>
            <w:tcW w:w="0" w:type="auto"/>
          </w:tcPr>
          <w:p w14:paraId="0DA915D3"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0.02 (95% CI -0.06 to 0.09)</w:t>
            </w:r>
          </w:p>
        </w:tc>
        <w:tc>
          <w:tcPr>
            <w:tcW w:w="0" w:type="auto"/>
          </w:tcPr>
          <w:p w14:paraId="2AB6E6EB"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0.02 (95% CI -0.06 to 0.09)</w:t>
            </w:r>
          </w:p>
        </w:tc>
      </w:tr>
      <w:tr w:rsidR="00720073" w:rsidRPr="00C840FC" w14:paraId="3B2A3D5E" w14:textId="77777777" w:rsidTr="00D47C09">
        <w:trPr>
          <w:trHeight w:val="687"/>
        </w:trPr>
        <w:tc>
          <w:tcPr>
            <w:tcW w:w="0" w:type="auto"/>
          </w:tcPr>
          <w:p w14:paraId="44C2629B"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eGFR (ml·min</w:t>
            </w:r>
            <w:r w:rsidRPr="00C840FC">
              <w:rPr>
                <w:rFonts w:ascii="Arial" w:hAnsi="Arial" w:cs="Arial"/>
                <w:vertAlign w:val="superscript"/>
                <w:lang w:val="en-GB"/>
              </w:rPr>
              <w:t>-1</w:t>
            </w:r>
            <w:r w:rsidRPr="00C840FC">
              <w:rPr>
                <w:rFonts w:ascii="Arial" w:hAnsi="Arial" w:cs="Arial"/>
                <w:lang w:val="en-GB"/>
              </w:rPr>
              <w:t xml:space="preserve"> (1.73m)</w:t>
            </w:r>
            <w:r w:rsidRPr="00C840FC">
              <w:rPr>
                <w:rFonts w:ascii="Arial" w:hAnsi="Arial" w:cs="Arial"/>
                <w:vertAlign w:val="superscript"/>
                <w:lang w:val="en-GB"/>
              </w:rPr>
              <w:t>-2</w:t>
            </w:r>
            <w:r w:rsidRPr="00C840FC">
              <w:rPr>
                <w:rFonts w:ascii="Arial" w:hAnsi="Arial" w:cs="Arial"/>
                <w:lang w:val="en-GB"/>
              </w:rPr>
              <w:t>)</w:t>
            </w:r>
          </w:p>
        </w:tc>
        <w:tc>
          <w:tcPr>
            <w:tcW w:w="0" w:type="auto"/>
          </w:tcPr>
          <w:p w14:paraId="704DB231"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-35.11 (95% CI -39.91- -30.32)</w:t>
            </w:r>
          </w:p>
        </w:tc>
        <w:tc>
          <w:tcPr>
            <w:tcW w:w="0" w:type="auto"/>
          </w:tcPr>
          <w:p w14:paraId="6FB9F27E"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-36.84 (95% CI -42.18- -31.49)</w:t>
            </w:r>
          </w:p>
        </w:tc>
        <w:tc>
          <w:tcPr>
            <w:tcW w:w="0" w:type="auto"/>
          </w:tcPr>
          <w:p w14:paraId="4B98ACCE"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-1.72 (95% CI -9.29- 5.85)</w:t>
            </w:r>
          </w:p>
        </w:tc>
      </w:tr>
      <w:tr w:rsidR="00720073" w:rsidRPr="00C840FC" w14:paraId="2B0A1663" w14:textId="77777777" w:rsidTr="00D47C09">
        <w:trPr>
          <w:trHeight w:val="687"/>
        </w:trPr>
        <w:tc>
          <w:tcPr>
            <w:tcW w:w="0" w:type="auto"/>
          </w:tcPr>
          <w:p w14:paraId="5E811384"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UA (umol L</w:t>
            </w:r>
            <w:r w:rsidRPr="00C840FC">
              <w:rPr>
                <w:rFonts w:ascii="Arial" w:hAnsi="Arial" w:cs="Arial"/>
                <w:vertAlign w:val="superscript"/>
                <w:lang w:val="en-GB"/>
              </w:rPr>
              <w:t>-1</w:t>
            </w:r>
            <w:r w:rsidRPr="00C840FC">
              <w:rPr>
                <w:rFonts w:ascii="Arial" w:hAnsi="Arial" w:cs="Arial"/>
                <w:lang w:val="en-GB"/>
              </w:rPr>
              <w:t>)</w:t>
            </w:r>
          </w:p>
        </w:tc>
        <w:tc>
          <w:tcPr>
            <w:tcW w:w="0" w:type="auto"/>
          </w:tcPr>
          <w:p w14:paraId="18D69D07"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-24.81 (95% CI -40.71 to -8.91)</w:t>
            </w:r>
          </w:p>
        </w:tc>
        <w:tc>
          <w:tcPr>
            <w:tcW w:w="0" w:type="auto"/>
          </w:tcPr>
          <w:p w14:paraId="7C52C27F"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-30.57 (95% CI -48.28 to -12.87)</w:t>
            </w:r>
          </w:p>
        </w:tc>
        <w:tc>
          <w:tcPr>
            <w:tcW w:w="0" w:type="auto"/>
          </w:tcPr>
          <w:p w14:paraId="0DFC81BE"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-5.77 (95% CI -30.84 to 19.31)</w:t>
            </w:r>
          </w:p>
        </w:tc>
      </w:tr>
      <w:tr w:rsidR="00720073" w:rsidRPr="00C840FC" w14:paraId="2E55B46A" w14:textId="77777777" w:rsidTr="00D47C09">
        <w:trPr>
          <w:trHeight w:val="687"/>
        </w:trPr>
        <w:tc>
          <w:tcPr>
            <w:tcW w:w="0" w:type="auto"/>
            <w:tcBorders>
              <w:bottom w:val="single" w:sz="4" w:space="0" w:color="auto"/>
            </w:tcBorders>
          </w:tcPr>
          <w:p w14:paraId="3D09AEEE" w14:textId="77777777" w:rsidR="00720073" w:rsidRPr="00C840FC" w:rsidRDefault="00720073" w:rsidP="00D47C09">
            <w:pPr>
              <w:pStyle w:val="aa"/>
              <w:spacing w:line="360" w:lineRule="auto"/>
              <w:rPr>
                <w:rFonts w:ascii="Arial" w:hAnsi="Arial" w:cs="Arial"/>
                <w:lang w:val="en-GB"/>
              </w:rPr>
            </w:pPr>
            <w:r w:rsidRPr="00C840FC">
              <w:rPr>
                <w:rFonts w:ascii="Arial" w:hAnsi="Arial" w:cs="Arial"/>
                <w:lang w:val="en-GB"/>
              </w:rPr>
              <w:t>Urine output (ml·kg</w:t>
            </w:r>
            <w:r w:rsidRPr="00C840FC">
              <w:rPr>
                <w:rFonts w:ascii="Arial" w:hAnsi="Arial" w:cs="Arial"/>
                <w:vertAlign w:val="superscript"/>
                <w:lang w:val="en-GB"/>
              </w:rPr>
              <w:t>-1</w:t>
            </w:r>
            <w:r w:rsidRPr="00C840FC">
              <w:rPr>
                <w:rFonts w:ascii="Arial" w:hAnsi="Arial" w:cs="Arial"/>
                <w:lang w:val="en-GB"/>
              </w:rPr>
              <w:t>·h</w:t>
            </w:r>
            <w:r w:rsidRPr="00C840FC">
              <w:rPr>
                <w:rFonts w:ascii="Arial" w:hAnsi="Arial" w:cs="Arial"/>
                <w:vertAlign w:val="superscript"/>
                <w:lang w:val="en-GB"/>
              </w:rPr>
              <w:t>-1</w:t>
            </w:r>
            <w:r w:rsidRPr="00C840FC">
              <w:rPr>
                <w:rFonts w:ascii="Arial" w:hAnsi="Arial" w:cs="Arial"/>
                <w:lang w:val="en-GB"/>
              </w:rPr>
              <w:t>)</w:t>
            </w:r>
          </w:p>
        </w:tc>
        <w:tc>
          <w:tcPr>
            <w:tcW w:w="0" w:type="auto"/>
            <w:tcBorders>
              <w:bottom w:val="single" w:sz="4" w:space="0" w:color="auto"/>
            </w:tcBorders>
          </w:tcPr>
          <w:p w14:paraId="3788A792"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-3.68 (95% CI -4.30 to -3.06)</w:t>
            </w:r>
          </w:p>
        </w:tc>
        <w:tc>
          <w:tcPr>
            <w:tcW w:w="0" w:type="auto"/>
            <w:tcBorders>
              <w:bottom w:val="single" w:sz="4" w:space="0" w:color="auto"/>
            </w:tcBorders>
          </w:tcPr>
          <w:p w14:paraId="10914DFB"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-4.21 (95% CI -4.90 to -3.52)</w:t>
            </w:r>
          </w:p>
        </w:tc>
        <w:tc>
          <w:tcPr>
            <w:tcW w:w="0" w:type="auto"/>
            <w:tcBorders>
              <w:bottom w:val="single" w:sz="4" w:space="0" w:color="auto"/>
            </w:tcBorders>
          </w:tcPr>
          <w:p w14:paraId="316943AB" w14:textId="77777777" w:rsidR="00720073" w:rsidRPr="00C840FC" w:rsidRDefault="00720073" w:rsidP="00D47C09">
            <w:pPr>
              <w:pStyle w:val="aa"/>
              <w:spacing w:line="360" w:lineRule="auto"/>
              <w:jc w:val="center"/>
              <w:rPr>
                <w:rFonts w:ascii="Arial" w:hAnsi="Arial" w:cs="Arial"/>
                <w:lang w:val="en-GB"/>
              </w:rPr>
            </w:pPr>
            <w:r w:rsidRPr="00C840FC">
              <w:rPr>
                <w:rFonts w:ascii="Arial" w:hAnsi="Arial" w:cs="Arial"/>
                <w:lang w:val="en-GB"/>
              </w:rPr>
              <w:t>-0.53 (95% CI -1.51 to 0.44)</w:t>
            </w:r>
          </w:p>
        </w:tc>
      </w:tr>
    </w:tbl>
    <w:p w14:paraId="28F71050" w14:textId="77777777" w:rsidR="00720073" w:rsidRDefault="00720073" w:rsidP="00720073">
      <w:pPr>
        <w:spacing w:line="360" w:lineRule="auto"/>
        <w:rPr>
          <w:rFonts w:ascii="Arial" w:eastAsiaTheme="minorEastAsia" w:hAnsi="Arial" w:cs="Arial"/>
          <w:color w:val="000000" w:themeColor="text1"/>
          <w:sz w:val="28"/>
          <w:szCs w:val="28"/>
          <w:lang w:val="en-GB"/>
        </w:rPr>
      </w:pPr>
      <w:r w:rsidRPr="00C840FC">
        <w:rPr>
          <w:rFonts w:ascii="Arial" w:hAnsi="Arial" w:cs="Arial"/>
          <w:i/>
          <w:iCs/>
          <w:lang w:val="en-GB"/>
        </w:rPr>
        <w:t>Haemodynamic indices during anaesthesia, presented as mean (95% conﬁdence intervals). CO, cardiac output; eGFR, estimated glomerular ﬁltration rate measured with Cockcroft-Gault equation; IL-18, interleukin-18; KIM-1, kidney injury marker-1; MAP, mean arterial pressure; TIMP-2, tissue inhibitor of metalloproteinase-2; UA, uric acid; SVR, systemic vascular resistance; SVV, stroke volume variation. Regression analysis was conducted using a repeated-measures mixed-effects linear regression model.</w:t>
      </w:r>
    </w:p>
    <w:p w14:paraId="13B0EC06" w14:textId="77777777" w:rsidR="006A664A" w:rsidRPr="00720073" w:rsidRDefault="006A664A" w:rsidP="00720073">
      <w:pPr>
        <w:spacing w:line="360" w:lineRule="auto"/>
        <w:rPr>
          <w:rFonts w:ascii="Arial" w:eastAsiaTheme="minorEastAsia" w:hAnsi="Arial" w:cs="Arial"/>
          <w:b/>
          <w:bCs/>
          <w:color w:val="000000" w:themeColor="text1"/>
          <w:sz w:val="28"/>
          <w:szCs w:val="28"/>
          <w:lang w:val="en-GB"/>
        </w:rPr>
      </w:pPr>
    </w:p>
    <w:sectPr w:rsidR="006A664A" w:rsidRPr="00720073" w:rsidSect="00ED5875">
      <w:headerReference w:type="even" r:id="rId7"/>
      <w:headerReference w:type="default" r:id="rId8"/>
      <w:pgSz w:w="11906" w:h="16838"/>
      <w:pgMar w:top="1440" w:right="1701" w:bottom="1440"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DBC37" w14:textId="77777777" w:rsidR="00AC5AD0" w:rsidRDefault="00AC5AD0" w:rsidP="00AB40E1">
      <w:pPr>
        <w:spacing w:line="240" w:lineRule="auto"/>
      </w:pPr>
      <w:r>
        <w:separator/>
      </w:r>
    </w:p>
  </w:endnote>
  <w:endnote w:type="continuationSeparator" w:id="0">
    <w:p w14:paraId="18E49E22" w14:textId="77777777" w:rsidR="00AC5AD0" w:rsidRDefault="00AC5AD0" w:rsidP="00AB4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正文 CS 字体)">
    <w:altName w:val="宋体"/>
    <w:panose1 w:val="020B0604020202020204"/>
    <w:charset w:val="86"/>
    <w:family w:val="roman"/>
    <w:pitch w:val="default"/>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pleSystemUIFont">
    <w:altName w:val="Cambria"/>
    <w:panose1 w:val="020B06040202020202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EDC99" w14:textId="77777777" w:rsidR="00AC5AD0" w:rsidRDefault="00AC5AD0" w:rsidP="00AB40E1">
      <w:pPr>
        <w:spacing w:line="240" w:lineRule="auto"/>
      </w:pPr>
      <w:r>
        <w:separator/>
      </w:r>
    </w:p>
  </w:footnote>
  <w:footnote w:type="continuationSeparator" w:id="0">
    <w:p w14:paraId="5B37DB3F" w14:textId="77777777" w:rsidR="00AC5AD0" w:rsidRDefault="00AC5AD0" w:rsidP="00AB40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9"/>
      </w:rPr>
      <w:id w:val="1815682396"/>
      <w:docPartObj>
        <w:docPartGallery w:val="Page Numbers (Top of Page)"/>
        <w:docPartUnique/>
      </w:docPartObj>
    </w:sdtPr>
    <w:sdtEndPr>
      <w:rPr>
        <w:rStyle w:val="a9"/>
      </w:rPr>
    </w:sdtEndPr>
    <w:sdtContent>
      <w:p w14:paraId="568BC76E" w14:textId="6F915954" w:rsidR="00924886" w:rsidRDefault="00924886" w:rsidP="00E77D71">
        <w:pPr>
          <w:pStyle w:val="a3"/>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1E73AB9F" w14:textId="77777777" w:rsidR="00924886" w:rsidRDefault="00924886" w:rsidP="00D661C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9"/>
      </w:rPr>
      <w:id w:val="364646145"/>
      <w:docPartObj>
        <w:docPartGallery w:val="Page Numbers (Top of Page)"/>
        <w:docPartUnique/>
      </w:docPartObj>
    </w:sdtPr>
    <w:sdtEndPr>
      <w:rPr>
        <w:rStyle w:val="a9"/>
      </w:rPr>
    </w:sdtEndPr>
    <w:sdtContent>
      <w:p w14:paraId="569E308C" w14:textId="79C399DA" w:rsidR="00924886" w:rsidRDefault="00924886" w:rsidP="00E77D71">
        <w:pPr>
          <w:pStyle w:val="a3"/>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7B67C284" w14:textId="77777777" w:rsidR="00924886" w:rsidRDefault="00924886" w:rsidP="00D661CF">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B80C3C"/>
    <w:multiLevelType w:val="hybridMultilevel"/>
    <w:tmpl w:val="2B0493F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64127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3NTU2NLIwNrc0NjZW0lEKTi0uzszPAykwrAUA01S+5SwAAAA="/>
  </w:docVars>
  <w:rsids>
    <w:rsidRoot w:val="00733D0F"/>
    <w:rsid w:val="00006B98"/>
    <w:rsid w:val="000100F2"/>
    <w:rsid w:val="00022CBD"/>
    <w:rsid w:val="00041543"/>
    <w:rsid w:val="0004726F"/>
    <w:rsid w:val="00057088"/>
    <w:rsid w:val="0007017F"/>
    <w:rsid w:val="00071D13"/>
    <w:rsid w:val="00076379"/>
    <w:rsid w:val="00082685"/>
    <w:rsid w:val="000841E8"/>
    <w:rsid w:val="00093F7B"/>
    <w:rsid w:val="000A2E38"/>
    <w:rsid w:val="000A6C46"/>
    <w:rsid w:val="000E6F8E"/>
    <w:rsid w:val="000E71BA"/>
    <w:rsid w:val="001163D7"/>
    <w:rsid w:val="00122596"/>
    <w:rsid w:val="00123523"/>
    <w:rsid w:val="001255DD"/>
    <w:rsid w:val="00125FFA"/>
    <w:rsid w:val="0012795F"/>
    <w:rsid w:val="00133315"/>
    <w:rsid w:val="00141FAC"/>
    <w:rsid w:val="001440BB"/>
    <w:rsid w:val="0016693A"/>
    <w:rsid w:val="00173E2F"/>
    <w:rsid w:val="00181D69"/>
    <w:rsid w:val="00182F59"/>
    <w:rsid w:val="00190094"/>
    <w:rsid w:val="00191541"/>
    <w:rsid w:val="00193A00"/>
    <w:rsid w:val="001B2659"/>
    <w:rsid w:val="001D05CA"/>
    <w:rsid w:val="001D0CAD"/>
    <w:rsid w:val="001D7CFC"/>
    <w:rsid w:val="001E3E82"/>
    <w:rsid w:val="001F7C24"/>
    <w:rsid w:val="00216F0D"/>
    <w:rsid w:val="0021735C"/>
    <w:rsid w:val="0022029E"/>
    <w:rsid w:val="00223F9C"/>
    <w:rsid w:val="0023222F"/>
    <w:rsid w:val="00250C3D"/>
    <w:rsid w:val="00271206"/>
    <w:rsid w:val="0028596A"/>
    <w:rsid w:val="0029058B"/>
    <w:rsid w:val="0029192B"/>
    <w:rsid w:val="00296AE6"/>
    <w:rsid w:val="002A0A84"/>
    <w:rsid w:val="002B2958"/>
    <w:rsid w:val="002C260D"/>
    <w:rsid w:val="002C6D82"/>
    <w:rsid w:val="002C7CE6"/>
    <w:rsid w:val="002F034A"/>
    <w:rsid w:val="003011B0"/>
    <w:rsid w:val="00303009"/>
    <w:rsid w:val="00311A7C"/>
    <w:rsid w:val="00312437"/>
    <w:rsid w:val="00336A47"/>
    <w:rsid w:val="00340315"/>
    <w:rsid w:val="003547DB"/>
    <w:rsid w:val="0036448D"/>
    <w:rsid w:val="00365B3E"/>
    <w:rsid w:val="003679ED"/>
    <w:rsid w:val="003743B9"/>
    <w:rsid w:val="003827A3"/>
    <w:rsid w:val="0038316A"/>
    <w:rsid w:val="00385831"/>
    <w:rsid w:val="003924F5"/>
    <w:rsid w:val="003927C4"/>
    <w:rsid w:val="003B2B8E"/>
    <w:rsid w:val="003C14B4"/>
    <w:rsid w:val="003C7BD3"/>
    <w:rsid w:val="003D43C6"/>
    <w:rsid w:val="003D46EA"/>
    <w:rsid w:val="003E237D"/>
    <w:rsid w:val="003F58E6"/>
    <w:rsid w:val="0040379C"/>
    <w:rsid w:val="0041236D"/>
    <w:rsid w:val="00413D9E"/>
    <w:rsid w:val="00420A7B"/>
    <w:rsid w:val="00430CBC"/>
    <w:rsid w:val="00437AC7"/>
    <w:rsid w:val="004444BB"/>
    <w:rsid w:val="004558DC"/>
    <w:rsid w:val="004678FD"/>
    <w:rsid w:val="00471604"/>
    <w:rsid w:val="00473A6B"/>
    <w:rsid w:val="004964E1"/>
    <w:rsid w:val="004A42B3"/>
    <w:rsid w:val="004A6692"/>
    <w:rsid w:val="004C20FA"/>
    <w:rsid w:val="004C467D"/>
    <w:rsid w:val="004F6233"/>
    <w:rsid w:val="005115D7"/>
    <w:rsid w:val="005134EF"/>
    <w:rsid w:val="00516AE4"/>
    <w:rsid w:val="00523FEE"/>
    <w:rsid w:val="0055687D"/>
    <w:rsid w:val="005846D1"/>
    <w:rsid w:val="005848C1"/>
    <w:rsid w:val="005A2706"/>
    <w:rsid w:val="005C2C44"/>
    <w:rsid w:val="005C3839"/>
    <w:rsid w:val="005E1CD9"/>
    <w:rsid w:val="005E41C0"/>
    <w:rsid w:val="005F00C9"/>
    <w:rsid w:val="006020A2"/>
    <w:rsid w:val="006334B2"/>
    <w:rsid w:val="006526CB"/>
    <w:rsid w:val="0065281E"/>
    <w:rsid w:val="006610B6"/>
    <w:rsid w:val="006634B2"/>
    <w:rsid w:val="006842AA"/>
    <w:rsid w:val="00691329"/>
    <w:rsid w:val="006A664A"/>
    <w:rsid w:val="006B33D3"/>
    <w:rsid w:val="006B3C15"/>
    <w:rsid w:val="006B7076"/>
    <w:rsid w:val="006E0C2C"/>
    <w:rsid w:val="006E596F"/>
    <w:rsid w:val="006E6B6C"/>
    <w:rsid w:val="00702ABD"/>
    <w:rsid w:val="00720073"/>
    <w:rsid w:val="007221A2"/>
    <w:rsid w:val="00733D0F"/>
    <w:rsid w:val="00744ACD"/>
    <w:rsid w:val="00751972"/>
    <w:rsid w:val="007569D4"/>
    <w:rsid w:val="00767C70"/>
    <w:rsid w:val="0079131C"/>
    <w:rsid w:val="00793C93"/>
    <w:rsid w:val="00797AD8"/>
    <w:rsid w:val="007A63B5"/>
    <w:rsid w:val="007B4C2B"/>
    <w:rsid w:val="007D2A60"/>
    <w:rsid w:val="007F5139"/>
    <w:rsid w:val="007F5D6F"/>
    <w:rsid w:val="008142F8"/>
    <w:rsid w:val="00837A76"/>
    <w:rsid w:val="00843977"/>
    <w:rsid w:val="00846289"/>
    <w:rsid w:val="00852486"/>
    <w:rsid w:val="00883091"/>
    <w:rsid w:val="0089504E"/>
    <w:rsid w:val="008B0458"/>
    <w:rsid w:val="008B5C3F"/>
    <w:rsid w:val="008D636C"/>
    <w:rsid w:val="008E46F2"/>
    <w:rsid w:val="008E75B2"/>
    <w:rsid w:val="00907412"/>
    <w:rsid w:val="00916941"/>
    <w:rsid w:val="00924886"/>
    <w:rsid w:val="00924BE6"/>
    <w:rsid w:val="0095582C"/>
    <w:rsid w:val="00976613"/>
    <w:rsid w:val="009777EF"/>
    <w:rsid w:val="009931EF"/>
    <w:rsid w:val="009A5BD3"/>
    <w:rsid w:val="009C04A1"/>
    <w:rsid w:val="009E62C1"/>
    <w:rsid w:val="00A04A60"/>
    <w:rsid w:val="00A16871"/>
    <w:rsid w:val="00A3101F"/>
    <w:rsid w:val="00A367B3"/>
    <w:rsid w:val="00A543E0"/>
    <w:rsid w:val="00A63A6F"/>
    <w:rsid w:val="00A6661E"/>
    <w:rsid w:val="00A7110F"/>
    <w:rsid w:val="00A74B3D"/>
    <w:rsid w:val="00A84DCA"/>
    <w:rsid w:val="00A92A2F"/>
    <w:rsid w:val="00A951E7"/>
    <w:rsid w:val="00A97323"/>
    <w:rsid w:val="00AA55E3"/>
    <w:rsid w:val="00AB40E1"/>
    <w:rsid w:val="00AB79D8"/>
    <w:rsid w:val="00AB7D50"/>
    <w:rsid w:val="00AC104A"/>
    <w:rsid w:val="00AC5AD0"/>
    <w:rsid w:val="00AE10B5"/>
    <w:rsid w:val="00AE1A9B"/>
    <w:rsid w:val="00AF3982"/>
    <w:rsid w:val="00B22D89"/>
    <w:rsid w:val="00B40FA7"/>
    <w:rsid w:val="00B428B4"/>
    <w:rsid w:val="00B55138"/>
    <w:rsid w:val="00B677DB"/>
    <w:rsid w:val="00B8249D"/>
    <w:rsid w:val="00B94515"/>
    <w:rsid w:val="00BA73B2"/>
    <w:rsid w:val="00BB18DD"/>
    <w:rsid w:val="00BB2320"/>
    <w:rsid w:val="00BB33E5"/>
    <w:rsid w:val="00BC3E35"/>
    <w:rsid w:val="00BD05DC"/>
    <w:rsid w:val="00BE3EA9"/>
    <w:rsid w:val="00BE4FB2"/>
    <w:rsid w:val="00BE502A"/>
    <w:rsid w:val="00C15554"/>
    <w:rsid w:val="00C33FC0"/>
    <w:rsid w:val="00C3492A"/>
    <w:rsid w:val="00C571EB"/>
    <w:rsid w:val="00C57493"/>
    <w:rsid w:val="00C61362"/>
    <w:rsid w:val="00C64C0E"/>
    <w:rsid w:val="00C71B4D"/>
    <w:rsid w:val="00C7331E"/>
    <w:rsid w:val="00C73FC3"/>
    <w:rsid w:val="00C80E9B"/>
    <w:rsid w:val="00C840FC"/>
    <w:rsid w:val="00CB4F02"/>
    <w:rsid w:val="00CE4305"/>
    <w:rsid w:val="00CE5FA8"/>
    <w:rsid w:val="00CE66F7"/>
    <w:rsid w:val="00CE7C68"/>
    <w:rsid w:val="00CF225F"/>
    <w:rsid w:val="00D06B67"/>
    <w:rsid w:val="00D141AB"/>
    <w:rsid w:val="00D22277"/>
    <w:rsid w:val="00D35CEF"/>
    <w:rsid w:val="00D36562"/>
    <w:rsid w:val="00D418B9"/>
    <w:rsid w:val="00D473ED"/>
    <w:rsid w:val="00D5164C"/>
    <w:rsid w:val="00D52B5E"/>
    <w:rsid w:val="00D64B50"/>
    <w:rsid w:val="00D661CF"/>
    <w:rsid w:val="00D733C0"/>
    <w:rsid w:val="00D73C96"/>
    <w:rsid w:val="00D80B12"/>
    <w:rsid w:val="00DB0E89"/>
    <w:rsid w:val="00DB2CBE"/>
    <w:rsid w:val="00DB68BE"/>
    <w:rsid w:val="00DC5717"/>
    <w:rsid w:val="00DC630E"/>
    <w:rsid w:val="00DE207E"/>
    <w:rsid w:val="00DF0DDB"/>
    <w:rsid w:val="00E01058"/>
    <w:rsid w:val="00E10489"/>
    <w:rsid w:val="00E1700D"/>
    <w:rsid w:val="00E2275D"/>
    <w:rsid w:val="00E571E7"/>
    <w:rsid w:val="00E653EA"/>
    <w:rsid w:val="00E927AF"/>
    <w:rsid w:val="00E9779F"/>
    <w:rsid w:val="00EB00AA"/>
    <w:rsid w:val="00EB02E4"/>
    <w:rsid w:val="00EB7DDB"/>
    <w:rsid w:val="00ED04B9"/>
    <w:rsid w:val="00ED378A"/>
    <w:rsid w:val="00ED5875"/>
    <w:rsid w:val="00EE1360"/>
    <w:rsid w:val="00EF1822"/>
    <w:rsid w:val="00EF2B25"/>
    <w:rsid w:val="00EF3488"/>
    <w:rsid w:val="00EF545A"/>
    <w:rsid w:val="00EF5584"/>
    <w:rsid w:val="00EF60E0"/>
    <w:rsid w:val="00EF76F9"/>
    <w:rsid w:val="00F048EC"/>
    <w:rsid w:val="00F04A55"/>
    <w:rsid w:val="00F108DE"/>
    <w:rsid w:val="00F11423"/>
    <w:rsid w:val="00F11FDB"/>
    <w:rsid w:val="00F27F28"/>
    <w:rsid w:val="00F55366"/>
    <w:rsid w:val="00F56930"/>
    <w:rsid w:val="00F906C5"/>
    <w:rsid w:val="00FC3475"/>
    <w:rsid w:val="00FC7182"/>
    <w:rsid w:val="00FE2122"/>
    <w:rsid w:val="00FE6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ED943"/>
  <w15:chartTrackingRefBased/>
  <w15:docId w15:val="{BB166949-6B95-6C4A-9706-E29F708A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E2F"/>
    <w:pPr>
      <w:widowControl w:val="0"/>
      <w:spacing w:line="480" w:lineRule="auto"/>
      <w:jc w:val="both"/>
    </w:pPr>
    <w:rPr>
      <w:rFonts w:ascii="Times New Roman" w:eastAsia="Times New Roman" w:hAnsi="Times New Roman" w:cs="Times New Roman (正文 CS 字体)"/>
      <w:sz w:val="24"/>
    </w:rPr>
  </w:style>
  <w:style w:type="paragraph" w:styleId="1">
    <w:name w:val="heading 1"/>
    <w:basedOn w:val="a"/>
    <w:next w:val="a"/>
    <w:link w:val="10"/>
    <w:uiPriority w:val="9"/>
    <w:qFormat/>
    <w:rsid w:val="00837A76"/>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rsid w:val="006020A2"/>
    <w:pPr>
      <w:keepNext/>
      <w:keepLines/>
      <w:spacing w:before="240" w:after="240" w:line="360" w:lineRule="auto"/>
      <w:outlineLvl w:val="1"/>
    </w:pPr>
    <w:rPr>
      <w:rFonts w:ascii="Arial" w:eastAsia="宋体" w:hAnsi="Arial" w:cs="Arial"/>
      <w:b/>
      <w:bCs/>
      <w:color w:val="000000" w:themeColor="text1"/>
      <w:kern w:val="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020A2"/>
    <w:rPr>
      <w:rFonts w:ascii="Arial" w:eastAsia="宋体" w:hAnsi="Arial" w:cs="Arial"/>
      <w:b/>
      <w:bCs/>
      <w:color w:val="000000" w:themeColor="text1"/>
      <w:kern w:val="0"/>
      <w:sz w:val="24"/>
      <w:lang w:val="en-GB"/>
    </w:rPr>
  </w:style>
  <w:style w:type="paragraph" w:styleId="a3">
    <w:name w:val="header"/>
    <w:basedOn w:val="a"/>
    <w:link w:val="a4"/>
    <w:uiPriority w:val="99"/>
    <w:unhideWhenUsed/>
    <w:rsid w:val="00AB40E1"/>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40E1"/>
    <w:rPr>
      <w:rFonts w:ascii="Times New Roman" w:eastAsia="Times New Roman" w:hAnsi="Times New Roman" w:cs="Times New Roman (正文 CS 字体)"/>
      <w:sz w:val="18"/>
      <w:szCs w:val="18"/>
    </w:rPr>
  </w:style>
  <w:style w:type="paragraph" w:styleId="a5">
    <w:name w:val="footer"/>
    <w:basedOn w:val="a"/>
    <w:link w:val="a6"/>
    <w:uiPriority w:val="99"/>
    <w:unhideWhenUsed/>
    <w:rsid w:val="00AB40E1"/>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40E1"/>
    <w:rPr>
      <w:rFonts w:ascii="Times New Roman" w:eastAsia="Times New Roman" w:hAnsi="Times New Roman" w:cs="Times New Roman (正文 CS 字体)"/>
      <w:sz w:val="18"/>
      <w:szCs w:val="18"/>
    </w:rPr>
  </w:style>
  <w:style w:type="character" w:customStyle="1" w:styleId="10">
    <w:name w:val="标题 1 字符"/>
    <w:basedOn w:val="a0"/>
    <w:link w:val="1"/>
    <w:uiPriority w:val="9"/>
    <w:rsid w:val="00837A76"/>
    <w:rPr>
      <w:rFonts w:ascii="Times New Roman" w:eastAsia="Times New Roman" w:hAnsi="Times New Roman" w:cs="Times New Roman (正文 CS 字体)"/>
      <w:b/>
      <w:bCs/>
      <w:kern w:val="44"/>
      <w:sz w:val="44"/>
      <w:szCs w:val="44"/>
    </w:rPr>
  </w:style>
  <w:style w:type="paragraph" w:styleId="a7">
    <w:name w:val="Revision"/>
    <w:hidden/>
    <w:uiPriority w:val="99"/>
    <w:semiHidden/>
    <w:rsid w:val="0004726F"/>
    <w:rPr>
      <w:rFonts w:ascii="Times New Roman" w:eastAsia="Times New Roman" w:hAnsi="Times New Roman" w:cs="Times New Roman (正文 CS 字体)"/>
      <w:sz w:val="24"/>
    </w:rPr>
  </w:style>
  <w:style w:type="table" w:styleId="a8">
    <w:name w:val="Table Grid"/>
    <w:basedOn w:val="a1"/>
    <w:uiPriority w:val="39"/>
    <w:rsid w:val="00D52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Plain Table 2"/>
    <w:basedOn w:val="a1"/>
    <w:uiPriority w:val="42"/>
    <w:rsid w:val="00B551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9">
    <w:name w:val="page number"/>
    <w:basedOn w:val="a0"/>
    <w:uiPriority w:val="99"/>
    <w:semiHidden/>
    <w:unhideWhenUsed/>
    <w:rsid w:val="00924886"/>
  </w:style>
  <w:style w:type="paragraph" w:styleId="aa">
    <w:name w:val="No Spacing"/>
    <w:uiPriority w:val="1"/>
    <w:qFormat/>
    <w:rsid w:val="00E653EA"/>
    <w:pPr>
      <w:widowControl w:val="0"/>
      <w:jc w:val="both"/>
    </w:pPr>
    <w:rPr>
      <w:rFonts w:ascii="Times New Roman" w:eastAsia="Times New Roman" w:hAnsi="Times New Roman" w:cs="Times New Roman (正文 CS 字体)"/>
      <w:sz w:val="24"/>
    </w:rPr>
  </w:style>
  <w:style w:type="paragraph" w:customStyle="1" w:styleId="p1">
    <w:name w:val="p1"/>
    <w:basedOn w:val="a"/>
    <w:rsid w:val="00E10489"/>
    <w:pPr>
      <w:widowControl/>
      <w:spacing w:line="240" w:lineRule="auto"/>
      <w:jc w:val="left"/>
    </w:pPr>
    <w:rPr>
      <w:rFonts w:ascii=".AppleSystemUIFont" w:eastAsia="宋体" w:hAnsi=".AppleSystemUIFont" w:cs="宋体"/>
      <w:color w:val="0E0E0E"/>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238">
      <w:bodyDiv w:val="1"/>
      <w:marLeft w:val="0"/>
      <w:marRight w:val="0"/>
      <w:marTop w:val="0"/>
      <w:marBottom w:val="0"/>
      <w:divBdr>
        <w:top w:val="none" w:sz="0" w:space="0" w:color="auto"/>
        <w:left w:val="none" w:sz="0" w:space="0" w:color="auto"/>
        <w:bottom w:val="none" w:sz="0" w:space="0" w:color="auto"/>
        <w:right w:val="none" w:sz="0" w:space="0" w:color="auto"/>
      </w:divBdr>
    </w:div>
    <w:div w:id="434444209">
      <w:bodyDiv w:val="1"/>
      <w:marLeft w:val="0"/>
      <w:marRight w:val="0"/>
      <w:marTop w:val="0"/>
      <w:marBottom w:val="0"/>
      <w:divBdr>
        <w:top w:val="none" w:sz="0" w:space="0" w:color="auto"/>
        <w:left w:val="none" w:sz="0" w:space="0" w:color="auto"/>
        <w:bottom w:val="none" w:sz="0" w:space="0" w:color="auto"/>
        <w:right w:val="none" w:sz="0" w:space="0" w:color="auto"/>
      </w:divBdr>
    </w:div>
    <w:div w:id="522129502">
      <w:bodyDiv w:val="1"/>
      <w:marLeft w:val="0"/>
      <w:marRight w:val="0"/>
      <w:marTop w:val="0"/>
      <w:marBottom w:val="0"/>
      <w:divBdr>
        <w:top w:val="none" w:sz="0" w:space="0" w:color="auto"/>
        <w:left w:val="none" w:sz="0" w:space="0" w:color="auto"/>
        <w:bottom w:val="none" w:sz="0" w:space="0" w:color="auto"/>
        <w:right w:val="none" w:sz="0" w:space="0" w:color="auto"/>
      </w:divBdr>
    </w:div>
    <w:div w:id="697463277">
      <w:bodyDiv w:val="1"/>
      <w:marLeft w:val="0"/>
      <w:marRight w:val="0"/>
      <w:marTop w:val="0"/>
      <w:marBottom w:val="0"/>
      <w:divBdr>
        <w:top w:val="none" w:sz="0" w:space="0" w:color="auto"/>
        <w:left w:val="none" w:sz="0" w:space="0" w:color="auto"/>
        <w:bottom w:val="none" w:sz="0" w:space="0" w:color="auto"/>
        <w:right w:val="none" w:sz="0" w:space="0" w:color="auto"/>
      </w:divBdr>
    </w:div>
    <w:div w:id="886599583">
      <w:bodyDiv w:val="1"/>
      <w:marLeft w:val="0"/>
      <w:marRight w:val="0"/>
      <w:marTop w:val="0"/>
      <w:marBottom w:val="0"/>
      <w:divBdr>
        <w:top w:val="none" w:sz="0" w:space="0" w:color="auto"/>
        <w:left w:val="none" w:sz="0" w:space="0" w:color="auto"/>
        <w:bottom w:val="none" w:sz="0" w:space="0" w:color="auto"/>
        <w:right w:val="none" w:sz="0" w:space="0" w:color="auto"/>
      </w:divBdr>
    </w:div>
    <w:div w:id="1146123167">
      <w:bodyDiv w:val="1"/>
      <w:marLeft w:val="0"/>
      <w:marRight w:val="0"/>
      <w:marTop w:val="0"/>
      <w:marBottom w:val="0"/>
      <w:divBdr>
        <w:top w:val="none" w:sz="0" w:space="0" w:color="auto"/>
        <w:left w:val="none" w:sz="0" w:space="0" w:color="auto"/>
        <w:bottom w:val="none" w:sz="0" w:space="0" w:color="auto"/>
        <w:right w:val="none" w:sz="0" w:space="0" w:color="auto"/>
      </w:divBdr>
    </w:div>
    <w:div w:id="1649624278">
      <w:bodyDiv w:val="1"/>
      <w:marLeft w:val="0"/>
      <w:marRight w:val="0"/>
      <w:marTop w:val="0"/>
      <w:marBottom w:val="0"/>
      <w:divBdr>
        <w:top w:val="none" w:sz="0" w:space="0" w:color="auto"/>
        <w:left w:val="none" w:sz="0" w:space="0" w:color="auto"/>
        <w:bottom w:val="none" w:sz="0" w:space="0" w:color="auto"/>
        <w:right w:val="none" w:sz="0" w:space="0" w:color="auto"/>
      </w:divBdr>
    </w:div>
    <w:div w:id="1749771551">
      <w:bodyDiv w:val="1"/>
      <w:marLeft w:val="0"/>
      <w:marRight w:val="0"/>
      <w:marTop w:val="0"/>
      <w:marBottom w:val="0"/>
      <w:divBdr>
        <w:top w:val="none" w:sz="0" w:space="0" w:color="auto"/>
        <w:left w:val="none" w:sz="0" w:space="0" w:color="auto"/>
        <w:bottom w:val="none" w:sz="0" w:space="0" w:color="auto"/>
        <w:right w:val="none" w:sz="0" w:space="0" w:color="auto"/>
      </w:divBdr>
    </w:div>
    <w:div w:id="191713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12</Pages>
  <Words>2001</Words>
  <Characters>11410</Characters>
  <Application>Microsoft Office Word</Application>
  <DocSecurity>0</DocSecurity>
  <Lines>95</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 建月</dc:creator>
  <cp:keywords/>
  <dc:description/>
  <cp:lastModifiedBy>万 福臻</cp:lastModifiedBy>
  <cp:revision>229</cp:revision>
  <dcterms:created xsi:type="dcterms:W3CDTF">2022-11-13T15:53:00Z</dcterms:created>
  <dcterms:modified xsi:type="dcterms:W3CDTF">2024-12-28T05:32:00Z</dcterms:modified>
</cp:coreProperties>
</file>