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ABF83" w14:textId="77777777" w:rsidR="006A5603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table 1 Baseline MMC T2DM patient characteristics</w:t>
      </w:r>
    </w:p>
    <w:tbl>
      <w:tblPr>
        <w:tblW w:w="9523" w:type="dxa"/>
        <w:tblLayout w:type="fixed"/>
        <w:tblLook w:val="04A0" w:firstRow="1" w:lastRow="0" w:firstColumn="1" w:lastColumn="0" w:noHBand="0" w:noVBand="1"/>
      </w:tblPr>
      <w:tblGrid>
        <w:gridCol w:w="3627"/>
        <w:gridCol w:w="1729"/>
        <w:gridCol w:w="1729"/>
        <w:gridCol w:w="1515"/>
        <w:gridCol w:w="923"/>
      </w:tblGrid>
      <w:tr w:rsidR="006A5603" w14:paraId="5A7A7831" w14:textId="77777777">
        <w:trPr>
          <w:trHeight w:val="280"/>
        </w:trPr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08B0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A3116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Total (n = 864)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EF603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EOD (n = 219)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D2949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LOD (n = 645)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D3820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6A5603" w14:paraId="581E907C" w14:textId="77777777">
        <w:trPr>
          <w:trHeight w:val="280"/>
        </w:trPr>
        <w:tc>
          <w:tcPr>
            <w:tcW w:w="3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A1F4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bidi="ar"/>
              </w:rPr>
              <w:t>PA, Median (IQR)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ABF2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605.8 (553.9, 651.2)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455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616.6 (546.4, 670.5)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13FD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603.8 (555.3, 646.6)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A077" w14:textId="77777777" w:rsidR="006A5603" w:rsidRDefault="00000000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0.124</w:t>
            </w:r>
          </w:p>
        </w:tc>
      </w:tr>
      <w:tr w:rsidR="006A5603" w14:paraId="2B0B9A79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9D0C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bidi="ar"/>
              </w:rPr>
              <w:t>PA, n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7D64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4112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53BCA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98A0" w14:textId="77777777" w:rsidR="006A5603" w:rsidRDefault="00000000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0.333</w:t>
            </w:r>
          </w:p>
        </w:tc>
      </w:tr>
      <w:tr w:rsidR="006A5603" w14:paraId="7AE8D34E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883EF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920D4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86 (10.0)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7151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27 (12.3)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BDB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59 (9.1)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1FD0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521779D0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1E1A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Moderate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5F52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472 (54.6)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7BF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120 (54.8)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7D59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352 (54.6)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0B6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1B45052A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272F2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056C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306 (35.4)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A750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72 (32.9)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40C8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234 (36.3)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B00C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7D2DD541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9959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bidi="ar"/>
              </w:rPr>
              <w:t>Sleep duration(min</w:t>
            </w:r>
            <w:r>
              <w:rPr>
                <w:rFonts w:ascii="Arial" w:eastAsia="SimSun" w:hAnsi="Arial" w:cs="Arial" w:hint="eastAsia"/>
                <w:b/>
                <w:bCs/>
                <w:kern w:val="0"/>
                <w:sz w:val="20"/>
                <w:szCs w:val="20"/>
                <w:lang w:bidi="ar"/>
              </w:rPr>
              <w:t>/day</w:t>
            </w:r>
            <w:r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9AB4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490.1 (450.0, 540.0)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BCE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480.0 (450.0, 540.0)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7779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510.0 (450.0, 540.0)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3E34E" w14:textId="77777777" w:rsidR="006A5603" w:rsidRDefault="00000000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0.039</w:t>
            </w:r>
          </w:p>
        </w:tc>
      </w:tr>
      <w:tr w:rsidR="006A5603" w14:paraId="022E7A53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9A016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bidi="ar"/>
              </w:rPr>
              <w:t>Vegetables and fruit (g/day)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5EAD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C08E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5FF4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07BA" w14:textId="77777777" w:rsidR="006A5603" w:rsidRDefault="00000000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0.849</w:t>
            </w:r>
          </w:p>
        </w:tc>
      </w:tr>
      <w:tr w:rsidR="006A5603" w14:paraId="68C161D8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9DFE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&lt;500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ADE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512 (59.5)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65E2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128 (59)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55FC4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384 (59.7)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388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6B295D46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A3E7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&gt;=500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47A9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348 (40.5)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A1C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89 (41)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FB43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259 (40.3)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59E9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701C6559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C6C42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bidi="ar"/>
              </w:rPr>
              <w:t>Fish(meal/week)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CCA5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B6BC1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6AB7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59626" w14:textId="77777777" w:rsidR="006A5603" w:rsidRDefault="00000000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0.999</w:t>
            </w:r>
          </w:p>
        </w:tc>
      </w:tr>
      <w:tr w:rsidR="006A5603" w14:paraId="34C71F89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9AAC7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&lt;=1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3AEA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199 (23.2)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A37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50 (23)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E538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149 (23.2)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A3A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55856BC2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22970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&gt;=2, &lt;100g/meal or &gt;=100g/meal only 1 time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F0F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170 (19.8)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2442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43 (19.8)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83C7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127 (19.8)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9C98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0D81C049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8A08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&gt;=2, &gt;=100g/meal at least 2 times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41BC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490 (57.0)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445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124 (57.1)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1BF3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366 (57)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1BAA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25AFC629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BED6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bidi="ar"/>
              </w:rPr>
              <w:t>soybean-derived products (g/day)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AFE7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EE142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A1366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2D77" w14:textId="77777777" w:rsidR="006A5603" w:rsidRDefault="00000000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0.022</w:t>
            </w:r>
          </w:p>
        </w:tc>
      </w:tr>
      <w:tr w:rsidR="006A5603" w14:paraId="5F23DB26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8E706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&lt;100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0A60C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576 (67.1)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0F40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137 (63.1)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334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439 (68.4)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3DA4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1C5759EE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0E779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&gt;=100, &lt;250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C8209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250 (29.1)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88D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69 (31.8)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4ED0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181 (28.2)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051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259589BD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91BED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&gt;=250, &lt;400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C189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27 ( 3.1)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D93B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 (2.8)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0726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21 (3.3)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69CC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1C41136D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BBA46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&gt;=400, &lt;500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B442F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 ( 0.6)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9F11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 (1.8)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4288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 (0.2)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C75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3EA06B4D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F46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&gt;=500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32CF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 ( 0.1)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C992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 (0.5)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5DB2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 (0)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856E9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665E1F6B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4766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Style w:val="font21"/>
                <w:rFonts w:ascii="Arial" w:eastAsia="SimSun" w:hAnsi="Arial" w:cs="Arial"/>
                <w:b/>
                <w:bCs/>
                <w:color w:val="auto"/>
                <w:sz w:val="20"/>
                <w:szCs w:val="20"/>
                <w:lang w:bidi="ar"/>
              </w:rPr>
              <w:t>Salt(g/</w:t>
            </w:r>
            <w:r>
              <w:rPr>
                <w:rStyle w:val="font31"/>
                <w:rFonts w:ascii="Arial" w:hAnsi="Arial" w:cs="Arial" w:hint="default"/>
                <w:b/>
                <w:bCs/>
                <w:color w:val="auto"/>
                <w:sz w:val="20"/>
                <w:szCs w:val="20"/>
                <w:lang w:bidi="ar"/>
              </w:rPr>
              <w:t>day)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3448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7F60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54303" w14:textId="77777777" w:rsidR="006A5603" w:rsidRDefault="006A5603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27DA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6A5603" w14:paraId="25732C36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BB62F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&lt;4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3271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53 ( 6.1)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0738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15 (6.8)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37B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38 (5.9)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CD6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66BF9017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096EE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&gt;=4, &lt;=6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1010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332 (38.5)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A108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71 (32.4)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1F47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261 (40.5)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77CA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50E33FA1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A740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&gt;6, &lt;=8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E872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287 (33.3)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B57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72 (32.9)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C2BF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215 (33.4)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8463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66A52929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91B9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&gt;8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12B3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158 (18.3)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C3B4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34 (15.5)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3C265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124 (19.3)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5CF9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7D9E3F7A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FEC92" w14:textId="77777777" w:rsidR="006A5603" w:rsidRDefault="00000000">
            <w:pPr>
              <w:widowControl/>
              <w:jc w:val="left"/>
              <w:textAlignment w:val="bottom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unclear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2B40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33 ( 3.8)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7B4F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27 (12.3)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8B00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 (0.9)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2B2CF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2C574FF7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8842C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T2DM therapeutic regimen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83E8" w14:textId="77777777" w:rsidR="006A5603" w:rsidRDefault="006A5603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87C4" w14:textId="77777777" w:rsidR="006A5603" w:rsidRDefault="006A5603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C005" w14:textId="77777777" w:rsidR="006A5603" w:rsidRDefault="006A5603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7B79" w14:textId="77777777" w:rsidR="006A5603" w:rsidRDefault="00000000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0.008</w:t>
            </w:r>
          </w:p>
        </w:tc>
      </w:tr>
      <w:tr w:rsidR="006A5603" w14:paraId="099A8236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9EF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Lifestyle modification only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C1535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234 (27.1)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9F51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43 (19.6)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DAB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191 (29.6)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E821C" w14:textId="77777777" w:rsidR="006A5603" w:rsidRDefault="006A5603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6A5603" w14:paraId="62DB8E58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81A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Lifestyle modification + OAD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C670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499 (57.8)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C6E18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131 (59.8)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908FB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368 (57.1)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2B16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0707D373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643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Lifestyle modification + insulin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A3F7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20 ( 2.3)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C7D7D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 (3.2)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604A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13 (2)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E8E4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A5603" w14:paraId="4DA6EEFA" w14:textId="77777777">
        <w:trPr>
          <w:trHeight w:val="280"/>
        </w:trPr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E432E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Lifestyle modification + OAD + insulin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85E36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111 (12.8)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01B1A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38 (17.4)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BFC35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73 (11.3)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E1525" w14:textId="77777777" w:rsidR="006A5603" w:rsidRDefault="00000000">
            <w:pPr>
              <w:widowControl/>
              <w:jc w:val="left"/>
              <w:textAlignment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 w14:paraId="32DA4467" w14:textId="77777777" w:rsidR="006A560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Data are medians (IQR). Continuous (categorical) variables were compared at baseline between EOD and LOD patients with Mann-Whitney U tests (chi-square tests). </w:t>
      </w:r>
    </w:p>
    <w:p w14:paraId="503ADFBC" w14:textId="77777777" w:rsidR="006A560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Abbreviations: MMC, Metabolic Management Center; T2DM, type 2 diabetes mellitus; EOD, early-onset T2DM; LOD, late-onset T2DM; </w:t>
      </w:r>
      <w:r>
        <w:rPr>
          <w:rFonts w:ascii="Arial" w:hAnsi="Arial" w:cs="Arial" w:hint="eastAsia"/>
        </w:rPr>
        <w:t xml:space="preserve">PA, </w:t>
      </w:r>
      <w:r>
        <w:rPr>
          <w:rFonts w:ascii="Arial" w:hAnsi="Arial" w:cs="Arial"/>
        </w:rPr>
        <w:t>physical activity</w:t>
      </w:r>
      <w:r>
        <w:rPr>
          <w:rFonts w:ascii="Arial" w:hAnsi="Arial" w:cs="Arial" w:hint="eastAsia"/>
        </w:rPr>
        <w:t xml:space="preserve">; OAD, </w:t>
      </w:r>
      <w:r>
        <w:rPr>
          <w:rFonts w:ascii="Arial" w:eastAsia="SimSun" w:hAnsi="Arial" w:cs="Arial" w:hint="eastAsia"/>
          <w:color w:val="1F1F1F"/>
          <w:sz w:val="19"/>
          <w:szCs w:val="19"/>
          <w:shd w:val="clear" w:color="auto" w:fill="FFFFFF"/>
        </w:rPr>
        <w:t>o</w:t>
      </w:r>
      <w:r>
        <w:rPr>
          <w:rFonts w:ascii="Arial" w:eastAsia="SimSun" w:hAnsi="Arial" w:cs="Arial"/>
          <w:color w:val="1F1F1F"/>
          <w:sz w:val="19"/>
          <w:szCs w:val="19"/>
          <w:shd w:val="clear" w:color="auto" w:fill="FFFFFF"/>
        </w:rPr>
        <w:t xml:space="preserve">ral </w:t>
      </w:r>
      <w:r>
        <w:rPr>
          <w:rFonts w:ascii="Arial" w:eastAsia="SimSun" w:hAnsi="Arial" w:cs="Arial" w:hint="eastAsia"/>
          <w:color w:val="1F1F1F"/>
          <w:sz w:val="19"/>
          <w:szCs w:val="19"/>
          <w:shd w:val="clear" w:color="auto" w:fill="FFFFFF"/>
        </w:rPr>
        <w:t>a</w:t>
      </w:r>
      <w:r>
        <w:rPr>
          <w:rFonts w:ascii="Arial" w:eastAsia="SimSun" w:hAnsi="Arial" w:cs="Arial"/>
          <w:color w:val="1F1F1F"/>
          <w:sz w:val="19"/>
          <w:szCs w:val="19"/>
          <w:shd w:val="clear" w:color="auto" w:fill="FFFFFF"/>
        </w:rPr>
        <w:t xml:space="preserve">ntidiabetic </w:t>
      </w:r>
      <w:r>
        <w:rPr>
          <w:rFonts w:ascii="Arial" w:eastAsia="SimSun" w:hAnsi="Arial" w:cs="Arial" w:hint="eastAsia"/>
          <w:color w:val="1F1F1F"/>
          <w:sz w:val="19"/>
          <w:szCs w:val="19"/>
          <w:shd w:val="clear" w:color="auto" w:fill="FFFFFF"/>
        </w:rPr>
        <w:t>d</w:t>
      </w:r>
      <w:r>
        <w:rPr>
          <w:rFonts w:ascii="Arial" w:eastAsia="SimSun" w:hAnsi="Arial" w:cs="Arial"/>
          <w:color w:val="1F1F1F"/>
          <w:sz w:val="19"/>
          <w:szCs w:val="19"/>
          <w:shd w:val="clear" w:color="auto" w:fill="FFFFFF"/>
        </w:rPr>
        <w:t>rugs</w:t>
      </w:r>
      <w:r>
        <w:rPr>
          <w:rFonts w:ascii="Arial" w:hAnsi="Arial" w:cs="Arial" w:hint="eastAsia"/>
        </w:rPr>
        <w:t>.</w:t>
      </w:r>
    </w:p>
    <w:p w14:paraId="1357AE92" w14:textId="77777777" w:rsidR="006A560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447EB39" w14:textId="77777777" w:rsidR="006A5603" w:rsidRDefault="006A5603">
      <w:pPr>
        <w:rPr>
          <w:rFonts w:ascii="Times New Roman" w:hAnsi="Times New Roman" w:cs="Times New Roman"/>
          <w:sz w:val="22"/>
          <w:szCs w:val="22"/>
        </w:rPr>
      </w:pPr>
    </w:p>
    <w:p w14:paraId="393D8E2D" w14:textId="77777777" w:rsidR="0067290C" w:rsidRDefault="0067290C">
      <w:pPr>
        <w:rPr>
          <w:rFonts w:ascii="Times New Roman" w:hAnsi="Times New Roman" w:cs="Times New Roman"/>
          <w:sz w:val="22"/>
          <w:szCs w:val="22"/>
        </w:rPr>
      </w:pPr>
    </w:p>
    <w:p w14:paraId="2C93F424" w14:textId="77777777" w:rsidR="0067290C" w:rsidRDefault="0067290C">
      <w:pPr>
        <w:rPr>
          <w:rFonts w:ascii="Times New Roman" w:hAnsi="Times New Roman" w:cs="Times New Roman"/>
          <w:sz w:val="22"/>
          <w:szCs w:val="22"/>
        </w:rPr>
      </w:pPr>
    </w:p>
    <w:p w14:paraId="6A1A2828" w14:textId="77777777" w:rsidR="0067290C" w:rsidRDefault="0067290C">
      <w:pPr>
        <w:rPr>
          <w:rFonts w:ascii="Times New Roman" w:hAnsi="Times New Roman" w:cs="Times New Roman"/>
          <w:sz w:val="22"/>
          <w:szCs w:val="22"/>
        </w:rPr>
      </w:pPr>
    </w:p>
    <w:p w14:paraId="4241AAA7" w14:textId="77777777" w:rsidR="0067290C" w:rsidRDefault="0067290C" w:rsidP="006729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Supplementary table 2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Association of age at diabetes onset with p</w:t>
      </w:r>
      <w:r>
        <w:rPr>
          <w:rFonts w:ascii="Arial" w:hAnsi="Arial" w:cs="Arial"/>
          <w:b/>
          <w:bCs/>
          <w:sz w:val="20"/>
          <w:szCs w:val="20"/>
        </w:rPr>
        <w:t>ercentage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changes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of </w:t>
      </w:r>
      <w:r>
        <w:rPr>
          <w:rFonts w:ascii="Arial" w:hAnsi="Arial" w:cs="Arial"/>
          <w:b/>
          <w:bCs/>
          <w:sz w:val="20"/>
          <w:szCs w:val="20"/>
        </w:rPr>
        <w:t>HbA1c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1467"/>
        <w:gridCol w:w="841"/>
        <w:gridCol w:w="1357"/>
        <w:gridCol w:w="753"/>
        <w:gridCol w:w="1357"/>
        <w:gridCol w:w="753"/>
        <w:gridCol w:w="1357"/>
        <w:gridCol w:w="753"/>
      </w:tblGrid>
      <w:tr w:rsidR="0067290C" w14:paraId="78ECAFE7" w14:textId="77777777" w:rsidTr="00457706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C9A6A" w14:textId="77777777" w:rsidR="0067290C" w:rsidRDefault="0067290C" w:rsidP="00457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CB4DD" w14:textId="77777777" w:rsidR="0067290C" w:rsidRDefault="0067290C" w:rsidP="0045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Unadjusted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372E7" w14:textId="77777777" w:rsidR="0067290C" w:rsidRDefault="0067290C" w:rsidP="00457706">
            <w:pPr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Model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BE20E" w14:textId="77777777" w:rsidR="0067290C" w:rsidRDefault="0067290C" w:rsidP="0045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Model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C20A2" w14:textId="77777777" w:rsidR="0067290C" w:rsidRDefault="0067290C" w:rsidP="0045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Model 3</w:t>
            </w:r>
          </w:p>
        </w:tc>
      </w:tr>
      <w:tr w:rsidR="0067290C" w14:paraId="048A40A8" w14:textId="77777777" w:rsidTr="0045770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534F1" w14:textId="77777777" w:rsidR="0067290C" w:rsidRDefault="0067290C" w:rsidP="00457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CDD7D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9D960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53754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86A3B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035AB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7D1F6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EB956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8F275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p value</w:t>
            </w:r>
          </w:p>
        </w:tc>
      </w:tr>
      <w:tr w:rsidR="0067290C" w14:paraId="4BB1EBFF" w14:textId="77777777" w:rsidTr="004577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F31D1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6EF05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C99B1" w14:textId="77777777" w:rsidR="0067290C" w:rsidRDefault="0067290C" w:rsidP="00457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0CCFA" w14:textId="77777777" w:rsidR="0067290C" w:rsidRDefault="0067290C" w:rsidP="00457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47D12" w14:textId="77777777" w:rsidR="0067290C" w:rsidRDefault="0067290C" w:rsidP="00457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EFBBF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CB0EA" w14:textId="77777777" w:rsidR="0067290C" w:rsidRDefault="0067290C" w:rsidP="00457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BFBBE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56FE1" w14:textId="77777777" w:rsidR="0067290C" w:rsidRDefault="0067290C" w:rsidP="00457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0C" w14:paraId="7153B2F6" w14:textId="77777777" w:rsidTr="0045770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766A3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EOD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93C41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7.82 (4.67~10.98)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95690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AC10E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 (0.54~4.68)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D21C3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4E9FD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 (0.49~4.65)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178EE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9437C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 (0.47~4.82)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EE428" w14:textId="77777777" w:rsidR="0067290C" w:rsidRDefault="0067290C" w:rsidP="00457706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</w:tr>
    </w:tbl>
    <w:p w14:paraId="33057ECE" w14:textId="77777777" w:rsidR="0067290C" w:rsidRDefault="0067290C" w:rsidP="00672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 the analysis was performed using multivariable logistic regression. Model 1: adjusted for sex, follow-up frequency, BMI, SBP, HbA1c, TC, and diabetes duration</w:t>
      </w:r>
      <w:r>
        <w:rPr>
          <w:rFonts w:ascii="Arial" w:hAnsi="Arial" w:cs="Arial" w:hint="eastAsia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Model 2: adjusted as for model 2, additionally adjusted for diabetes medication</w:t>
      </w:r>
      <w:r>
        <w:rPr>
          <w:rFonts w:ascii="Arial" w:hAnsi="Arial" w:cs="Arial" w:hint="eastAsia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Model 3: adjusted as for model 3, additionally adjusted for physical activity, diet, and sleep</w:t>
      </w:r>
      <w:r>
        <w:rPr>
          <w:rFonts w:ascii="Arial" w:hAnsi="Arial" w:cs="Arial" w:hint="eastAsia"/>
          <w:sz w:val="20"/>
          <w:szCs w:val="20"/>
        </w:rPr>
        <w:t xml:space="preserve"> duration.</w:t>
      </w:r>
    </w:p>
    <w:p w14:paraId="74DE6CFD" w14:textId="77777777" w:rsidR="0067290C" w:rsidRDefault="0067290C" w:rsidP="00672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Abbreviations:</w:t>
      </w:r>
      <w:r>
        <w:rPr>
          <w:rFonts w:ascii="Arial" w:hAnsi="Arial" w:cs="Arial" w:hint="eastAsia"/>
        </w:rPr>
        <w:t xml:space="preserve"> OR: odds ratio; CI: confidence interval; HbA1c: glycated hemoglobin; </w:t>
      </w:r>
      <w:r>
        <w:rPr>
          <w:rFonts w:ascii="Arial" w:hAnsi="Arial" w:cs="Arial"/>
        </w:rPr>
        <w:t>EOD, early-onset T2DM; LOD, late-onset T2DM</w:t>
      </w:r>
      <w:r>
        <w:rPr>
          <w:rFonts w:ascii="Arial" w:hAnsi="Arial" w:cs="Arial" w:hint="eastAsia"/>
        </w:rPr>
        <w:t>.</w:t>
      </w:r>
    </w:p>
    <w:p w14:paraId="1408230B" w14:textId="77777777" w:rsidR="0067290C" w:rsidRDefault="0067290C" w:rsidP="0067290C">
      <w:pPr>
        <w:rPr>
          <w:rFonts w:ascii="Arial" w:hAnsi="Arial" w:cs="Arial"/>
          <w:sz w:val="20"/>
          <w:szCs w:val="20"/>
        </w:rPr>
      </w:pPr>
    </w:p>
    <w:p w14:paraId="37C957FF" w14:textId="77777777" w:rsidR="0067290C" w:rsidRDefault="0067290C">
      <w:pPr>
        <w:rPr>
          <w:rFonts w:ascii="Times New Roman" w:hAnsi="Times New Roman" w:cs="Times New Roman"/>
          <w:sz w:val="22"/>
          <w:szCs w:val="22"/>
        </w:rPr>
      </w:pPr>
    </w:p>
    <w:sectPr w:rsidR="0067290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9FAF" w14:textId="77777777" w:rsidR="00C56CB6" w:rsidRDefault="00C56CB6" w:rsidP="0067290C">
      <w:r>
        <w:separator/>
      </w:r>
    </w:p>
  </w:endnote>
  <w:endnote w:type="continuationSeparator" w:id="0">
    <w:p w14:paraId="4893CC6B" w14:textId="77777777" w:rsidR="00C56CB6" w:rsidRDefault="00C56CB6" w:rsidP="0067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D8C4D" w14:textId="5D9FC4DD" w:rsidR="0067290C" w:rsidRDefault="006729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503869" wp14:editId="6DED94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966728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A797B" w14:textId="5B9338D7" w:rsidR="0067290C" w:rsidRPr="0067290C" w:rsidRDefault="0067290C" w:rsidP="0067290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290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038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E7A797B" w14:textId="5B9338D7" w:rsidR="0067290C" w:rsidRPr="0067290C" w:rsidRDefault="0067290C" w:rsidP="0067290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7290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6F3C" w14:textId="2EEB0B55" w:rsidR="0067290C" w:rsidRDefault="006729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1E8CCE" wp14:editId="464ED2F2">
              <wp:simplePos x="896293" y="990449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2229382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CA010" w14:textId="6FC57501" w:rsidR="0067290C" w:rsidRPr="0067290C" w:rsidRDefault="0067290C" w:rsidP="0067290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290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E8C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ECA010" w14:textId="6FC57501" w:rsidR="0067290C" w:rsidRPr="0067290C" w:rsidRDefault="0067290C" w:rsidP="0067290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7290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C388" w14:textId="4BFF80B5" w:rsidR="0067290C" w:rsidRDefault="006729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F9777F" wp14:editId="4569F8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291972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A95E4" w14:textId="64552D75" w:rsidR="0067290C" w:rsidRPr="0067290C" w:rsidRDefault="0067290C" w:rsidP="0067290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290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977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FA95E4" w14:textId="64552D75" w:rsidR="0067290C" w:rsidRPr="0067290C" w:rsidRDefault="0067290C" w:rsidP="0067290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7290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CD360" w14:textId="77777777" w:rsidR="00C56CB6" w:rsidRDefault="00C56CB6" w:rsidP="0067290C">
      <w:r>
        <w:separator/>
      </w:r>
    </w:p>
  </w:footnote>
  <w:footnote w:type="continuationSeparator" w:id="0">
    <w:p w14:paraId="2B91B94B" w14:textId="77777777" w:rsidR="00C56CB6" w:rsidRDefault="00C56CB6" w:rsidP="00672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VjNDBlODkyMzE5MDFhNjY1YjAxNTc2YWU2MjZkYTYifQ=="/>
  </w:docVars>
  <w:rsids>
    <w:rsidRoot w:val="3BD17C0C"/>
    <w:rsid w:val="0067290C"/>
    <w:rsid w:val="006A5603"/>
    <w:rsid w:val="00783FB9"/>
    <w:rsid w:val="00C56CB6"/>
    <w:rsid w:val="3BD17C0C"/>
    <w:rsid w:val="69E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134AD"/>
  <w15:docId w15:val="{1F05D24D-3DBA-493A-B174-3AC71CB5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qFormat/>
    <w:rPr>
      <w:rFonts w:ascii="Calibri" w:hAnsi="Calibri" w:cs="Calibri"/>
      <w:color w:val="FF0000"/>
      <w:sz w:val="24"/>
      <w:szCs w:val="24"/>
      <w:u w:val="none"/>
    </w:rPr>
  </w:style>
  <w:style w:type="character" w:customStyle="1" w:styleId="font31">
    <w:name w:val="font31"/>
    <w:basedOn w:val="DefaultParagraphFont"/>
    <w:qFormat/>
    <w:rPr>
      <w:rFonts w:ascii="SimSun" w:eastAsia="SimSun" w:hAnsi="SimSun" w:cs="SimSun" w:hint="eastAsia"/>
      <w:color w:val="FF0000"/>
      <w:sz w:val="24"/>
      <w:szCs w:val="24"/>
      <w:u w:val="none"/>
    </w:rPr>
  </w:style>
  <w:style w:type="table" w:styleId="TableGrid">
    <w:name w:val="Table Grid"/>
    <w:basedOn w:val="TableNormal"/>
    <w:uiPriority w:val="39"/>
    <w:qFormat/>
    <w:rsid w:val="0067290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72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290C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陈梦蝶</dc:creator>
  <cp:lastModifiedBy>Bartle, Claudia</cp:lastModifiedBy>
  <cp:revision>2</cp:revision>
  <dcterms:created xsi:type="dcterms:W3CDTF">2024-10-12T10:52:00Z</dcterms:created>
  <dcterms:modified xsi:type="dcterms:W3CDTF">2024-10-15T20:34:00Z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79B5F73AD5E04575B17D296037B58840_11</vt:lpwstr>
  </property>
  <property fmtid="{D5CDD505-2E9C-101B-9397-08002B2CF9AE}" pid="4" name="ClassificationContentMarkingFooterShapeIds">
    <vt:lpwstr>434e2ec1,56682ad4,54c67b3d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2024-10-15T20:34:41Z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76a222ab-7160-4a51-991e-0ca5ca9036e4</vt:lpwstr>
  </property>
  <property fmtid="{D5CDD505-2E9C-101B-9397-08002B2CF9AE}" pid="13" name="MSIP_Label_2bbab825-a111-45e4-86a1-18cee0005896_ContentBits">
    <vt:lpwstr>2</vt:lpwstr>
  </property>
</Properties>
</file>