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DFAB4" w14:textId="66FB20E7" w:rsidR="002B1575" w:rsidRPr="00406EE5" w:rsidRDefault="002B1575" w:rsidP="00406EE5">
      <w:pPr>
        <w:spacing w:line="480" w:lineRule="auto"/>
        <w:jc w:val="left"/>
        <w:rPr>
          <w:rStyle w:val="NormalCharacter"/>
          <w:rFonts w:cs="Arial" w:hint="eastAsia"/>
          <w:kern w:val="0"/>
          <w:szCs w:val="20"/>
          <w14:ligatures w14:val="none"/>
        </w:rPr>
      </w:pPr>
      <w:r w:rsidRPr="00F36CAF">
        <w:rPr>
          <w:rFonts w:cs="Arial"/>
          <w:b/>
          <w:bCs/>
          <w:kern w:val="0"/>
          <w:szCs w:val="20"/>
          <w:lang w:eastAsia="en-US"/>
          <w14:ligatures w14:val="none"/>
        </w:rPr>
        <w:t>Figure S1</w:t>
      </w:r>
      <w:r w:rsidRPr="00F36CAF">
        <w:rPr>
          <w:rStyle w:val="NormalCharacter"/>
          <w:rFonts w:cs="Arial"/>
          <w:szCs w:val="20"/>
        </w:rPr>
        <w:t xml:space="preserve"> </w:t>
      </w:r>
      <w:r w:rsidRPr="00F36CAF">
        <w:rPr>
          <w:rFonts w:cs="Arial"/>
          <w:kern w:val="0"/>
          <w:szCs w:val="20"/>
          <w:lang w:eastAsia="en-US"/>
          <w14:ligatures w14:val="none"/>
        </w:rPr>
        <w:t>The ROC curve of APACHE II score, SOFA score, number of organ failures and length of hospital stay predicting CRE colonization</w:t>
      </w:r>
      <w:r>
        <w:rPr>
          <w:rFonts w:cs="Arial" w:hint="eastAsia"/>
          <w:kern w:val="0"/>
          <w:szCs w:val="20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557E35E6" wp14:editId="505281C4">
            <wp:extent cx="5278120" cy="3542030"/>
            <wp:effectExtent l="0" t="0" r="0" b="0"/>
            <wp:docPr id="791175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750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37DF5" w14:textId="630BEDC8" w:rsidR="006945FC" w:rsidRPr="002B1575" w:rsidRDefault="002B1575" w:rsidP="002B1575">
      <w:pPr>
        <w:spacing w:line="480" w:lineRule="auto"/>
        <w:textAlignment w:val="center"/>
        <w:rPr>
          <w:rStyle w:val="NormalCharacter"/>
          <w:rFonts w:cs="Arial"/>
          <w:b/>
          <w:bCs/>
          <w:szCs w:val="20"/>
        </w:rPr>
      </w:pPr>
      <w:r>
        <w:rPr>
          <w:rStyle w:val="NormalCharacter"/>
          <w:rFonts w:cs="Arial" w:hint="eastAsia"/>
          <w:b/>
          <w:bCs/>
          <w:szCs w:val="20"/>
        </w:rPr>
        <w:t>T</w:t>
      </w:r>
      <w:r w:rsidR="006945FC" w:rsidRPr="00F36CAF">
        <w:rPr>
          <w:rFonts w:cs="Arial"/>
          <w:b/>
          <w:bCs/>
          <w:kern w:val="0"/>
          <w:szCs w:val="20"/>
          <w:lang w:eastAsia="en-US"/>
          <w14:ligatures w14:val="none"/>
        </w:rPr>
        <w:t>able</w:t>
      </w:r>
      <w:r w:rsidR="00F36CAF" w:rsidRPr="00F36CAF">
        <w:rPr>
          <w:rFonts w:cs="Arial" w:hint="eastAsia"/>
          <w:b/>
          <w:bCs/>
          <w:kern w:val="0"/>
          <w:szCs w:val="20"/>
          <w14:ligatures w14:val="none"/>
        </w:rPr>
        <w:t xml:space="preserve"> </w:t>
      </w:r>
      <w:r w:rsidR="006945FC" w:rsidRPr="00F36CAF">
        <w:rPr>
          <w:rFonts w:cs="Arial"/>
          <w:b/>
          <w:bCs/>
          <w:kern w:val="0"/>
          <w:szCs w:val="20"/>
          <w:lang w:eastAsia="en-US"/>
          <w14:ligatures w14:val="none"/>
        </w:rPr>
        <w:t>S1</w:t>
      </w:r>
      <w:r w:rsidR="006945FC" w:rsidRPr="00F36CAF">
        <w:rPr>
          <w:rStyle w:val="NormalCharacter"/>
          <w:rFonts w:cs="Arial"/>
          <w:szCs w:val="20"/>
        </w:rPr>
        <w:t xml:space="preserve"> Distribution of the CRE-colonized group’s swabs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2038"/>
        <w:gridCol w:w="1747"/>
        <w:gridCol w:w="1687"/>
      </w:tblGrid>
      <w:tr w:rsidR="006945FC" w:rsidRPr="004A45A8" w14:paraId="71012219" w14:textId="77777777" w:rsidTr="004A45A8">
        <w:trPr>
          <w:trHeight w:val="328"/>
        </w:trPr>
        <w:tc>
          <w:tcPr>
            <w:tcW w:w="1792" w:type="pct"/>
            <w:tcBorders>
              <w:top w:val="single" w:sz="12" w:space="0" w:color="000000"/>
              <w:bottom w:val="single" w:sz="4" w:space="0" w:color="auto"/>
            </w:tcBorders>
          </w:tcPr>
          <w:p w14:paraId="13C3D85A" w14:textId="77777777" w:rsidR="006945FC" w:rsidRPr="004A45A8" w:rsidRDefault="006945FC" w:rsidP="006945FC">
            <w:pPr>
              <w:jc w:val="left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CRE</w:t>
            </w:r>
          </w:p>
        </w:tc>
        <w:tc>
          <w:tcPr>
            <w:tcW w:w="1195" w:type="pct"/>
            <w:tcBorders>
              <w:top w:val="single" w:sz="12" w:space="0" w:color="000000"/>
              <w:bottom w:val="single" w:sz="4" w:space="0" w:color="auto"/>
            </w:tcBorders>
          </w:tcPr>
          <w:p w14:paraId="5B4FBEF3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All sites, n (%)</w:t>
            </w:r>
          </w:p>
        </w:tc>
        <w:tc>
          <w:tcPr>
            <w:tcW w:w="1024" w:type="pct"/>
            <w:tcBorders>
              <w:top w:val="single" w:sz="12" w:space="0" w:color="000000"/>
              <w:bottom w:val="single" w:sz="4" w:space="0" w:color="auto"/>
            </w:tcBorders>
          </w:tcPr>
          <w:p w14:paraId="1D5D4A58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Throat, n (%)</w:t>
            </w:r>
          </w:p>
        </w:tc>
        <w:tc>
          <w:tcPr>
            <w:tcW w:w="989" w:type="pct"/>
            <w:tcBorders>
              <w:top w:val="single" w:sz="12" w:space="0" w:color="000000"/>
              <w:bottom w:val="single" w:sz="4" w:space="0" w:color="auto"/>
            </w:tcBorders>
          </w:tcPr>
          <w:p w14:paraId="1EF9D22F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 xml:space="preserve">Rectum, n (%) </w:t>
            </w:r>
          </w:p>
        </w:tc>
      </w:tr>
      <w:tr w:rsidR="006945FC" w:rsidRPr="004A45A8" w14:paraId="4DF1DAD7" w14:textId="77777777" w:rsidTr="004A45A8">
        <w:trPr>
          <w:trHeight w:val="328"/>
        </w:trPr>
        <w:tc>
          <w:tcPr>
            <w:tcW w:w="1792" w:type="pct"/>
            <w:tcBorders>
              <w:top w:val="single" w:sz="4" w:space="0" w:color="auto"/>
            </w:tcBorders>
          </w:tcPr>
          <w:p w14:paraId="53860ECB" w14:textId="77777777" w:rsidR="006945FC" w:rsidRPr="004A45A8" w:rsidRDefault="006945FC" w:rsidP="006945FC">
            <w:pPr>
              <w:jc w:val="left"/>
              <w:textAlignment w:val="center"/>
              <w:rPr>
                <w:rStyle w:val="NormalCharacter"/>
                <w:rFonts w:cs="Arial"/>
                <w:i/>
                <w:iCs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i/>
                <w:iCs/>
                <w:sz w:val="21"/>
                <w:szCs w:val="21"/>
              </w:rPr>
              <w:t>Escherichia coli</w:t>
            </w:r>
          </w:p>
        </w:tc>
        <w:tc>
          <w:tcPr>
            <w:tcW w:w="1195" w:type="pct"/>
            <w:tcBorders>
              <w:top w:val="single" w:sz="4" w:space="0" w:color="auto"/>
            </w:tcBorders>
          </w:tcPr>
          <w:p w14:paraId="58F2695F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14(58.3%)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66C1435E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1F424F88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14(58.3%)</w:t>
            </w:r>
          </w:p>
        </w:tc>
      </w:tr>
      <w:tr w:rsidR="00635DFB" w:rsidRPr="004A45A8" w14:paraId="5FA8188F" w14:textId="77777777" w:rsidTr="004A45A8">
        <w:trPr>
          <w:trHeight w:val="328"/>
        </w:trPr>
        <w:tc>
          <w:tcPr>
            <w:tcW w:w="1792" w:type="pct"/>
          </w:tcPr>
          <w:p w14:paraId="52653A0E" w14:textId="77777777" w:rsidR="00635DFB" w:rsidRPr="004A45A8" w:rsidRDefault="00635DFB" w:rsidP="00635DFB">
            <w:pPr>
              <w:jc w:val="left"/>
              <w:textAlignment w:val="center"/>
              <w:rPr>
                <w:rStyle w:val="NormalCharacter"/>
                <w:rFonts w:cs="Arial"/>
                <w:i/>
                <w:iCs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i/>
                <w:iCs/>
                <w:sz w:val="21"/>
                <w:szCs w:val="21"/>
              </w:rPr>
              <w:t>Klebsiella pneumoniae</w:t>
            </w:r>
          </w:p>
        </w:tc>
        <w:tc>
          <w:tcPr>
            <w:tcW w:w="1195" w:type="pct"/>
          </w:tcPr>
          <w:p w14:paraId="1070FDA9" w14:textId="039721EE" w:rsidR="00635DFB" w:rsidRPr="004A45A8" w:rsidRDefault="00635DFB" w:rsidP="00635DFB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sz w:val="21"/>
                <w:szCs w:val="21"/>
              </w:rPr>
              <w:t>4(16.7%)</w:t>
            </w:r>
          </w:p>
        </w:tc>
        <w:tc>
          <w:tcPr>
            <w:tcW w:w="1024" w:type="pct"/>
          </w:tcPr>
          <w:p w14:paraId="59BFF650" w14:textId="2C5A4916" w:rsidR="00635DFB" w:rsidRPr="004A45A8" w:rsidRDefault="00635DFB" w:rsidP="00635DFB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sz w:val="21"/>
                <w:szCs w:val="21"/>
              </w:rPr>
              <w:t>2(8.3%)</w:t>
            </w:r>
          </w:p>
        </w:tc>
        <w:tc>
          <w:tcPr>
            <w:tcW w:w="989" w:type="pct"/>
          </w:tcPr>
          <w:p w14:paraId="34594490" w14:textId="46310BFC" w:rsidR="00635DFB" w:rsidRPr="004A45A8" w:rsidRDefault="00635DFB" w:rsidP="00635DFB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sz w:val="21"/>
                <w:szCs w:val="21"/>
              </w:rPr>
              <w:t>3(12.5%)</w:t>
            </w:r>
          </w:p>
        </w:tc>
      </w:tr>
      <w:tr w:rsidR="006945FC" w:rsidRPr="004A45A8" w14:paraId="4F78C316" w14:textId="77777777" w:rsidTr="004A45A8">
        <w:trPr>
          <w:trHeight w:val="328"/>
        </w:trPr>
        <w:tc>
          <w:tcPr>
            <w:tcW w:w="1792" w:type="pct"/>
          </w:tcPr>
          <w:p w14:paraId="4EC31465" w14:textId="77777777" w:rsidR="006945FC" w:rsidRPr="004A45A8" w:rsidRDefault="006945FC" w:rsidP="006945FC">
            <w:pPr>
              <w:jc w:val="left"/>
              <w:textAlignment w:val="center"/>
              <w:rPr>
                <w:rStyle w:val="NormalCharacter"/>
                <w:rFonts w:cs="Arial"/>
                <w:i/>
                <w:iCs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i/>
                <w:iCs/>
                <w:sz w:val="21"/>
                <w:szCs w:val="21"/>
              </w:rPr>
              <w:t>Acinetobacter baumannii</w:t>
            </w:r>
          </w:p>
        </w:tc>
        <w:tc>
          <w:tcPr>
            <w:tcW w:w="1195" w:type="pct"/>
          </w:tcPr>
          <w:p w14:paraId="2CF2367E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2(8.3%)</w:t>
            </w:r>
          </w:p>
        </w:tc>
        <w:tc>
          <w:tcPr>
            <w:tcW w:w="1024" w:type="pct"/>
          </w:tcPr>
          <w:p w14:paraId="63214468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  <w:tc>
          <w:tcPr>
            <w:tcW w:w="989" w:type="pct"/>
          </w:tcPr>
          <w:p w14:paraId="0E4A324F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2(8.3%)</w:t>
            </w:r>
          </w:p>
        </w:tc>
      </w:tr>
      <w:tr w:rsidR="006945FC" w:rsidRPr="004A45A8" w14:paraId="3F7FD10C" w14:textId="77777777" w:rsidTr="004A45A8">
        <w:trPr>
          <w:trHeight w:val="328"/>
        </w:trPr>
        <w:tc>
          <w:tcPr>
            <w:tcW w:w="1792" w:type="pct"/>
          </w:tcPr>
          <w:p w14:paraId="66E0FA48" w14:textId="77777777" w:rsidR="006945FC" w:rsidRPr="004A45A8" w:rsidRDefault="006945FC" w:rsidP="006945FC">
            <w:pPr>
              <w:jc w:val="left"/>
              <w:textAlignment w:val="center"/>
              <w:rPr>
                <w:rStyle w:val="NormalCharacter"/>
                <w:rFonts w:cs="Arial"/>
                <w:i/>
                <w:iCs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i/>
                <w:iCs/>
                <w:sz w:val="21"/>
                <w:szCs w:val="21"/>
              </w:rPr>
              <w:t>Enterobacter cloacae</w:t>
            </w:r>
          </w:p>
        </w:tc>
        <w:tc>
          <w:tcPr>
            <w:tcW w:w="1195" w:type="pct"/>
          </w:tcPr>
          <w:p w14:paraId="5FEE8D72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  <w:tc>
          <w:tcPr>
            <w:tcW w:w="1024" w:type="pct"/>
          </w:tcPr>
          <w:p w14:paraId="5DB540D4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0(0.0%)</w:t>
            </w:r>
          </w:p>
        </w:tc>
        <w:tc>
          <w:tcPr>
            <w:tcW w:w="989" w:type="pct"/>
          </w:tcPr>
          <w:p w14:paraId="0D84ECDF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</w:tr>
      <w:tr w:rsidR="006945FC" w:rsidRPr="004A45A8" w14:paraId="26CE1885" w14:textId="77777777" w:rsidTr="004A45A8">
        <w:trPr>
          <w:trHeight w:val="328"/>
        </w:trPr>
        <w:tc>
          <w:tcPr>
            <w:tcW w:w="1792" w:type="pct"/>
          </w:tcPr>
          <w:p w14:paraId="25838F61" w14:textId="77777777" w:rsidR="006945FC" w:rsidRPr="004A45A8" w:rsidRDefault="006945FC" w:rsidP="006945FC">
            <w:pPr>
              <w:jc w:val="left"/>
              <w:textAlignment w:val="center"/>
              <w:rPr>
                <w:rStyle w:val="NormalCharacter"/>
                <w:rFonts w:cs="Arial"/>
                <w:i/>
                <w:iCs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i/>
                <w:iCs/>
                <w:sz w:val="21"/>
                <w:szCs w:val="21"/>
              </w:rPr>
              <w:t xml:space="preserve">Citrobacter </w:t>
            </w:r>
            <w:proofErr w:type="spellStart"/>
            <w:r w:rsidRPr="004A45A8">
              <w:rPr>
                <w:rStyle w:val="NormalCharacter"/>
                <w:rFonts w:cs="Arial"/>
                <w:i/>
                <w:iCs/>
                <w:sz w:val="21"/>
                <w:szCs w:val="21"/>
              </w:rPr>
              <w:t>freundii</w:t>
            </w:r>
            <w:proofErr w:type="spellEnd"/>
          </w:p>
        </w:tc>
        <w:tc>
          <w:tcPr>
            <w:tcW w:w="1195" w:type="pct"/>
          </w:tcPr>
          <w:p w14:paraId="432043CC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  <w:tc>
          <w:tcPr>
            <w:tcW w:w="1024" w:type="pct"/>
          </w:tcPr>
          <w:p w14:paraId="47D5AE7E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0(0.0%)</w:t>
            </w:r>
          </w:p>
        </w:tc>
        <w:tc>
          <w:tcPr>
            <w:tcW w:w="989" w:type="pct"/>
          </w:tcPr>
          <w:p w14:paraId="6B93F941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</w:tr>
      <w:tr w:rsidR="006945FC" w:rsidRPr="004A45A8" w14:paraId="0E6AC056" w14:textId="77777777" w:rsidTr="004A45A8">
        <w:trPr>
          <w:trHeight w:val="328"/>
        </w:trPr>
        <w:tc>
          <w:tcPr>
            <w:tcW w:w="1792" w:type="pct"/>
          </w:tcPr>
          <w:p w14:paraId="4B8F5AFE" w14:textId="77777777" w:rsidR="006945FC" w:rsidRPr="004A45A8" w:rsidRDefault="006945FC" w:rsidP="006945FC">
            <w:pPr>
              <w:jc w:val="left"/>
              <w:textAlignment w:val="center"/>
              <w:rPr>
                <w:rStyle w:val="NormalCharacter"/>
                <w:rFonts w:cs="Arial"/>
                <w:i/>
                <w:iCs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i/>
                <w:iCs/>
                <w:sz w:val="21"/>
                <w:szCs w:val="21"/>
              </w:rPr>
              <w:t>Klebsiella aerogenes</w:t>
            </w:r>
          </w:p>
        </w:tc>
        <w:tc>
          <w:tcPr>
            <w:tcW w:w="1195" w:type="pct"/>
          </w:tcPr>
          <w:p w14:paraId="55A29059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  <w:tc>
          <w:tcPr>
            <w:tcW w:w="1024" w:type="pct"/>
          </w:tcPr>
          <w:p w14:paraId="58888A83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0(0.0%)</w:t>
            </w:r>
          </w:p>
        </w:tc>
        <w:tc>
          <w:tcPr>
            <w:tcW w:w="989" w:type="pct"/>
          </w:tcPr>
          <w:p w14:paraId="093697D0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</w:tr>
      <w:tr w:rsidR="006945FC" w:rsidRPr="004A45A8" w14:paraId="55237C67" w14:textId="77777777" w:rsidTr="004A45A8">
        <w:trPr>
          <w:trHeight w:val="328"/>
        </w:trPr>
        <w:tc>
          <w:tcPr>
            <w:tcW w:w="1792" w:type="pct"/>
          </w:tcPr>
          <w:p w14:paraId="30615871" w14:textId="77777777" w:rsidR="006945FC" w:rsidRPr="004A45A8" w:rsidRDefault="006945FC" w:rsidP="006945FC">
            <w:pPr>
              <w:jc w:val="left"/>
              <w:textAlignment w:val="center"/>
              <w:rPr>
                <w:rStyle w:val="NormalCharacter"/>
                <w:rFonts w:cs="Arial"/>
                <w:i/>
                <w:iCs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i/>
                <w:iCs/>
                <w:sz w:val="21"/>
                <w:szCs w:val="21"/>
              </w:rPr>
              <w:t xml:space="preserve">Klebsiella </w:t>
            </w:r>
            <w:proofErr w:type="spellStart"/>
            <w:r w:rsidRPr="004A45A8">
              <w:rPr>
                <w:rStyle w:val="NormalCharacter"/>
                <w:rFonts w:cs="Arial"/>
                <w:i/>
                <w:iCs/>
                <w:sz w:val="21"/>
                <w:szCs w:val="21"/>
              </w:rPr>
              <w:t>oxytoca</w:t>
            </w:r>
            <w:proofErr w:type="spellEnd"/>
          </w:p>
        </w:tc>
        <w:tc>
          <w:tcPr>
            <w:tcW w:w="1195" w:type="pct"/>
          </w:tcPr>
          <w:p w14:paraId="218ABF8B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  <w:tc>
          <w:tcPr>
            <w:tcW w:w="1024" w:type="pct"/>
          </w:tcPr>
          <w:p w14:paraId="62E2FED3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0(0.0%)</w:t>
            </w:r>
          </w:p>
        </w:tc>
        <w:tc>
          <w:tcPr>
            <w:tcW w:w="989" w:type="pct"/>
          </w:tcPr>
          <w:p w14:paraId="3956E1DC" w14:textId="77777777" w:rsidR="006945FC" w:rsidRPr="004A45A8" w:rsidRDefault="006945FC" w:rsidP="006945FC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1(4.2%)</w:t>
            </w:r>
          </w:p>
        </w:tc>
      </w:tr>
      <w:tr w:rsidR="00635DFB" w:rsidRPr="004A45A8" w14:paraId="0DCA4B9B" w14:textId="77777777" w:rsidTr="004A45A8">
        <w:trPr>
          <w:trHeight w:val="328"/>
        </w:trPr>
        <w:tc>
          <w:tcPr>
            <w:tcW w:w="1792" w:type="pct"/>
            <w:tcBorders>
              <w:bottom w:val="single" w:sz="12" w:space="0" w:color="000000"/>
            </w:tcBorders>
          </w:tcPr>
          <w:p w14:paraId="4D686032" w14:textId="77777777" w:rsidR="00635DFB" w:rsidRPr="004A45A8" w:rsidRDefault="00635DFB" w:rsidP="00635DFB">
            <w:pPr>
              <w:jc w:val="left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rStyle w:val="NormalCharacter"/>
                <w:rFonts w:cs="Arial"/>
                <w:sz w:val="21"/>
                <w:szCs w:val="21"/>
              </w:rPr>
              <w:t>Total</w:t>
            </w:r>
          </w:p>
        </w:tc>
        <w:tc>
          <w:tcPr>
            <w:tcW w:w="1195" w:type="pct"/>
            <w:tcBorders>
              <w:bottom w:val="single" w:sz="12" w:space="0" w:color="000000"/>
            </w:tcBorders>
          </w:tcPr>
          <w:p w14:paraId="383F43C5" w14:textId="39F6A7E4" w:rsidR="00635DFB" w:rsidRPr="004A45A8" w:rsidRDefault="00635DFB" w:rsidP="00635DFB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sz w:val="21"/>
                <w:szCs w:val="21"/>
              </w:rPr>
              <w:t>24(100.0%)</w:t>
            </w:r>
          </w:p>
        </w:tc>
        <w:tc>
          <w:tcPr>
            <w:tcW w:w="1024" w:type="pct"/>
            <w:tcBorders>
              <w:bottom w:val="single" w:sz="12" w:space="0" w:color="000000"/>
            </w:tcBorders>
          </w:tcPr>
          <w:p w14:paraId="6E179BBA" w14:textId="761316E4" w:rsidR="00635DFB" w:rsidRPr="004A45A8" w:rsidRDefault="00635DFB" w:rsidP="00635DFB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sz w:val="21"/>
                <w:szCs w:val="21"/>
              </w:rPr>
              <w:t>4(1</w:t>
            </w:r>
            <w:r w:rsidRPr="004A45A8">
              <w:rPr>
                <w:rFonts w:hint="eastAsia"/>
                <w:sz w:val="21"/>
                <w:szCs w:val="21"/>
              </w:rPr>
              <w:t>6.7</w:t>
            </w:r>
            <w:r w:rsidRPr="004A45A8">
              <w:rPr>
                <w:sz w:val="21"/>
                <w:szCs w:val="21"/>
              </w:rPr>
              <w:t>%)</w:t>
            </w:r>
          </w:p>
        </w:tc>
        <w:tc>
          <w:tcPr>
            <w:tcW w:w="989" w:type="pct"/>
            <w:tcBorders>
              <w:bottom w:val="single" w:sz="12" w:space="0" w:color="000000"/>
            </w:tcBorders>
          </w:tcPr>
          <w:p w14:paraId="1ABE337F" w14:textId="3E358043" w:rsidR="00635DFB" w:rsidRPr="004A45A8" w:rsidRDefault="00635DFB" w:rsidP="00635DFB">
            <w:pPr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4A45A8">
              <w:rPr>
                <w:sz w:val="21"/>
                <w:szCs w:val="21"/>
              </w:rPr>
              <w:t>23(95.8%)</w:t>
            </w:r>
          </w:p>
        </w:tc>
      </w:tr>
    </w:tbl>
    <w:p w14:paraId="36DB1CCB" w14:textId="77777777" w:rsidR="00B6557E" w:rsidRDefault="00B6557E" w:rsidP="002B1575">
      <w:pPr>
        <w:spacing w:line="480" w:lineRule="auto"/>
        <w:rPr>
          <w:rStyle w:val="NormalCharacter"/>
          <w:rFonts w:cs="Arial"/>
          <w:b/>
          <w:bCs/>
          <w:szCs w:val="20"/>
        </w:rPr>
      </w:pPr>
    </w:p>
    <w:p w14:paraId="5016CBEB" w14:textId="5B2FA567" w:rsidR="006945FC" w:rsidRDefault="002B1575" w:rsidP="002B1575">
      <w:pPr>
        <w:spacing w:line="480" w:lineRule="auto"/>
        <w:rPr>
          <w:rStyle w:val="NormalCharacter"/>
          <w:rFonts w:cs="Arial"/>
          <w:szCs w:val="20"/>
        </w:rPr>
      </w:pPr>
      <w:r w:rsidRPr="00F36CAF">
        <w:rPr>
          <w:rStyle w:val="NormalCharacter"/>
          <w:rFonts w:cs="Arial"/>
          <w:b/>
          <w:bCs/>
          <w:szCs w:val="20"/>
        </w:rPr>
        <w:t xml:space="preserve">Abbreviations: </w:t>
      </w:r>
      <w:r w:rsidRPr="00F36CAF">
        <w:rPr>
          <w:rStyle w:val="NormalCharacter"/>
          <w:rFonts w:cs="Arial"/>
          <w:szCs w:val="20"/>
        </w:rPr>
        <w:t>CRE: Carbapenem-Resistant Enterobacteriaceae</w:t>
      </w:r>
      <w:r w:rsidR="00B6557E">
        <w:rPr>
          <w:rStyle w:val="NormalCharacter"/>
          <w:rFonts w:cs="Arial" w:hint="eastAsia"/>
          <w:szCs w:val="20"/>
        </w:rPr>
        <w:t>.</w:t>
      </w:r>
    </w:p>
    <w:p w14:paraId="63A5312C" w14:textId="77777777" w:rsidR="0074500D" w:rsidRDefault="0074500D" w:rsidP="002B1575">
      <w:pPr>
        <w:spacing w:line="480" w:lineRule="auto"/>
        <w:rPr>
          <w:rStyle w:val="NormalCharacter"/>
          <w:rFonts w:cs="Arial"/>
          <w:szCs w:val="20"/>
        </w:rPr>
      </w:pPr>
    </w:p>
    <w:p w14:paraId="7DE3C6DD" w14:textId="60322F15" w:rsidR="0074500D" w:rsidRPr="004A45A8" w:rsidRDefault="0074500D" w:rsidP="0074500D">
      <w:pPr>
        <w:spacing w:line="360" w:lineRule="auto"/>
        <w:rPr>
          <w:rFonts w:cs="Arial"/>
          <w:bCs/>
          <w:iCs/>
          <w:szCs w:val="20"/>
          <w:shd w:val="clear" w:color="auto" w:fill="FFFFFF"/>
        </w:rPr>
      </w:pPr>
      <w:r w:rsidRPr="004A45A8">
        <w:rPr>
          <w:rFonts w:cs="Arial" w:hint="eastAsia"/>
          <w:b/>
          <w:iCs/>
          <w:szCs w:val="20"/>
          <w:shd w:val="clear" w:color="auto" w:fill="FFFFFF"/>
        </w:rPr>
        <w:t>Table</w:t>
      </w:r>
      <w:r w:rsidR="004A45A8" w:rsidRPr="004A45A8">
        <w:rPr>
          <w:rFonts w:cs="Arial" w:hint="eastAsia"/>
          <w:b/>
          <w:iCs/>
          <w:szCs w:val="20"/>
          <w:shd w:val="clear" w:color="auto" w:fill="FFFFFF"/>
        </w:rPr>
        <w:t xml:space="preserve"> </w:t>
      </w:r>
      <w:r w:rsidRPr="004A45A8">
        <w:rPr>
          <w:rFonts w:cs="Arial" w:hint="eastAsia"/>
          <w:b/>
          <w:iCs/>
          <w:szCs w:val="20"/>
          <w:shd w:val="clear" w:color="auto" w:fill="FFFFFF"/>
        </w:rPr>
        <w:t>S2</w:t>
      </w:r>
      <w:r w:rsidR="004A45A8">
        <w:rPr>
          <w:rFonts w:cs="Arial" w:hint="eastAsia"/>
          <w:bCs/>
          <w:iCs/>
          <w:szCs w:val="20"/>
          <w:shd w:val="clear" w:color="auto" w:fill="FFFFFF"/>
        </w:rPr>
        <w:t xml:space="preserve"> </w:t>
      </w:r>
      <w:r w:rsidRPr="004A45A8">
        <w:rPr>
          <w:rFonts w:cs="Arial" w:hint="eastAsia"/>
          <w:bCs/>
          <w:iCs/>
          <w:szCs w:val="20"/>
          <w:shd w:val="clear" w:color="auto" w:fill="FFFFFF"/>
        </w:rPr>
        <w:t>Distribution of CRE resistance to antibiotics</w:t>
      </w:r>
    </w:p>
    <w:tbl>
      <w:tblPr>
        <w:tblStyle w:val="aa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1451"/>
        <w:gridCol w:w="1451"/>
        <w:gridCol w:w="1318"/>
        <w:gridCol w:w="1318"/>
        <w:gridCol w:w="1318"/>
      </w:tblGrid>
      <w:tr w:rsidR="0074500D" w:rsidRPr="0074500D" w14:paraId="1AC5D5FE" w14:textId="77777777" w:rsidTr="004A45A8">
        <w:trPr>
          <w:trHeight w:val="328"/>
        </w:trPr>
        <w:tc>
          <w:tcPr>
            <w:tcW w:w="980" w:type="pct"/>
            <w:tcBorders>
              <w:top w:val="single" w:sz="12" w:space="0" w:color="auto"/>
              <w:bottom w:val="single" w:sz="4" w:space="0" w:color="auto"/>
            </w:tcBorders>
          </w:tcPr>
          <w:p w14:paraId="2650F809" w14:textId="77777777" w:rsidR="0074500D" w:rsidRPr="004A45A8" w:rsidRDefault="0074500D" w:rsidP="0074500D">
            <w:pPr>
              <w:snapToGrid w:val="0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bookmarkStart w:id="0" w:name="_Hlk179379066"/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CRE</w:t>
            </w:r>
          </w:p>
        </w:tc>
        <w:tc>
          <w:tcPr>
            <w:tcW w:w="850" w:type="pct"/>
            <w:tcBorders>
              <w:top w:val="single" w:sz="12" w:space="0" w:color="auto"/>
              <w:bottom w:val="single" w:sz="4" w:space="0" w:color="auto"/>
            </w:tcBorders>
          </w:tcPr>
          <w:p w14:paraId="0B482C8B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IPM</w:t>
            </w:r>
          </w:p>
        </w:tc>
        <w:tc>
          <w:tcPr>
            <w:tcW w:w="850" w:type="pct"/>
            <w:tcBorders>
              <w:top w:val="single" w:sz="12" w:space="0" w:color="auto"/>
              <w:bottom w:val="single" w:sz="4" w:space="0" w:color="auto"/>
            </w:tcBorders>
          </w:tcPr>
          <w:p w14:paraId="6AE1779B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MEM</w:t>
            </w:r>
          </w:p>
        </w:tc>
        <w:tc>
          <w:tcPr>
            <w:tcW w:w="773" w:type="pct"/>
            <w:tcBorders>
              <w:top w:val="single" w:sz="12" w:space="0" w:color="auto"/>
              <w:bottom w:val="single" w:sz="4" w:space="0" w:color="auto"/>
            </w:tcBorders>
          </w:tcPr>
          <w:p w14:paraId="66B66E77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CTX</w:t>
            </w:r>
          </w:p>
        </w:tc>
        <w:tc>
          <w:tcPr>
            <w:tcW w:w="773" w:type="pct"/>
            <w:tcBorders>
              <w:top w:val="single" w:sz="12" w:space="0" w:color="auto"/>
              <w:bottom w:val="single" w:sz="4" w:space="0" w:color="auto"/>
            </w:tcBorders>
          </w:tcPr>
          <w:p w14:paraId="7FB8C07D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FEP</w:t>
            </w:r>
          </w:p>
        </w:tc>
        <w:tc>
          <w:tcPr>
            <w:tcW w:w="773" w:type="pct"/>
            <w:tcBorders>
              <w:top w:val="single" w:sz="12" w:space="0" w:color="auto"/>
              <w:bottom w:val="single" w:sz="4" w:space="0" w:color="auto"/>
            </w:tcBorders>
          </w:tcPr>
          <w:p w14:paraId="6DBD85E0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ATM</w:t>
            </w:r>
          </w:p>
        </w:tc>
      </w:tr>
      <w:tr w:rsidR="0074500D" w:rsidRPr="0074500D" w14:paraId="53E2B49E" w14:textId="77777777" w:rsidTr="004A45A8">
        <w:trPr>
          <w:trHeight w:val="328"/>
        </w:trPr>
        <w:tc>
          <w:tcPr>
            <w:tcW w:w="980" w:type="pct"/>
            <w:tcBorders>
              <w:top w:val="single" w:sz="4" w:space="0" w:color="auto"/>
            </w:tcBorders>
          </w:tcPr>
          <w:p w14:paraId="32AF2F3E" w14:textId="77777777" w:rsidR="0074500D" w:rsidRPr="004A45A8" w:rsidRDefault="0074500D" w:rsidP="0074500D">
            <w:pPr>
              <w:snapToGrid w:val="0"/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  <w:t>Escherichia coli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05B41952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14(100.0%)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693C1051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14(100.0%)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14:paraId="404ACFBD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13(92.9%)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14:paraId="1110571C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13(92.9%)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14:paraId="3AEA91A8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5(35.7%)</w:t>
            </w:r>
          </w:p>
        </w:tc>
      </w:tr>
      <w:tr w:rsidR="00635DFB" w:rsidRPr="0074500D" w14:paraId="3B068B3A" w14:textId="77777777" w:rsidTr="004A45A8">
        <w:trPr>
          <w:trHeight w:val="328"/>
        </w:trPr>
        <w:tc>
          <w:tcPr>
            <w:tcW w:w="980" w:type="pct"/>
          </w:tcPr>
          <w:p w14:paraId="3B380264" w14:textId="77777777" w:rsidR="00635DFB" w:rsidRPr="004A45A8" w:rsidRDefault="00635DFB" w:rsidP="00635DFB">
            <w:pPr>
              <w:snapToGrid w:val="0"/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  <w:lastRenderedPageBreak/>
              <w:t>Klebsiella pneumoniae</w:t>
            </w:r>
          </w:p>
        </w:tc>
        <w:tc>
          <w:tcPr>
            <w:tcW w:w="850" w:type="pct"/>
          </w:tcPr>
          <w:p w14:paraId="6EC08CDE" w14:textId="1B9EEC59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4(100.0%)</w:t>
            </w:r>
          </w:p>
        </w:tc>
        <w:tc>
          <w:tcPr>
            <w:tcW w:w="850" w:type="pct"/>
          </w:tcPr>
          <w:p w14:paraId="6BE918FB" w14:textId="68DDA92A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4(100.0%)</w:t>
            </w:r>
          </w:p>
        </w:tc>
        <w:tc>
          <w:tcPr>
            <w:tcW w:w="773" w:type="pct"/>
          </w:tcPr>
          <w:p w14:paraId="68704A98" w14:textId="5BADAE9D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3(75.0%)</w:t>
            </w:r>
          </w:p>
        </w:tc>
        <w:tc>
          <w:tcPr>
            <w:tcW w:w="773" w:type="pct"/>
          </w:tcPr>
          <w:p w14:paraId="36EA9B56" w14:textId="67A37C93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3(75.0%)</w:t>
            </w:r>
          </w:p>
        </w:tc>
        <w:tc>
          <w:tcPr>
            <w:tcW w:w="773" w:type="pct"/>
          </w:tcPr>
          <w:p w14:paraId="6155FE38" w14:textId="3E0F8728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2(50.0%)</w:t>
            </w:r>
          </w:p>
        </w:tc>
      </w:tr>
      <w:tr w:rsidR="0074500D" w:rsidRPr="0074500D" w14:paraId="50CB6EEC" w14:textId="77777777" w:rsidTr="004A45A8">
        <w:trPr>
          <w:trHeight w:val="328"/>
        </w:trPr>
        <w:tc>
          <w:tcPr>
            <w:tcW w:w="980" w:type="pct"/>
          </w:tcPr>
          <w:p w14:paraId="05180498" w14:textId="77777777" w:rsidR="0074500D" w:rsidRPr="004A45A8" w:rsidRDefault="0074500D" w:rsidP="0074500D">
            <w:pPr>
              <w:snapToGrid w:val="0"/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  <w:t>Acinetobacter baumannii</w:t>
            </w:r>
          </w:p>
        </w:tc>
        <w:tc>
          <w:tcPr>
            <w:tcW w:w="850" w:type="pct"/>
          </w:tcPr>
          <w:p w14:paraId="0574EA81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2(100.0%)</w:t>
            </w:r>
          </w:p>
        </w:tc>
        <w:tc>
          <w:tcPr>
            <w:tcW w:w="850" w:type="pct"/>
          </w:tcPr>
          <w:p w14:paraId="7154FB93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2(100.0%)</w:t>
            </w:r>
          </w:p>
        </w:tc>
        <w:tc>
          <w:tcPr>
            <w:tcW w:w="773" w:type="pct"/>
          </w:tcPr>
          <w:p w14:paraId="644436C1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2(100.0%)</w:t>
            </w:r>
          </w:p>
        </w:tc>
        <w:tc>
          <w:tcPr>
            <w:tcW w:w="773" w:type="pct"/>
          </w:tcPr>
          <w:p w14:paraId="27F569CC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2(100.0%)</w:t>
            </w:r>
          </w:p>
        </w:tc>
        <w:tc>
          <w:tcPr>
            <w:tcW w:w="773" w:type="pct"/>
          </w:tcPr>
          <w:p w14:paraId="0CE88F3A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1(50.0%)</w:t>
            </w:r>
          </w:p>
        </w:tc>
      </w:tr>
      <w:tr w:rsidR="0074500D" w:rsidRPr="0074500D" w14:paraId="67BD4FE5" w14:textId="77777777" w:rsidTr="004A45A8">
        <w:trPr>
          <w:trHeight w:val="328"/>
        </w:trPr>
        <w:tc>
          <w:tcPr>
            <w:tcW w:w="980" w:type="pct"/>
          </w:tcPr>
          <w:p w14:paraId="276B3F2F" w14:textId="77777777" w:rsidR="0074500D" w:rsidRPr="004A45A8" w:rsidRDefault="0074500D" w:rsidP="0074500D">
            <w:pPr>
              <w:snapToGrid w:val="0"/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  <w:t>Enterobacter cloacae</w:t>
            </w:r>
          </w:p>
        </w:tc>
        <w:tc>
          <w:tcPr>
            <w:tcW w:w="850" w:type="pct"/>
          </w:tcPr>
          <w:p w14:paraId="5863B3AE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850" w:type="pct"/>
          </w:tcPr>
          <w:p w14:paraId="03F1109A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5216971F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47B05C6C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53D6851B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0(0.0%)</w:t>
            </w:r>
          </w:p>
        </w:tc>
      </w:tr>
      <w:tr w:rsidR="0074500D" w:rsidRPr="0074500D" w14:paraId="78F58641" w14:textId="77777777" w:rsidTr="004A45A8">
        <w:trPr>
          <w:trHeight w:val="328"/>
        </w:trPr>
        <w:tc>
          <w:tcPr>
            <w:tcW w:w="980" w:type="pct"/>
          </w:tcPr>
          <w:p w14:paraId="64AF0464" w14:textId="77777777" w:rsidR="0074500D" w:rsidRPr="004A45A8" w:rsidRDefault="0074500D" w:rsidP="0074500D">
            <w:pPr>
              <w:snapToGrid w:val="0"/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Citrobacter </w:t>
            </w:r>
            <w:proofErr w:type="spellStart"/>
            <w:r w:rsidRPr="004A45A8"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  <w:t>freundii</w:t>
            </w:r>
            <w:proofErr w:type="spellEnd"/>
          </w:p>
        </w:tc>
        <w:tc>
          <w:tcPr>
            <w:tcW w:w="850" w:type="pct"/>
          </w:tcPr>
          <w:p w14:paraId="2948685D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850" w:type="pct"/>
          </w:tcPr>
          <w:p w14:paraId="59D8912C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64463992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751B8827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3C433282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0(0.0%)</w:t>
            </w:r>
          </w:p>
        </w:tc>
      </w:tr>
      <w:tr w:rsidR="0074500D" w:rsidRPr="0074500D" w14:paraId="071825AF" w14:textId="77777777" w:rsidTr="004A45A8">
        <w:trPr>
          <w:trHeight w:val="328"/>
        </w:trPr>
        <w:tc>
          <w:tcPr>
            <w:tcW w:w="980" w:type="pct"/>
          </w:tcPr>
          <w:p w14:paraId="7E2C746E" w14:textId="77777777" w:rsidR="0074500D" w:rsidRPr="004A45A8" w:rsidRDefault="0074500D" w:rsidP="0074500D">
            <w:pPr>
              <w:snapToGrid w:val="0"/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  <w:t>Klebsiella aerogenes</w:t>
            </w:r>
          </w:p>
        </w:tc>
        <w:tc>
          <w:tcPr>
            <w:tcW w:w="850" w:type="pct"/>
          </w:tcPr>
          <w:p w14:paraId="0A7B93E1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850" w:type="pct"/>
          </w:tcPr>
          <w:p w14:paraId="41E4D237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026159A8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6BB9350E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3B354EAD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</w:tr>
      <w:tr w:rsidR="0074500D" w:rsidRPr="0074500D" w14:paraId="171DE69E" w14:textId="77777777" w:rsidTr="004A45A8">
        <w:trPr>
          <w:trHeight w:val="328"/>
        </w:trPr>
        <w:tc>
          <w:tcPr>
            <w:tcW w:w="980" w:type="pct"/>
          </w:tcPr>
          <w:p w14:paraId="446A4E17" w14:textId="77777777" w:rsidR="0074500D" w:rsidRPr="004A45A8" w:rsidRDefault="0074500D" w:rsidP="0074500D">
            <w:pPr>
              <w:snapToGrid w:val="0"/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Klebsiella </w:t>
            </w:r>
            <w:proofErr w:type="spellStart"/>
            <w:r w:rsidRPr="004A45A8">
              <w:rPr>
                <w:rFonts w:cs="Arial"/>
                <w:bCs/>
                <w:i/>
                <w:iCs/>
                <w:sz w:val="21"/>
                <w:szCs w:val="21"/>
                <w:shd w:val="clear" w:color="auto" w:fill="FFFFFF"/>
              </w:rPr>
              <w:t>oxytoca</w:t>
            </w:r>
            <w:proofErr w:type="spellEnd"/>
          </w:p>
        </w:tc>
        <w:tc>
          <w:tcPr>
            <w:tcW w:w="850" w:type="pct"/>
          </w:tcPr>
          <w:p w14:paraId="3D42A5F1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850" w:type="pct"/>
          </w:tcPr>
          <w:p w14:paraId="40E4E35F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27F37EAB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434F20B7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1(100.0%)</w:t>
            </w:r>
          </w:p>
        </w:tc>
        <w:tc>
          <w:tcPr>
            <w:tcW w:w="773" w:type="pct"/>
          </w:tcPr>
          <w:p w14:paraId="4DA6E7F8" w14:textId="77777777" w:rsidR="0074500D" w:rsidRPr="004A45A8" w:rsidRDefault="0074500D" w:rsidP="0074500D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0(0.0%)</w:t>
            </w:r>
          </w:p>
        </w:tc>
      </w:tr>
      <w:tr w:rsidR="00635DFB" w:rsidRPr="0074500D" w14:paraId="3C163C49" w14:textId="77777777" w:rsidTr="004A45A8">
        <w:trPr>
          <w:trHeight w:val="328"/>
        </w:trPr>
        <w:tc>
          <w:tcPr>
            <w:tcW w:w="980" w:type="pct"/>
            <w:tcBorders>
              <w:bottom w:val="single" w:sz="12" w:space="0" w:color="auto"/>
            </w:tcBorders>
          </w:tcPr>
          <w:p w14:paraId="712506D9" w14:textId="77777777" w:rsidR="00635DFB" w:rsidRPr="004A45A8" w:rsidRDefault="00635DFB" w:rsidP="00635DFB">
            <w:pPr>
              <w:snapToGrid w:val="0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  <w:t>Total</w:t>
            </w:r>
          </w:p>
        </w:tc>
        <w:tc>
          <w:tcPr>
            <w:tcW w:w="850" w:type="pct"/>
            <w:tcBorders>
              <w:bottom w:val="single" w:sz="12" w:space="0" w:color="auto"/>
            </w:tcBorders>
          </w:tcPr>
          <w:p w14:paraId="3484AFAA" w14:textId="1B574D1D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24(100.0%)</w:t>
            </w:r>
          </w:p>
        </w:tc>
        <w:tc>
          <w:tcPr>
            <w:tcW w:w="850" w:type="pct"/>
            <w:tcBorders>
              <w:bottom w:val="single" w:sz="12" w:space="0" w:color="auto"/>
            </w:tcBorders>
          </w:tcPr>
          <w:p w14:paraId="6153D7E9" w14:textId="5687D478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24(100.0%)</w:t>
            </w:r>
          </w:p>
        </w:tc>
        <w:tc>
          <w:tcPr>
            <w:tcW w:w="773" w:type="pct"/>
            <w:tcBorders>
              <w:bottom w:val="single" w:sz="12" w:space="0" w:color="auto"/>
            </w:tcBorders>
          </w:tcPr>
          <w:p w14:paraId="688EE699" w14:textId="6C99CEAF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22(91.7%)</w:t>
            </w:r>
          </w:p>
        </w:tc>
        <w:tc>
          <w:tcPr>
            <w:tcW w:w="773" w:type="pct"/>
            <w:tcBorders>
              <w:bottom w:val="single" w:sz="12" w:space="0" w:color="auto"/>
            </w:tcBorders>
          </w:tcPr>
          <w:p w14:paraId="4D317D6F" w14:textId="4D1569EC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22(91.7%)</w:t>
            </w:r>
          </w:p>
        </w:tc>
        <w:tc>
          <w:tcPr>
            <w:tcW w:w="773" w:type="pct"/>
            <w:tcBorders>
              <w:bottom w:val="single" w:sz="12" w:space="0" w:color="auto"/>
            </w:tcBorders>
          </w:tcPr>
          <w:p w14:paraId="7EA5DCD8" w14:textId="4E4DAEC6" w:rsidR="00635DFB" w:rsidRPr="004A45A8" w:rsidRDefault="00635DFB" w:rsidP="00635DFB">
            <w:pPr>
              <w:snapToGrid w:val="0"/>
              <w:jc w:val="center"/>
              <w:rPr>
                <w:rFonts w:cs="Arial"/>
                <w:bCs/>
                <w:iCs/>
                <w:sz w:val="21"/>
                <w:szCs w:val="21"/>
                <w:shd w:val="clear" w:color="auto" w:fill="FFFFFF"/>
              </w:rPr>
            </w:pPr>
            <w:r w:rsidRPr="004A45A8">
              <w:rPr>
                <w:rFonts w:cs="Arial"/>
                <w:sz w:val="21"/>
                <w:szCs w:val="21"/>
              </w:rPr>
              <w:t>9(37.5%)</w:t>
            </w:r>
          </w:p>
        </w:tc>
      </w:tr>
      <w:bookmarkEnd w:id="0"/>
    </w:tbl>
    <w:p w14:paraId="3C139310" w14:textId="159318AC" w:rsidR="0074500D" w:rsidRPr="0074500D" w:rsidRDefault="0074500D" w:rsidP="004A45A8">
      <w:pPr>
        <w:snapToGrid w:val="0"/>
        <w:spacing w:line="480" w:lineRule="auto"/>
        <w:jc w:val="left"/>
        <w:rPr>
          <w:rFonts w:cs="Arial"/>
          <w:b/>
          <w:iCs/>
          <w:szCs w:val="20"/>
          <w:shd w:val="clear" w:color="auto" w:fill="FFFFFF"/>
        </w:rPr>
      </w:pPr>
    </w:p>
    <w:p w14:paraId="55FD9EC8" w14:textId="77777777" w:rsidR="0074500D" w:rsidRPr="004A45A8" w:rsidRDefault="0074500D" w:rsidP="004A45A8">
      <w:pPr>
        <w:snapToGrid w:val="0"/>
        <w:spacing w:line="480" w:lineRule="auto"/>
        <w:jc w:val="left"/>
        <w:rPr>
          <w:rFonts w:cs="Arial"/>
          <w:bCs/>
          <w:iCs/>
          <w:szCs w:val="20"/>
          <w:shd w:val="clear" w:color="auto" w:fill="FFFFFF"/>
        </w:rPr>
      </w:pPr>
      <w:r w:rsidRPr="004A45A8">
        <w:rPr>
          <w:rFonts w:cs="Arial" w:hint="eastAsia"/>
          <w:b/>
          <w:iCs/>
          <w:szCs w:val="20"/>
          <w:shd w:val="clear" w:color="auto" w:fill="FFFFFF"/>
        </w:rPr>
        <w:t xml:space="preserve">Abbreviations: </w:t>
      </w:r>
      <w:r w:rsidRPr="004A45A8">
        <w:rPr>
          <w:rFonts w:cs="Arial" w:hint="eastAsia"/>
          <w:bCs/>
          <w:iCs/>
          <w:szCs w:val="20"/>
          <w:shd w:val="clear" w:color="auto" w:fill="FFFFFF"/>
        </w:rPr>
        <w:t>CRE: Carbapenem-Resistant Enterobacteriaceae; IPM:</w:t>
      </w:r>
      <w:r w:rsidRPr="004A45A8">
        <w:rPr>
          <w:rFonts w:hint="eastAsia"/>
          <w:szCs w:val="20"/>
        </w:rPr>
        <w:t xml:space="preserve"> </w:t>
      </w:r>
      <w:r w:rsidRPr="004A45A8">
        <w:rPr>
          <w:rFonts w:cs="Arial" w:hint="eastAsia"/>
          <w:bCs/>
          <w:iCs/>
          <w:szCs w:val="20"/>
          <w:shd w:val="clear" w:color="auto" w:fill="FFFFFF"/>
        </w:rPr>
        <w:t>Imipenem;</w:t>
      </w:r>
      <w:r w:rsidRPr="004A45A8">
        <w:rPr>
          <w:rFonts w:hint="eastAsia"/>
          <w:szCs w:val="20"/>
        </w:rPr>
        <w:t xml:space="preserve"> </w:t>
      </w:r>
      <w:r w:rsidRPr="004A45A8">
        <w:rPr>
          <w:rFonts w:cs="Arial" w:hint="eastAsia"/>
          <w:bCs/>
          <w:iCs/>
          <w:szCs w:val="20"/>
          <w:shd w:val="clear" w:color="auto" w:fill="FFFFFF"/>
        </w:rPr>
        <w:t>MEM:</w:t>
      </w:r>
      <w:r w:rsidRPr="004A45A8">
        <w:rPr>
          <w:rFonts w:hint="eastAsia"/>
          <w:szCs w:val="20"/>
        </w:rPr>
        <w:t xml:space="preserve"> </w:t>
      </w:r>
      <w:r w:rsidRPr="004A45A8">
        <w:rPr>
          <w:rFonts w:cs="Arial" w:hint="eastAsia"/>
          <w:bCs/>
          <w:iCs/>
          <w:szCs w:val="20"/>
          <w:shd w:val="clear" w:color="auto" w:fill="FFFFFF"/>
        </w:rPr>
        <w:t>Meropenem; CTX:</w:t>
      </w:r>
      <w:r w:rsidRPr="004A45A8">
        <w:rPr>
          <w:rFonts w:hint="eastAsia"/>
          <w:szCs w:val="20"/>
        </w:rPr>
        <w:t xml:space="preserve"> </w:t>
      </w:r>
      <w:r w:rsidRPr="004A45A8">
        <w:rPr>
          <w:rFonts w:cs="Arial" w:hint="eastAsia"/>
          <w:bCs/>
          <w:iCs/>
          <w:szCs w:val="20"/>
          <w:shd w:val="clear" w:color="auto" w:fill="FFFFFF"/>
        </w:rPr>
        <w:t>Ceftazidime; FEP:</w:t>
      </w:r>
      <w:r w:rsidRPr="004A45A8">
        <w:rPr>
          <w:rFonts w:hint="eastAsia"/>
          <w:szCs w:val="20"/>
        </w:rPr>
        <w:t xml:space="preserve"> </w:t>
      </w:r>
      <w:r w:rsidRPr="004A45A8">
        <w:rPr>
          <w:rFonts w:cs="Arial" w:hint="eastAsia"/>
          <w:bCs/>
          <w:iCs/>
          <w:szCs w:val="20"/>
          <w:shd w:val="clear" w:color="auto" w:fill="FFFFFF"/>
        </w:rPr>
        <w:t>Cefepime;</w:t>
      </w:r>
      <w:r w:rsidRPr="004A45A8">
        <w:rPr>
          <w:rFonts w:cs="Arial"/>
          <w:bCs/>
          <w:iCs/>
          <w:szCs w:val="20"/>
          <w:shd w:val="clear" w:color="auto" w:fill="FFFFFF"/>
        </w:rPr>
        <w:t xml:space="preserve"> </w:t>
      </w:r>
      <w:r w:rsidRPr="004A45A8">
        <w:rPr>
          <w:rFonts w:cs="Arial" w:hint="eastAsia"/>
          <w:bCs/>
          <w:iCs/>
          <w:szCs w:val="20"/>
          <w:shd w:val="clear" w:color="auto" w:fill="FFFFFF"/>
        </w:rPr>
        <w:t xml:space="preserve">ATM: </w:t>
      </w:r>
      <w:r w:rsidRPr="004A45A8">
        <w:rPr>
          <w:rFonts w:cs="Arial"/>
          <w:bCs/>
          <w:iCs/>
          <w:szCs w:val="20"/>
          <w:shd w:val="clear" w:color="auto" w:fill="FFFFFF"/>
        </w:rPr>
        <w:t>Aztreonam</w:t>
      </w:r>
      <w:r w:rsidRPr="004A45A8">
        <w:rPr>
          <w:rFonts w:cs="Arial" w:hint="eastAsia"/>
          <w:bCs/>
          <w:iCs/>
          <w:szCs w:val="20"/>
          <w:shd w:val="clear" w:color="auto" w:fill="FFFFFF"/>
        </w:rPr>
        <w:t>.</w:t>
      </w:r>
    </w:p>
    <w:p w14:paraId="29576455" w14:textId="77777777" w:rsidR="0074500D" w:rsidRPr="0074500D" w:rsidRDefault="0074500D" w:rsidP="004A45A8">
      <w:pPr>
        <w:spacing w:line="480" w:lineRule="auto"/>
        <w:rPr>
          <w:rStyle w:val="NormalCharacter"/>
          <w:rFonts w:cs="Arial"/>
          <w:szCs w:val="20"/>
        </w:rPr>
      </w:pPr>
    </w:p>
    <w:p w14:paraId="2BDBB383" w14:textId="26276622" w:rsidR="002B1575" w:rsidRPr="00B6557E" w:rsidRDefault="00B6557E" w:rsidP="002B1575">
      <w:pPr>
        <w:spacing w:line="480" w:lineRule="auto"/>
        <w:rPr>
          <w:rFonts w:cs="Arial"/>
        </w:rPr>
      </w:pPr>
      <w:r w:rsidRPr="00B6557E">
        <w:rPr>
          <w:rFonts w:cs="Arial"/>
          <w:b/>
          <w:bCs/>
        </w:rPr>
        <w:t>Table S</w:t>
      </w:r>
      <w:r w:rsidR="00AE482D">
        <w:rPr>
          <w:rFonts w:cs="Arial" w:hint="eastAsia"/>
          <w:b/>
          <w:bCs/>
        </w:rPr>
        <w:t>3</w:t>
      </w:r>
      <w:r w:rsidRPr="00B6557E">
        <w:rPr>
          <w:rFonts w:cs="Arial"/>
        </w:rPr>
        <w:t xml:space="preserve"> Influencing factors predict the area under ROC curve of CRE colonization</w:t>
      </w:r>
    </w:p>
    <w:tbl>
      <w:tblPr>
        <w:tblStyle w:val="1"/>
        <w:tblpPr w:leftFromText="180" w:rightFromText="180" w:vertAnchor="text" w:horzAnchor="margin" w:tblpY="143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276"/>
        <w:gridCol w:w="1276"/>
        <w:gridCol w:w="850"/>
      </w:tblGrid>
      <w:tr w:rsidR="00A34CCA" w:rsidRPr="00F36CAF" w14:paraId="048ECBA9" w14:textId="77777777" w:rsidTr="00B6557E">
        <w:trPr>
          <w:trHeight w:val="329"/>
        </w:trPr>
        <w:tc>
          <w:tcPr>
            <w:tcW w:w="3227" w:type="dxa"/>
            <w:tcBorders>
              <w:top w:val="single" w:sz="12" w:space="0" w:color="000000"/>
              <w:bottom w:val="single" w:sz="4" w:space="0" w:color="auto"/>
            </w:tcBorders>
          </w:tcPr>
          <w:p w14:paraId="3F0B013C" w14:textId="77777777" w:rsidR="00CB52A0" w:rsidRPr="00F36CAF" w:rsidRDefault="00CB52A0" w:rsidP="002B1575">
            <w:pPr>
              <w:spacing w:line="360" w:lineRule="auto"/>
              <w:ind w:right="630"/>
              <w:jc w:val="right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</w:tcBorders>
          </w:tcPr>
          <w:p w14:paraId="243B22BB" w14:textId="658F0497" w:rsidR="00A34CCA" w:rsidRPr="00F36CAF" w:rsidRDefault="00A34CCA" w:rsidP="00A34CCA">
            <w:pPr>
              <w:spacing w:line="360" w:lineRule="auto"/>
              <w:jc w:val="center"/>
              <w:textAlignment w:val="center"/>
              <w:rPr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Cut-Off Value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0BB021CD" w14:textId="6B743FDA" w:rsidR="00CB52A0" w:rsidRPr="00F36CAF" w:rsidRDefault="00A34CCA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Sensitivity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14:paraId="7F0D5BFB" w14:textId="11C524DF" w:rsidR="00CB52A0" w:rsidRPr="00F36CAF" w:rsidRDefault="00A34CCA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Specificity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</w:tcPr>
          <w:p w14:paraId="3E8EBA53" w14:textId="754D4FE3" w:rsidR="00CB52A0" w:rsidRPr="00F36CAF" w:rsidRDefault="00A34CCA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AUC</w:t>
            </w:r>
          </w:p>
        </w:tc>
      </w:tr>
      <w:tr w:rsidR="00A34CCA" w:rsidRPr="00F36CAF" w14:paraId="17215267" w14:textId="77777777" w:rsidTr="00B6557E">
        <w:trPr>
          <w:trHeight w:val="329"/>
        </w:trPr>
        <w:tc>
          <w:tcPr>
            <w:tcW w:w="3227" w:type="dxa"/>
            <w:tcBorders>
              <w:top w:val="single" w:sz="4" w:space="0" w:color="auto"/>
            </w:tcBorders>
          </w:tcPr>
          <w:p w14:paraId="7527CD23" w14:textId="596AFE47" w:rsidR="00CB52A0" w:rsidRPr="00F36CAF" w:rsidRDefault="00A34CCA" w:rsidP="00CB52A0">
            <w:pPr>
              <w:spacing w:line="360" w:lineRule="auto"/>
              <w:jc w:val="left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APACHE II Score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F5A124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33AB6E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44947E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0.51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019797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0.656</w:t>
            </w:r>
          </w:p>
        </w:tc>
      </w:tr>
      <w:tr w:rsidR="00A34CCA" w:rsidRPr="00F36CAF" w14:paraId="3CEA5009" w14:textId="77777777" w:rsidTr="00B6557E">
        <w:trPr>
          <w:trHeight w:val="329"/>
        </w:trPr>
        <w:tc>
          <w:tcPr>
            <w:tcW w:w="3227" w:type="dxa"/>
          </w:tcPr>
          <w:p w14:paraId="7462E506" w14:textId="001EBA6E" w:rsidR="00CB52A0" w:rsidRPr="00F36CAF" w:rsidRDefault="00A34CCA" w:rsidP="00CB52A0">
            <w:pPr>
              <w:spacing w:line="360" w:lineRule="auto"/>
              <w:jc w:val="left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SOFA Score</w:t>
            </w:r>
          </w:p>
        </w:tc>
        <w:tc>
          <w:tcPr>
            <w:tcW w:w="1559" w:type="dxa"/>
          </w:tcPr>
          <w:p w14:paraId="10F90C72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14:paraId="3D5F2F3B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0.88</w:t>
            </w:r>
          </w:p>
        </w:tc>
        <w:tc>
          <w:tcPr>
            <w:tcW w:w="1276" w:type="dxa"/>
          </w:tcPr>
          <w:p w14:paraId="07A3BEA8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0.56</w:t>
            </w:r>
          </w:p>
        </w:tc>
        <w:tc>
          <w:tcPr>
            <w:tcW w:w="850" w:type="dxa"/>
          </w:tcPr>
          <w:p w14:paraId="2FD5ECCD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0.686</w:t>
            </w:r>
          </w:p>
        </w:tc>
      </w:tr>
      <w:tr w:rsidR="00A34CCA" w:rsidRPr="00F36CAF" w14:paraId="7CC2F19B" w14:textId="77777777" w:rsidTr="00B6557E">
        <w:trPr>
          <w:trHeight w:val="329"/>
        </w:trPr>
        <w:tc>
          <w:tcPr>
            <w:tcW w:w="3227" w:type="dxa"/>
          </w:tcPr>
          <w:p w14:paraId="040D41C4" w14:textId="1782EC9D" w:rsidR="00CB52A0" w:rsidRPr="00F36CAF" w:rsidRDefault="00A34CCA" w:rsidP="00CB52A0">
            <w:pPr>
              <w:spacing w:line="360" w:lineRule="auto"/>
              <w:jc w:val="left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Fonts w:cs="Arial"/>
                <w:sz w:val="21"/>
                <w:szCs w:val="21"/>
              </w:rPr>
              <w:t>Number of Organ</w:t>
            </w:r>
            <w:r w:rsidR="004126FF" w:rsidRPr="00F36CAF">
              <w:rPr>
                <w:rFonts w:cs="Arial"/>
                <w:sz w:val="21"/>
                <w:szCs w:val="21"/>
              </w:rPr>
              <w:t xml:space="preserve"> Failure</w:t>
            </w:r>
            <w:r w:rsidR="00A85BB7" w:rsidRPr="00F36CAF">
              <w:rPr>
                <w:rFonts w:cs="Arial"/>
                <w:sz w:val="21"/>
                <w:szCs w:val="21"/>
              </w:rPr>
              <w:t>s</w:t>
            </w:r>
          </w:p>
        </w:tc>
        <w:tc>
          <w:tcPr>
            <w:tcW w:w="1559" w:type="dxa"/>
          </w:tcPr>
          <w:p w14:paraId="0BA09D2D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2BBA77D4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0.65</w:t>
            </w:r>
          </w:p>
        </w:tc>
        <w:tc>
          <w:tcPr>
            <w:tcW w:w="1276" w:type="dxa"/>
          </w:tcPr>
          <w:p w14:paraId="2B93C780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0.62</w:t>
            </w:r>
          </w:p>
        </w:tc>
        <w:tc>
          <w:tcPr>
            <w:tcW w:w="850" w:type="dxa"/>
          </w:tcPr>
          <w:p w14:paraId="5F5937EA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0.649</w:t>
            </w:r>
          </w:p>
        </w:tc>
      </w:tr>
      <w:tr w:rsidR="00A34CCA" w:rsidRPr="00F36CAF" w14:paraId="0DB37A0F" w14:textId="77777777" w:rsidTr="00B6557E">
        <w:trPr>
          <w:trHeight w:val="329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DBBD333" w14:textId="5A9F65C4" w:rsidR="00CB52A0" w:rsidRPr="00F36CAF" w:rsidRDefault="00A34CCA" w:rsidP="00CB52A0">
            <w:pPr>
              <w:spacing w:line="360" w:lineRule="auto"/>
              <w:jc w:val="left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Fonts w:cs="Arial"/>
                <w:sz w:val="21"/>
                <w:szCs w:val="21"/>
              </w:rPr>
              <w:t>Length of Hospital Stay (days)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09A22A2A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2D38508B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0.50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6476C2AE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0.83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3B17736A" w14:textId="77777777" w:rsidR="00CB52A0" w:rsidRPr="00F36CAF" w:rsidRDefault="00CB52A0" w:rsidP="00CB52A0">
            <w:pPr>
              <w:spacing w:line="360" w:lineRule="auto"/>
              <w:jc w:val="center"/>
              <w:textAlignment w:val="center"/>
              <w:rPr>
                <w:rStyle w:val="NormalCharacter"/>
                <w:rFonts w:cs="Arial"/>
                <w:sz w:val="21"/>
                <w:szCs w:val="21"/>
              </w:rPr>
            </w:pPr>
            <w:r w:rsidRPr="00F36CAF">
              <w:rPr>
                <w:rStyle w:val="NormalCharacter"/>
                <w:rFonts w:cs="Arial"/>
                <w:sz w:val="21"/>
                <w:szCs w:val="21"/>
              </w:rPr>
              <w:t>0.732</w:t>
            </w:r>
          </w:p>
        </w:tc>
      </w:tr>
    </w:tbl>
    <w:p w14:paraId="0AD09D1F" w14:textId="77777777" w:rsidR="00B6557E" w:rsidRDefault="00B6557E" w:rsidP="008325C5">
      <w:pPr>
        <w:spacing w:line="360" w:lineRule="auto"/>
        <w:rPr>
          <w:rStyle w:val="NormalCharacter"/>
          <w:rFonts w:cs="Arial"/>
          <w:b/>
          <w:bCs/>
          <w:szCs w:val="20"/>
        </w:rPr>
      </w:pPr>
    </w:p>
    <w:p w14:paraId="1FDC8287" w14:textId="10425ED4" w:rsidR="002F38D7" w:rsidRPr="00B6557E" w:rsidRDefault="00B6557E" w:rsidP="008325C5">
      <w:pPr>
        <w:spacing w:line="360" w:lineRule="auto"/>
        <w:rPr>
          <w:rFonts w:cs="Arial"/>
          <w:spacing w:val="15"/>
          <w:sz w:val="24"/>
        </w:rPr>
      </w:pPr>
      <w:r w:rsidRPr="00F36CAF">
        <w:rPr>
          <w:rStyle w:val="NormalCharacter"/>
          <w:rFonts w:cs="Arial"/>
          <w:b/>
          <w:bCs/>
          <w:szCs w:val="20"/>
        </w:rPr>
        <w:t xml:space="preserve">Abbreviations: </w:t>
      </w:r>
      <w:r w:rsidRPr="00F36CAF">
        <w:rPr>
          <w:rStyle w:val="NormalCharacter"/>
          <w:rFonts w:cs="Arial"/>
          <w:szCs w:val="20"/>
        </w:rPr>
        <w:t>CRE: Carbapenem-Resistant Enterobacteriaceae; ROC: Receiver Operator Characteristic;</w:t>
      </w:r>
      <w:r w:rsidRPr="00F36CAF">
        <w:rPr>
          <w:rStyle w:val="font11"/>
          <w:rFonts w:ascii="Arial" w:hAnsi="Arial" w:cs="Arial" w:hint="default"/>
          <w:sz w:val="20"/>
          <w:szCs w:val="20"/>
        </w:rPr>
        <w:t xml:space="preserve"> </w:t>
      </w:r>
      <w:r w:rsidRPr="00F36CAF">
        <w:rPr>
          <w:rStyle w:val="NormalCharacter"/>
          <w:rFonts w:cs="Arial"/>
          <w:szCs w:val="20"/>
        </w:rPr>
        <w:t>APACHE II: Acute Physiology and Chronic Health Evaluation; SOFA: Sequential Organ Failure Assessment</w:t>
      </w:r>
      <w:r>
        <w:rPr>
          <w:rStyle w:val="NormalCharacter"/>
          <w:rFonts w:cs="Arial" w:hint="eastAsia"/>
          <w:szCs w:val="20"/>
        </w:rPr>
        <w:t>.</w:t>
      </w:r>
    </w:p>
    <w:sectPr w:rsidR="002F38D7" w:rsidRPr="00B6557E" w:rsidSect="002B1575">
      <w:pgSz w:w="11906" w:h="16838" w:code="9"/>
      <w:pgMar w:top="1440" w:right="1797" w:bottom="1440" w:left="1797" w:header="720" w:footer="720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74E82" w14:textId="77777777" w:rsidR="003E6E62" w:rsidRDefault="003E6E62" w:rsidP="002F38D7">
      <w:r>
        <w:separator/>
      </w:r>
    </w:p>
  </w:endnote>
  <w:endnote w:type="continuationSeparator" w:id="0">
    <w:p w14:paraId="0C36F0F4" w14:textId="77777777" w:rsidR="003E6E62" w:rsidRDefault="003E6E62" w:rsidP="002F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CC10D" w14:textId="77777777" w:rsidR="003E6E62" w:rsidRDefault="003E6E62" w:rsidP="002F38D7">
      <w:r>
        <w:separator/>
      </w:r>
    </w:p>
  </w:footnote>
  <w:footnote w:type="continuationSeparator" w:id="0">
    <w:p w14:paraId="4E705AA6" w14:textId="77777777" w:rsidR="003E6E62" w:rsidRDefault="003E6E62" w:rsidP="002F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2AA"/>
    <w:rsid w:val="00006FCC"/>
    <w:rsid w:val="000334B5"/>
    <w:rsid w:val="00071385"/>
    <w:rsid w:val="0008124A"/>
    <w:rsid w:val="00087353"/>
    <w:rsid w:val="00093313"/>
    <w:rsid w:val="000A7E50"/>
    <w:rsid w:val="000B300B"/>
    <w:rsid w:val="000B5CB5"/>
    <w:rsid w:val="000B648C"/>
    <w:rsid w:val="000B6AE2"/>
    <w:rsid w:val="000C0558"/>
    <w:rsid w:val="000C08E2"/>
    <w:rsid w:val="000C29B7"/>
    <w:rsid w:val="000C3C7D"/>
    <w:rsid w:val="000C7C42"/>
    <w:rsid w:val="000D2034"/>
    <w:rsid w:val="000E6402"/>
    <w:rsid w:val="000F0BD0"/>
    <w:rsid w:val="000F2F8C"/>
    <w:rsid w:val="000F3DCF"/>
    <w:rsid w:val="0011292B"/>
    <w:rsid w:val="001157EA"/>
    <w:rsid w:val="00134327"/>
    <w:rsid w:val="001373EF"/>
    <w:rsid w:val="001377ED"/>
    <w:rsid w:val="00143E4D"/>
    <w:rsid w:val="00144840"/>
    <w:rsid w:val="001608F2"/>
    <w:rsid w:val="001661C5"/>
    <w:rsid w:val="00175789"/>
    <w:rsid w:val="00186778"/>
    <w:rsid w:val="00192809"/>
    <w:rsid w:val="00197B7A"/>
    <w:rsid w:val="001A063D"/>
    <w:rsid w:val="001D59EC"/>
    <w:rsid w:val="001E649C"/>
    <w:rsid w:val="001F52C2"/>
    <w:rsid w:val="0022070A"/>
    <w:rsid w:val="00231496"/>
    <w:rsid w:val="00245576"/>
    <w:rsid w:val="00247ABC"/>
    <w:rsid w:val="00263A65"/>
    <w:rsid w:val="002710A0"/>
    <w:rsid w:val="002918A2"/>
    <w:rsid w:val="002926AD"/>
    <w:rsid w:val="00293E19"/>
    <w:rsid w:val="002A65C6"/>
    <w:rsid w:val="002A68F2"/>
    <w:rsid w:val="002B1575"/>
    <w:rsid w:val="002B2C09"/>
    <w:rsid w:val="002C265F"/>
    <w:rsid w:val="002C2F5E"/>
    <w:rsid w:val="002D0715"/>
    <w:rsid w:val="002E48CA"/>
    <w:rsid w:val="002F38D7"/>
    <w:rsid w:val="002F6560"/>
    <w:rsid w:val="0030043B"/>
    <w:rsid w:val="00304F1F"/>
    <w:rsid w:val="003057F3"/>
    <w:rsid w:val="00311E26"/>
    <w:rsid w:val="003134D0"/>
    <w:rsid w:val="00313900"/>
    <w:rsid w:val="00321DEA"/>
    <w:rsid w:val="00323021"/>
    <w:rsid w:val="00325BC5"/>
    <w:rsid w:val="0033402E"/>
    <w:rsid w:val="00347617"/>
    <w:rsid w:val="0035018F"/>
    <w:rsid w:val="00352921"/>
    <w:rsid w:val="00383939"/>
    <w:rsid w:val="00391EF2"/>
    <w:rsid w:val="003A2631"/>
    <w:rsid w:val="003A7A1B"/>
    <w:rsid w:val="003B41D2"/>
    <w:rsid w:val="003C07F9"/>
    <w:rsid w:val="003D0FAF"/>
    <w:rsid w:val="003D163D"/>
    <w:rsid w:val="003D37B9"/>
    <w:rsid w:val="003D5A4F"/>
    <w:rsid w:val="003D6467"/>
    <w:rsid w:val="003E6E62"/>
    <w:rsid w:val="003F0564"/>
    <w:rsid w:val="003F13C5"/>
    <w:rsid w:val="00404BFF"/>
    <w:rsid w:val="00406EE5"/>
    <w:rsid w:val="004126FF"/>
    <w:rsid w:val="00413975"/>
    <w:rsid w:val="00427A38"/>
    <w:rsid w:val="004300BA"/>
    <w:rsid w:val="00443B6A"/>
    <w:rsid w:val="00454666"/>
    <w:rsid w:val="00454F86"/>
    <w:rsid w:val="00455B53"/>
    <w:rsid w:val="00462AFF"/>
    <w:rsid w:val="00473869"/>
    <w:rsid w:val="00480596"/>
    <w:rsid w:val="00484EAA"/>
    <w:rsid w:val="00493F0D"/>
    <w:rsid w:val="004A0AFC"/>
    <w:rsid w:val="004A45A8"/>
    <w:rsid w:val="004B247D"/>
    <w:rsid w:val="004B4271"/>
    <w:rsid w:val="004B4E7A"/>
    <w:rsid w:val="004C3BDE"/>
    <w:rsid w:val="00537CEA"/>
    <w:rsid w:val="0054254F"/>
    <w:rsid w:val="0055104E"/>
    <w:rsid w:val="00554CA2"/>
    <w:rsid w:val="00556C5F"/>
    <w:rsid w:val="00563234"/>
    <w:rsid w:val="00571ECF"/>
    <w:rsid w:val="00573E5E"/>
    <w:rsid w:val="00595395"/>
    <w:rsid w:val="005B242A"/>
    <w:rsid w:val="005B3FE3"/>
    <w:rsid w:val="005B5215"/>
    <w:rsid w:val="005D31A9"/>
    <w:rsid w:val="005E5784"/>
    <w:rsid w:val="005F375C"/>
    <w:rsid w:val="005F70BC"/>
    <w:rsid w:val="00610A2E"/>
    <w:rsid w:val="0061174B"/>
    <w:rsid w:val="00615A5C"/>
    <w:rsid w:val="00620A6F"/>
    <w:rsid w:val="00626113"/>
    <w:rsid w:val="00627F65"/>
    <w:rsid w:val="00635DFB"/>
    <w:rsid w:val="0064555D"/>
    <w:rsid w:val="00653980"/>
    <w:rsid w:val="00654FAA"/>
    <w:rsid w:val="00656B74"/>
    <w:rsid w:val="00661C2A"/>
    <w:rsid w:val="006712AA"/>
    <w:rsid w:val="00682C09"/>
    <w:rsid w:val="006945FC"/>
    <w:rsid w:val="006A5865"/>
    <w:rsid w:val="006A7D7D"/>
    <w:rsid w:val="006B0326"/>
    <w:rsid w:val="006B37EB"/>
    <w:rsid w:val="006C58C8"/>
    <w:rsid w:val="006D0292"/>
    <w:rsid w:val="006D21C4"/>
    <w:rsid w:val="006D4C76"/>
    <w:rsid w:val="006D4E2D"/>
    <w:rsid w:val="006D631C"/>
    <w:rsid w:val="006E3C53"/>
    <w:rsid w:val="006F04BA"/>
    <w:rsid w:val="00710028"/>
    <w:rsid w:val="00720C3A"/>
    <w:rsid w:val="00722C4C"/>
    <w:rsid w:val="00737B6F"/>
    <w:rsid w:val="00740000"/>
    <w:rsid w:val="007443AE"/>
    <w:rsid w:val="0074500D"/>
    <w:rsid w:val="00771514"/>
    <w:rsid w:val="00772ADF"/>
    <w:rsid w:val="007750BA"/>
    <w:rsid w:val="007811A1"/>
    <w:rsid w:val="00785D89"/>
    <w:rsid w:val="0079490A"/>
    <w:rsid w:val="007977C3"/>
    <w:rsid w:val="007B4FB7"/>
    <w:rsid w:val="007B7CB3"/>
    <w:rsid w:val="007B7E69"/>
    <w:rsid w:val="007C0E86"/>
    <w:rsid w:val="007C7E9A"/>
    <w:rsid w:val="007D7C2C"/>
    <w:rsid w:val="007F030D"/>
    <w:rsid w:val="00800225"/>
    <w:rsid w:val="0081167B"/>
    <w:rsid w:val="00811E3D"/>
    <w:rsid w:val="008325C5"/>
    <w:rsid w:val="00833CE2"/>
    <w:rsid w:val="008356CC"/>
    <w:rsid w:val="0083752B"/>
    <w:rsid w:val="008466C5"/>
    <w:rsid w:val="00846C20"/>
    <w:rsid w:val="0085405C"/>
    <w:rsid w:val="0085584F"/>
    <w:rsid w:val="00863192"/>
    <w:rsid w:val="00866A61"/>
    <w:rsid w:val="00876958"/>
    <w:rsid w:val="00880975"/>
    <w:rsid w:val="00883FAE"/>
    <w:rsid w:val="008941D6"/>
    <w:rsid w:val="008B124F"/>
    <w:rsid w:val="008B5A45"/>
    <w:rsid w:val="008C52FB"/>
    <w:rsid w:val="008D21B1"/>
    <w:rsid w:val="008D2D64"/>
    <w:rsid w:val="008D4B0B"/>
    <w:rsid w:val="008D52DF"/>
    <w:rsid w:val="008D6553"/>
    <w:rsid w:val="008F388A"/>
    <w:rsid w:val="008F73D7"/>
    <w:rsid w:val="009278B8"/>
    <w:rsid w:val="00935D83"/>
    <w:rsid w:val="009563D2"/>
    <w:rsid w:val="00961F56"/>
    <w:rsid w:val="0096201B"/>
    <w:rsid w:val="00974799"/>
    <w:rsid w:val="00990C7F"/>
    <w:rsid w:val="009A10BA"/>
    <w:rsid w:val="009A2CBE"/>
    <w:rsid w:val="009A609B"/>
    <w:rsid w:val="009D4D68"/>
    <w:rsid w:val="009E01CB"/>
    <w:rsid w:val="009E527C"/>
    <w:rsid w:val="009F187E"/>
    <w:rsid w:val="009F6855"/>
    <w:rsid w:val="00A0034D"/>
    <w:rsid w:val="00A13388"/>
    <w:rsid w:val="00A15594"/>
    <w:rsid w:val="00A34CCA"/>
    <w:rsid w:val="00A41592"/>
    <w:rsid w:val="00A47E87"/>
    <w:rsid w:val="00A85BB7"/>
    <w:rsid w:val="00A8668D"/>
    <w:rsid w:val="00A90E5C"/>
    <w:rsid w:val="00A912C3"/>
    <w:rsid w:val="00A946E2"/>
    <w:rsid w:val="00A9552C"/>
    <w:rsid w:val="00A9605F"/>
    <w:rsid w:val="00AC2466"/>
    <w:rsid w:val="00AD08EF"/>
    <w:rsid w:val="00AE482D"/>
    <w:rsid w:val="00AE70B8"/>
    <w:rsid w:val="00AE797A"/>
    <w:rsid w:val="00AF29F7"/>
    <w:rsid w:val="00B36A8A"/>
    <w:rsid w:val="00B3707E"/>
    <w:rsid w:val="00B3718B"/>
    <w:rsid w:val="00B472E1"/>
    <w:rsid w:val="00B6557E"/>
    <w:rsid w:val="00B65C8E"/>
    <w:rsid w:val="00B71F38"/>
    <w:rsid w:val="00B74B6B"/>
    <w:rsid w:val="00BA0B59"/>
    <w:rsid w:val="00BA13E5"/>
    <w:rsid w:val="00BB1B54"/>
    <w:rsid w:val="00BB3215"/>
    <w:rsid w:val="00BC16C6"/>
    <w:rsid w:val="00BC7304"/>
    <w:rsid w:val="00BD2129"/>
    <w:rsid w:val="00BD7E97"/>
    <w:rsid w:val="00BE247D"/>
    <w:rsid w:val="00BE3C84"/>
    <w:rsid w:val="00BE4D90"/>
    <w:rsid w:val="00C003CE"/>
    <w:rsid w:val="00C07D2B"/>
    <w:rsid w:val="00C17543"/>
    <w:rsid w:val="00C177F7"/>
    <w:rsid w:val="00C230E5"/>
    <w:rsid w:val="00C2428A"/>
    <w:rsid w:val="00C319B5"/>
    <w:rsid w:val="00C343BB"/>
    <w:rsid w:val="00C437CA"/>
    <w:rsid w:val="00C46898"/>
    <w:rsid w:val="00C738F0"/>
    <w:rsid w:val="00C7729E"/>
    <w:rsid w:val="00C843E0"/>
    <w:rsid w:val="00CB52A0"/>
    <w:rsid w:val="00CD422E"/>
    <w:rsid w:val="00CD4264"/>
    <w:rsid w:val="00CD7435"/>
    <w:rsid w:val="00CE141D"/>
    <w:rsid w:val="00CE1476"/>
    <w:rsid w:val="00CE76F1"/>
    <w:rsid w:val="00CF7094"/>
    <w:rsid w:val="00D101A5"/>
    <w:rsid w:val="00D22CC4"/>
    <w:rsid w:val="00D24652"/>
    <w:rsid w:val="00D30EBD"/>
    <w:rsid w:val="00D422C7"/>
    <w:rsid w:val="00D72DA2"/>
    <w:rsid w:val="00D73EE5"/>
    <w:rsid w:val="00D953D8"/>
    <w:rsid w:val="00DA686B"/>
    <w:rsid w:val="00DB0236"/>
    <w:rsid w:val="00DB22E2"/>
    <w:rsid w:val="00DB4B6D"/>
    <w:rsid w:val="00DB6AE5"/>
    <w:rsid w:val="00DD6096"/>
    <w:rsid w:val="00DF7B41"/>
    <w:rsid w:val="00E02403"/>
    <w:rsid w:val="00E06EA9"/>
    <w:rsid w:val="00E1378D"/>
    <w:rsid w:val="00E1513D"/>
    <w:rsid w:val="00E164A0"/>
    <w:rsid w:val="00E16A80"/>
    <w:rsid w:val="00E51782"/>
    <w:rsid w:val="00E536AE"/>
    <w:rsid w:val="00E63560"/>
    <w:rsid w:val="00E667FA"/>
    <w:rsid w:val="00E671A4"/>
    <w:rsid w:val="00E704FB"/>
    <w:rsid w:val="00E7326E"/>
    <w:rsid w:val="00E9053B"/>
    <w:rsid w:val="00E94FF5"/>
    <w:rsid w:val="00E97A8C"/>
    <w:rsid w:val="00EC1463"/>
    <w:rsid w:val="00EC230B"/>
    <w:rsid w:val="00EC398D"/>
    <w:rsid w:val="00ED38A2"/>
    <w:rsid w:val="00ED3FB6"/>
    <w:rsid w:val="00ED4811"/>
    <w:rsid w:val="00EE036D"/>
    <w:rsid w:val="00EE3FCF"/>
    <w:rsid w:val="00EF6E83"/>
    <w:rsid w:val="00F059EB"/>
    <w:rsid w:val="00F06A6E"/>
    <w:rsid w:val="00F07207"/>
    <w:rsid w:val="00F111BC"/>
    <w:rsid w:val="00F14098"/>
    <w:rsid w:val="00F36CAF"/>
    <w:rsid w:val="00F3777D"/>
    <w:rsid w:val="00F60433"/>
    <w:rsid w:val="00F737C3"/>
    <w:rsid w:val="00F8589F"/>
    <w:rsid w:val="00F944C1"/>
    <w:rsid w:val="00FA2FC4"/>
    <w:rsid w:val="00FB7A95"/>
    <w:rsid w:val="00FC0EFE"/>
    <w:rsid w:val="00FC5EDA"/>
    <w:rsid w:val="00FD2032"/>
    <w:rsid w:val="00FD2E89"/>
    <w:rsid w:val="00FD781F"/>
    <w:rsid w:val="00FD7A19"/>
    <w:rsid w:val="00FE0AD2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844F7"/>
  <w15:chartTrackingRefBased/>
  <w15:docId w15:val="{5A5E85D0-74DB-4E37-A278-4666810A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575"/>
    <w:pPr>
      <w:jc w:val="both"/>
      <w:textAlignment w:val="baseline"/>
    </w:pPr>
    <w:rPr>
      <w:rFonts w:ascii="Arial" w:hAnsi="Arial" w:cs="Times New Roman"/>
      <w:sz w:val="20"/>
      <w:szCs w:val="24"/>
    </w:rPr>
  </w:style>
  <w:style w:type="paragraph" w:styleId="3">
    <w:name w:val="heading 3"/>
    <w:basedOn w:val="a"/>
    <w:next w:val="a"/>
    <w:link w:val="30"/>
    <w:unhideWhenUsed/>
    <w:qFormat/>
    <w:rsid w:val="00245576"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8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8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8D7"/>
    <w:rPr>
      <w:sz w:val="18"/>
      <w:szCs w:val="18"/>
    </w:rPr>
  </w:style>
  <w:style w:type="character" w:customStyle="1" w:styleId="NormalCharacter">
    <w:name w:val="NormalCharacter"/>
    <w:semiHidden/>
    <w:qFormat/>
    <w:rsid w:val="002F38D7"/>
  </w:style>
  <w:style w:type="character" w:customStyle="1" w:styleId="font21">
    <w:name w:val="font21"/>
    <w:basedOn w:val="a0"/>
    <w:rsid w:val="002F38D7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rsid w:val="002F38D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7">
    <w:name w:val="annotation reference"/>
    <w:basedOn w:val="a0"/>
    <w:rsid w:val="002F38D7"/>
    <w:rPr>
      <w:sz w:val="21"/>
      <w:szCs w:val="21"/>
    </w:rPr>
  </w:style>
  <w:style w:type="paragraph" w:styleId="a8">
    <w:name w:val="annotation text"/>
    <w:basedOn w:val="a"/>
    <w:link w:val="a9"/>
    <w:rsid w:val="002F38D7"/>
    <w:pPr>
      <w:jc w:val="left"/>
    </w:pPr>
  </w:style>
  <w:style w:type="character" w:customStyle="1" w:styleId="a9">
    <w:name w:val="批注文字 字符"/>
    <w:basedOn w:val="a0"/>
    <w:link w:val="a8"/>
    <w:rsid w:val="002F38D7"/>
    <w:rPr>
      <w:rFonts w:ascii="Calibri" w:eastAsia="宋体" w:hAnsi="Calibri" w:cs="Times New Roman"/>
      <w:szCs w:val="24"/>
    </w:rPr>
  </w:style>
  <w:style w:type="character" w:customStyle="1" w:styleId="30">
    <w:name w:val="标题 3 字符"/>
    <w:basedOn w:val="a0"/>
    <w:link w:val="3"/>
    <w:qFormat/>
    <w:rsid w:val="00245576"/>
    <w:rPr>
      <w:rFonts w:ascii="Calibri" w:eastAsia="宋体" w:hAnsi="Calibri" w:cs="Times New Roman"/>
      <w:b/>
      <w:bCs/>
      <w:sz w:val="30"/>
      <w:szCs w:val="32"/>
    </w:rPr>
  </w:style>
  <w:style w:type="table" w:styleId="aa">
    <w:name w:val="Table Grid"/>
    <w:basedOn w:val="a1"/>
    <w:uiPriority w:val="39"/>
    <w:qFormat/>
    <w:rsid w:val="00245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qFormat/>
    <w:rsid w:val="00CB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325C5"/>
    <w:pPr>
      <w:ind w:firstLineChars="200" w:firstLine="420"/>
    </w:pPr>
  </w:style>
  <w:style w:type="character" w:styleId="ac">
    <w:name w:val="line number"/>
    <w:basedOn w:val="a0"/>
    <w:uiPriority w:val="99"/>
    <w:semiHidden/>
    <w:unhideWhenUsed/>
    <w:rsid w:val="002B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子奕 刘</dc:creator>
  <cp:keywords/>
  <dc:description/>
  <cp:lastModifiedBy>子奕 刘</cp:lastModifiedBy>
  <cp:revision>23</cp:revision>
  <dcterms:created xsi:type="dcterms:W3CDTF">2024-05-28T01:40:00Z</dcterms:created>
  <dcterms:modified xsi:type="dcterms:W3CDTF">2024-10-09T08:34:00Z</dcterms:modified>
</cp:coreProperties>
</file>