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20388" w14:textId="5800645B" w:rsidR="00CF1093" w:rsidRPr="004D2FFC" w:rsidRDefault="00591050" w:rsidP="00CF1093">
      <w:pPr>
        <w:tabs>
          <w:tab w:val="left" w:pos="825"/>
        </w:tabs>
        <w:jc w:val="both"/>
        <w:rPr>
          <w:rFonts w:ascii="Times New Roman" w:hAnsi="Times New Roman"/>
          <w:color w:val="000000"/>
          <w:sz w:val="24"/>
        </w:rPr>
      </w:pPr>
      <w:r w:rsidRPr="004D2FFC">
        <w:rPr>
          <w:rFonts w:ascii="Times New Roman" w:hAnsi="Times New Roman"/>
          <w:b/>
          <w:bCs/>
          <w:color w:val="000000"/>
          <w:sz w:val="24"/>
        </w:rPr>
        <w:t>Table S1</w:t>
      </w:r>
      <w:r w:rsidR="00CF1093" w:rsidRPr="004D2FFC">
        <w:rPr>
          <w:rFonts w:ascii="Times New Roman" w:hAnsi="Times New Roman"/>
          <w:b/>
          <w:bCs/>
          <w:color w:val="000000"/>
          <w:sz w:val="24"/>
        </w:rPr>
        <w:t>. Overall objective response according to smoking history and CTFI.</w:t>
      </w:r>
    </w:p>
    <w:tbl>
      <w:tblPr>
        <w:tblW w:w="88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95"/>
        <w:gridCol w:w="1740"/>
        <w:gridCol w:w="1755"/>
        <w:gridCol w:w="1741"/>
        <w:gridCol w:w="1754"/>
      </w:tblGrid>
      <w:tr w:rsidR="00CF1093" w:rsidRPr="004D2FFC" w14:paraId="3D035383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E6BB8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7609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 xml:space="preserve">smoking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514651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CTFI</w:t>
            </w:r>
          </w:p>
        </w:tc>
      </w:tr>
      <w:tr w:rsidR="00CF1093" w:rsidRPr="004D2FFC" w14:paraId="63AC5E85" w14:textId="77777777" w:rsidTr="00194441">
        <w:trPr>
          <w:trHeight w:val="646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7AA5F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FD9ED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Never</w:t>
            </w:r>
          </w:p>
          <w:p w14:paraId="369823A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(n = 6, %)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C8D3F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 xml:space="preserve">Former/current </w:t>
            </w:r>
          </w:p>
          <w:p w14:paraId="61E3599D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(n = 28, %)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1D0EC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CTFI&gt;90</w:t>
            </w:r>
          </w:p>
          <w:p w14:paraId="7CE8D55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(n = 13, %)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E0C4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CTFI&lt;90</w:t>
            </w:r>
          </w:p>
          <w:p w14:paraId="4C39E253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(n= 21, %)</w:t>
            </w:r>
          </w:p>
        </w:tc>
      </w:tr>
      <w:tr w:rsidR="00CF1093" w:rsidRPr="004D2FFC" w14:paraId="2938CAAB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3026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2"/>
                <w:szCs w:val="22"/>
                <w:lang w:eastAsia="ko-KR"/>
              </w:rPr>
              <w:t>Objective response rate (ORR)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F634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2 (33)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0C0C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 (18)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FB93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6 (46)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0DAD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3 (14)</w:t>
            </w:r>
          </w:p>
        </w:tc>
      </w:tr>
      <w:tr w:rsidR="00CF1093" w:rsidRPr="004D2FFC" w14:paraId="406EDD07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3C41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 xml:space="preserve">ORR (2nd line)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5474C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 (17)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CEBE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4 (14)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2DDBA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3 (23)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0F61E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3 (28)</w:t>
            </w:r>
          </w:p>
        </w:tc>
      </w:tr>
      <w:tr w:rsidR="00CF1093" w:rsidRPr="004D2FFC" w14:paraId="3D1E3CDA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2206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ORR (&gt;3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position w:val="7"/>
                <w:sz w:val="22"/>
                <w:szCs w:val="22"/>
                <w:vertAlign w:val="superscript"/>
                <w:lang w:eastAsia="ko-KR"/>
              </w:rPr>
              <w:t>rd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 xml:space="preserve"> line)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1AE23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 (17)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260D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 (4)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9CFB3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4 (31)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1FDB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 (5)</w:t>
            </w:r>
          </w:p>
        </w:tc>
      </w:tr>
      <w:tr w:rsidR="00CF1093" w:rsidRPr="004D2FFC" w14:paraId="5E049656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1510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2"/>
                <w:szCs w:val="22"/>
                <w:lang w:eastAsia="ko-KR"/>
              </w:rPr>
              <w:t>Disease control rate (DCR)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E97F1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2 (33)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7D1F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14 (50)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DD8C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8 (62)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2160C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9 (43)</w:t>
            </w:r>
          </w:p>
        </w:tc>
      </w:tr>
      <w:tr w:rsidR="00CF1093" w:rsidRPr="004D2FFC" w14:paraId="2030A4A7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8421F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 xml:space="preserve">DCR (2nd line)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D9A2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 (17)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F5316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 (18)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33E1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3 (23)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1128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3 (60)</w:t>
            </w:r>
          </w:p>
        </w:tc>
      </w:tr>
      <w:tr w:rsidR="00CF1093" w:rsidRPr="004D2FFC" w14:paraId="7A51F848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96BD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DCR (&gt;3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position w:val="7"/>
                <w:sz w:val="22"/>
                <w:szCs w:val="22"/>
                <w:vertAlign w:val="superscript"/>
                <w:lang w:eastAsia="ko-KR"/>
              </w:rPr>
              <w:t>rd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 xml:space="preserve"> line)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9FFE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 (17)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B05A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9 (32)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3BA9E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 (38)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B240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 (23)</w:t>
            </w:r>
          </w:p>
        </w:tc>
      </w:tr>
      <w:tr w:rsidR="00CF1093" w:rsidRPr="004D2FFC" w14:paraId="7D2AC63A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AF6DB" w14:textId="77777777" w:rsidR="00B23098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2"/>
                <w:szCs w:val="22"/>
                <w:lang w:eastAsia="ko-KR"/>
              </w:rPr>
              <w:t>Best</w:t>
            </w:r>
            <w:r w:rsidR="00B23098"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</w:p>
          <w:p w14:paraId="35AED6E5" w14:textId="38FC8299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2"/>
                <w:szCs w:val="22"/>
                <w:lang w:eastAsia="ko-KR"/>
              </w:rPr>
              <w:t>overall response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6E909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6A994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46C28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08C1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7AAEE198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3917C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CR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129F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40CE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FAC6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66F0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</w:tr>
      <w:tr w:rsidR="00CF1093" w:rsidRPr="004D2FFC" w14:paraId="00FA34F2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173F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PR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9917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2 (6)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D219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 (15)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EAEFD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6 (38)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C19E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3 (14)</w:t>
            </w:r>
          </w:p>
        </w:tc>
      </w:tr>
      <w:tr w:rsidR="00CF1093" w:rsidRPr="004D2FFC" w14:paraId="4EB4C94B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DD7B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SD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9835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0694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9 (26)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86C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2 (23)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8EC7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6 (29)</w:t>
            </w:r>
          </w:p>
        </w:tc>
      </w:tr>
      <w:tr w:rsidR="00CF1093" w:rsidRPr="004D2FFC" w14:paraId="256B20B0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B10A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PD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97D7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4 (12)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E8EE1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14 (41)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C0901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 (38)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25F3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12 (57)</w:t>
            </w:r>
          </w:p>
        </w:tc>
      </w:tr>
      <w:tr w:rsidR="00CF1093" w:rsidRPr="004D2FFC" w14:paraId="5A1A4AFD" w14:textId="77777777" w:rsidTr="00194441">
        <w:trPr>
          <w:trHeight w:val="49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1CEC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2"/>
                <w:szCs w:val="22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2"/>
                <w:szCs w:val="22"/>
                <w:lang w:eastAsia="ko-KR"/>
              </w:rPr>
              <w:t>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5EBFA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AA73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CE6AE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A7FEC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 (0)</w:t>
            </w:r>
          </w:p>
        </w:tc>
      </w:tr>
    </w:tbl>
    <w:p w14:paraId="3DBBA5F9" w14:textId="38ACA249" w:rsidR="00CF1093" w:rsidRPr="004D2FFC" w:rsidRDefault="00CF1093" w:rsidP="00CF1093">
      <w:pPr>
        <w:tabs>
          <w:tab w:val="left" w:pos="825"/>
        </w:tabs>
        <w:jc w:val="both"/>
        <w:rPr>
          <w:rFonts w:ascii="Times New Roman" w:eastAsia="Malgun Gothic" w:hAnsi="Times New Roman"/>
          <w:color w:val="000000"/>
          <w:sz w:val="24"/>
        </w:rPr>
      </w:pPr>
      <w:r w:rsidRPr="004D2FFC">
        <w:rPr>
          <w:rFonts w:ascii="Times New Roman" w:hAnsi="Times New Roman"/>
          <w:color w:val="000000"/>
          <w:sz w:val="24"/>
        </w:rPr>
        <w:t>Numerical values are presented as percentage</w:t>
      </w:r>
      <w:r w:rsidRPr="004D2FFC">
        <w:rPr>
          <w:rFonts w:ascii="Times New Roman" w:eastAsia="Malgun Gothic" w:hAnsi="Times New Roman"/>
          <w:color w:val="000000"/>
          <w:sz w:val="24"/>
        </w:rPr>
        <w:t xml:space="preserve">s (%) or medians (ranges). CR, complete response; PR, partial response; SD, stable disease; PD, progressive disease. The </w:t>
      </w:r>
      <w:r w:rsidRPr="004D2FFC">
        <w:rPr>
          <w:rFonts w:ascii="Times New Roman" w:hAnsi="Times New Roman"/>
          <w:color w:val="000000"/>
          <w:sz w:val="24"/>
        </w:rPr>
        <w:t>objective response rate</w:t>
      </w:r>
      <w:r w:rsidRPr="004D2FFC">
        <w:rPr>
          <w:rFonts w:ascii="Times New Roman" w:eastAsia="Malgun Gothic" w:hAnsi="Times New Roman"/>
          <w:color w:val="000000"/>
          <w:sz w:val="24"/>
        </w:rPr>
        <w:t xml:space="preserve">s (ORR) </w:t>
      </w:r>
      <w:r w:rsidRPr="004D2FFC">
        <w:rPr>
          <w:rFonts w:ascii="Times New Roman" w:hAnsi="Times New Roman"/>
          <w:color w:val="000000"/>
          <w:sz w:val="24"/>
        </w:rPr>
        <w:t>were CR and PR; Disease control rate</w:t>
      </w:r>
      <w:r w:rsidRPr="004D2FFC">
        <w:rPr>
          <w:rFonts w:ascii="Times New Roman" w:eastAsia="Malgun Gothic" w:hAnsi="Times New Roman"/>
          <w:color w:val="000000"/>
          <w:sz w:val="24"/>
        </w:rPr>
        <w:t xml:space="preserve">s (DCR) </w:t>
      </w:r>
      <w:r w:rsidRPr="004D2FFC">
        <w:rPr>
          <w:rFonts w:ascii="Times New Roman" w:hAnsi="Times New Roman"/>
          <w:color w:val="000000"/>
          <w:sz w:val="24"/>
        </w:rPr>
        <w:t>were CR, PR</w:t>
      </w:r>
      <w:r w:rsidRPr="004D2FFC">
        <w:rPr>
          <w:rFonts w:ascii="Times New Roman" w:eastAsia="Malgun Gothic" w:hAnsi="Times New Roman"/>
          <w:color w:val="000000"/>
          <w:sz w:val="24"/>
        </w:rPr>
        <w:t xml:space="preserve">, and SD. </w:t>
      </w:r>
    </w:p>
    <w:p w14:paraId="51DAAE53" w14:textId="4D5E7DE5" w:rsidR="00CF1093" w:rsidRPr="004D2FFC" w:rsidRDefault="00CF1093" w:rsidP="00CF1093">
      <w:pPr>
        <w:tabs>
          <w:tab w:val="left" w:pos="825"/>
        </w:tabs>
        <w:jc w:val="both"/>
        <w:rPr>
          <w:rFonts w:ascii="Times New Roman" w:eastAsia="Malgun Gothic" w:hAnsi="Times New Roman"/>
          <w:color w:val="000000"/>
          <w:sz w:val="24"/>
        </w:rPr>
      </w:pPr>
    </w:p>
    <w:p w14:paraId="3D108891" w14:textId="64063C74" w:rsidR="00CF1093" w:rsidRPr="004D2FFC" w:rsidRDefault="00CF1093" w:rsidP="00CF1093">
      <w:pPr>
        <w:tabs>
          <w:tab w:val="left" w:pos="825"/>
        </w:tabs>
        <w:jc w:val="both"/>
        <w:rPr>
          <w:rFonts w:ascii="Times New Roman" w:eastAsia="Malgun Gothic" w:hAnsi="Times New Roman"/>
          <w:color w:val="000000"/>
          <w:sz w:val="24"/>
        </w:rPr>
      </w:pPr>
    </w:p>
    <w:p w14:paraId="5E4A2A98" w14:textId="77777777" w:rsidR="00F4319D" w:rsidRPr="004D2FFC" w:rsidRDefault="00F4319D" w:rsidP="00CF1093">
      <w:pPr>
        <w:tabs>
          <w:tab w:val="left" w:pos="825"/>
        </w:tabs>
        <w:jc w:val="both"/>
        <w:rPr>
          <w:rFonts w:ascii="Times New Roman" w:eastAsia="Malgun Gothic" w:hAnsi="Times New Roman"/>
          <w:color w:val="000000"/>
          <w:sz w:val="24"/>
        </w:rPr>
      </w:pPr>
    </w:p>
    <w:p w14:paraId="2E608A40" w14:textId="77777777" w:rsidR="00096075" w:rsidRPr="004D2FFC" w:rsidRDefault="00096075" w:rsidP="00CF1093">
      <w:pPr>
        <w:tabs>
          <w:tab w:val="left" w:pos="825"/>
        </w:tabs>
        <w:jc w:val="both"/>
        <w:rPr>
          <w:rFonts w:ascii="Times New Roman" w:eastAsia="Malgun Gothic" w:hAnsi="Times New Roman"/>
          <w:color w:val="000000"/>
          <w:sz w:val="24"/>
        </w:rPr>
      </w:pPr>
    </w:p>
    <w:p w14:paraId="62DB2808" w14:textId="0BDE4F54" w:rsidR="00CF1093" w:rsidRPr="004D2FFC" w:rsidRDefault="009D1974" w:rsidP="00CF1093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4D2FFC">
        <w:rPr>
          <w:rFonts w:ascii="Times New Roman" w:hAnsi="Times New Roman"/>
          <w:b/>
          <w:bCs/>
          <w:color w:val="000000"/>
          <w:sz w:val="24"/>
        </w:rPr>
        <w:lastRenderedPageBreak/>
        <w:t>T</w:t>
      </w:r>
      <w:r w:rsidR="00CF1093" w:rsidRPr="004D2FFC">
        <w:rPr>
          <w:rFonts w:ascii="Times New Roman" w:hAnsi="Times New Roman"/>
          <w:b/>
          <w:bCs/>
          <w:color w:val="000000"/>
          <w:sz w:val="24"/>
        </w:rPr>
        <w:t xml:space="preserve">able </w:t>
      </w:r>
      <w:r w:rsidRPr="004D2FFC">
        <w:rPr>
          <w:rFonts w:ascii="Times New Roman" w:hAnsi="Times New Roman"/>
          <w:b/>
          <w:bCs/>
          <w:color w:val="000000"/>
          <w:sz w:val="24"/>
        </w:rPr>
        <w:t>S</w:t>
      </w:r>
      <w:r w:rsidR="00CF1093" w:rsidRPr="004D2FFC">
        <w:rPr>
          <w:rFonts w:ascii="Times New Roman" w:hAnsi="Times New Roman"/>
          <w:b/>
          <w:bCs/>
          <w:color w:val="000000"/>
          <w:sz w:val="24"/>
        </w:rPr>
        <w:t>2. Cox proportional hazard regression for PFS</w:t>
      </w:r>
    </w:p>
    <w:tbl>
      <w:tblPr>
        <w:tblW w:w="88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7"/>
        <w:gridCol w:w="1757"/>
        <w:gridCol w:w="1644"/>
        <w:gridCol w:w="1643"/>
        <w:gridCol w:w="1645"/>
      </w:tblGrid>
      <w:tr w:rsidR="00CF1093" w:rsidRPr="004D2FFC" w14:paraId="1380307A" w14:textId="77777777" w:rsidTr="00194441">
        <w:trPr>
          <w:trHeight w:val="397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BAE4D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A68F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Reference</w:t>
            </w:r>
          </w:p>
        </w:tc>
        <w:tc>
          <w:tcPr>
            <w:tcW w:w="49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9668E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Cox-regression analysis</w:t>
            </w:r>
          </w:p>
        </w:tc>
      </w:tr>
      <w:tr w:rsidR="00CF1093" w:rsidRPr="004D2FFC" w14:paraId="74A3BC0D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07876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3AA0CED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EB391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Hazard ratio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BA8DA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95% CI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9919A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P val</w:t>
            </w:r>
          </w:p>
        </w:tc>
      </w:tr>
      <w:tr w:rsidR="00CF1093" w:rsidRPr="004D2FFC" w14:paraId="5B01D4BA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2295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Age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90117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BAD52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4CDB9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50F1E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323358BD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AD3CF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 xml:space="preserve">&lt;75 yr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CB02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Malgun Gothic" w:hAnsi="Times New Roman"/>
                <w:color w:val="000000"/>
                <w:kern w:val="24"/>
                <w:sz w:val="24"/>
                <w:lang w:eastAsia="ko-KR"/>
              </w:rPr>
              <w:t>≥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75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E76B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0.92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C832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0.86 to 0.98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03CA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0.008</w:t>
            </w:r>
          </w:p>
        </w:tc>
      </w:tr>
      <w:tr w:rsidR="00CF1093" w:rsidRPr="004D2FFC" w14:paraId="453FA489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0197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Sex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E8730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4E786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2C429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C59D9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7B03C061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7F94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Male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30D0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female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6D501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5.27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6419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1.54 to 21.44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ED023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0.01</w:t>
            </w:r>
          </w:p>
        </w:tc>
      </w:tr>
      <w:tr w:rsidR="00CF1093" w:rsidRPr="004D2FFC" w14:paraId="14B5A982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8383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Smoking history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1238B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D609E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04E0F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F8C4A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37EE8DB8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4A3AA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Never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7768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Former/current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A83EA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0.98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3794E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0.94 to 1.01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1823F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0.174</w:t>
            </w:r>
          </w:p>
        </w:tc>
      </w:tr>
      <w:tr w:rsidR="00CF1093" w:rsidRPr="004D2FFC" w14:paraId="4C5410D1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F95B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Stages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FB7CB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ABB90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A74D4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0CA0D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05C900E2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5EF53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LD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B355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ED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A43E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0.18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44D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0.04 to 0.67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9EE5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0.01</w:t>
            </w:r>
          </w:p>
        </w:tc>
      </w:tr>
      <w:tr w:rsidR="00CF1093" w:rsidRPr="004D2FFC" w14:paraId="5B942DCF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394F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Brain metastasis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6069E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8BB29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0CC9D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69022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3C7E252B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E46A6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Yes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93016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No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6976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0.25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B3B5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0.01 to 0.9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021D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0.06</w:t>
            </w:r>
          </w:p>
        </w:tc>
      </w:tr>
      <w:tr w:rsidR="00CF1093" w:rsidRPr="004D2FFC" w14:paraId="5F343BF8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4BF1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Liver metastasis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36804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A1DB2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21100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316F2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45E2A0B6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D952C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Yes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0B16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No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245A2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8.00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63ECD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0.10 to 0.65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42E58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&lt;0.01</w:t>
            </w:r>
          </w:p>
        </w:tc>
      </w:tr>
      <w:tr w:rsidR="00CF1093" w:rsidRPr="004D2FFC" w14:paraId="3CFDDD40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C4F8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CTFI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450C6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BAE7F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20DA2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1F557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3B3FA2A5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DC78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&lt;90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B5EE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Malgun Gothic" w:hAnsi="Times New Roman"/>
                <w:color w:val="000000"/>
                <w:kern w:val="24"/>
                <w:sz w:val="24"/>
                <w:lang w:eastAsia="ko-KR"/>
              </w:rPr>
              <w:t>≥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90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3AE70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1.01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7CA4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1.01 to 1.04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85D49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&lt;0.01</w:t>
            </w:r>
          </w:p>
        </w:tc>
      </w:tr>
      <w:tr w:rsidR="00CF1093" w:rsidRPr="004D2FFC" w14:paraId="10184BBE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F67B7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b/>
                <w:bCs/>
                <w:color w:val="000000"/>
                <w:kern w:val="24"/>
                <w:sz w:val="24"/>
                <w:lang w:eastAsia="ko-KR"/>
              </w:rPr>
              <w:t>Line of lurbinectedin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A8DCD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EE5C4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14016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44218" w14:textId="77777777" w:rsidR="00CF1093" w:rsidRPr="004D2FFC" w:rsidRDefault="00CF1093" w:rsidP="0019444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CF1093" w:rsidRPr="004D2FFC" w14:paraId="5B340E8F" w14:textId="77777777" w:rsidTr="00194441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E744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Malgun Gothic" w:hAnsi="Times New Roman"/>
                <w:color w:val="000000"/>
                <w:kern w:val="24"/>
                <w:sz w:val="24"/>
                <w:lang w:eastAsia="ko-KR"/>
              </w:rPr>
              <w:t>≤</w:t>
            </w: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F300B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&gt;2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2D995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0.95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1FCD4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0.60 to 1.50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D005E" w14:textId="77777777" w:rsidR="00CF1093" w:rsidRPr="004D2FFC" w:rsidRDefault="00CF1093" w:rsidP="00194441">
            <w:pPr>
              <w:wordWrap w:val="0"/>
              <w:spacing w:line="240" w:lineRule="auto"/>
              <w:jc w:val="both"/>
              <w:rPr>
                <w:rFonts w:ascii="Times New Roman" w:eastAsia="Gulim" w:hAnsi="Times New Roman"/>
                <w:color w:val="000000"/>
                <w:sz w:val="24"/>
                <w:lang w:eastAsia="ko-KR"/>
              </w:rPr>
            </w:pPr>
            <w:r w:rsidRPr="004D2FFC">
              <w:rPr>
                <w:rFonts w:ascii="Times New Roman" w:eastAsia="Gulim" w:hAnsi="Times New Roman"/>
                <w:color w:val="000000"/>
                <w:kern w:val="24"/>
                <w:sz w:val="24"/>
                <w:lang w:eastAsia="ko-KR"/>
              </w:rPr>
              <w:t>0.83</w:t>
            </w:r>
          </w:p>
        </w:tc>
      </w:tr>
    </w:tbl>
    <w:p w14:paraId="771F70D1" w14:textId="77777777" w:rsidR="00CF1093" w:rsidRPr="004D2FFC" w:rsidRDefault="00CF1093" w:rsidP="00CF1093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0C37FF36" w14:textId="77777777" w:rsidR="00CF1093" w:rsidRPr="004D2FFC" w:rsidRDefault="00CF1093" w:rsidP="00CF1093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5B4662B4" w14:textId="3E53FC5E" w:rsidR="00CF1093" w:rsidRPr="004D2FFC" w:rsidRDefault="00CF1093" w:rsidP="00CF1093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370565E2" w14:textId="652270BB" w:rsidR="00CF1093" w:rsidRPr="004D2FFC" w:rsidRDefault="00CF1093" w:rsidP="00CF1093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1C75717A" w14:textId="608F14A2" w:rsidR="00F97DB4" w:rsidRPr="004D2FFC" w:rsidRDefault="00F97DB4">
      <w:pPr>
        <w:rPr>
          <w:rFonts w:ascii="Times New Roman" w:hAnsi="Times New Roman"/>
          <w:color w:val="000000"/>
          <w:sz w:val="24"/>
        </w:rPr>
      </w:pPr>
    </w:p>
    <w:p w14:paraId="51AE8E96" w14:textId="41842FA5" w:rsidR="00F97DB4" w:rsidRPr="004D2FFC" w:rsidRDefault="00196CC2" w:rsidP="00F97DB4">
      <w:pPr>
        <w:rPr>
          <w:rFonts w:ascii="Times New Roman" w:hAnsi="Times New Roman"/>
          <w:color w:val="000000"/>
          <w:sz w:val="24"/>
        </w:rPr>
      </w:pPr>
      <w:r w:rsidRPr="004D2FFC">
        <w:rPr>
          <w:rFonts w:ascii="Times New Roman" w:hAnsi="Times New Roman"/>
          <w:color w:val="000000"/>
          <w:sz w:val="24"/>
        </w:rPr>
        <w:lastRenderedPageBreak/>
        <w:drawing>
          <wp:inline distT="0" distB="0" distL="0" distR="0" wp14:anchorId="07249DB8" wp14:editId="47DD1C40">
            <wp:extent cx="5731510" cy="2088515"/>
            <wp:effectExtent l="0" t="0" r="0" b="0"/>
            <wp:docPr id="2" name="그림 2" descr="어둠, 블랙, 지도, 밤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어둠, 블랙, 지도, 밤이(가) 표시된 사진&#10;&#10;자동 생성된 설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03A9" w14:textId="1673BC28" w:rsidR="00F97DB4" w:rsidRPr="004D2FFC" w:rsidRDefault="00B37257" w:rsidP="00F97DB4">
      <w:pPr>
        <w:rPr>
          <w:rFonts w:ascii="Times New Roman" w:hAnsi="Times New Roman"/>
          <w:color w:val="000000"/>
          <w:sz w:val="24"/>
        </w:rPr>
      </w:pPr>
      <w:r w:rsidRPr="004D2FFC">
        <w:rPr>
          <w:rFonts w:ascii="Times New Roman" w:hAnsi="Times New Roman"/>
          <w:b/>
          <w:bCs/>
          <w:color w:val="000000"/>
          <w:sz w:val="24"/>
        </w:rPr>
        <w:t>Figure</w:t>
      </w:r>
      <w:r w:rsidR="00F97DB4" w:rsidRPr="004D2FFC">
        <w:rPr>
          <w:rFonts w:ascii="Times New Roman" w:hAnsi="Times New Roman"/>
          <w:b/>
          <w:bCs/>
          <w:color w:val="000000"/>
          <w:sz w:val="24"/>
        </w:rPr>
        <w:t xml:space="preserve">. </w:t>
      </w:r>
      <w:r w:rsidRPr="004D2FFC">
        <w:rPr>
          <w:rFonts w:ascii="Times New Roman" w:hAnsi="Times New Roman"/>
          <w:b/>
          <w:bCs/>
          <w:color w:val="000000"/>
          <w:sz w:val="24"/>
        </w:rPr>
        <w:t>S</w:t>
      </w:r>
      <w:r w:rsidR="00F97DB4" w:rsidRPr="004D2FFC">
        <w:rPr>
          <w:rFonts w:ascii="Times New Roman" w:hAnsi="Times New Roman"/>
          <w:b/>
          <w:bCs/>
          <w:color w:val="000000"/>
          <w:sz w:val="24"/>
        </w:rPr>
        <w:t>1.</w:t>
      </w:r>
      <w:r w:rsidR="00F97DB4" w:rsidRPr="004D2FFC">
        <w:rPr>
          <w:rFonts w:ascii="Times New Roman" w:hAnsi="Times New Roman"/>
          <w:color w:val="000000"/>
          <w:sz w:val="24"/>
        </w:rPr>
        <w:t xml:space="preserve"> Progression free survival (A) and overall survival (B) according to smoking history </w:t>
      </w:r>
    </w:p>
    <w:p w14:paraId="2C1624D7" w14:textId="77777777" w:rsidR="00F97DB4" w:rsidRPr="004D2FFC" w:rsidRDefault="00F97DB4" w:rsidP="00F97DB4">
      <w:pPr>
        <w:rPr>
          <w:rFonts w:ascii="Times New Roman" w:hAnsi="Times New Roman"/>
          <w:color w:val="000000"/>
          <w:sz w:val="24"/>
        </w:rPr>
      </w:pPr>
    </w:p>
    <w:p w14:paraId="689019A7" w14:textId="60E3D51D" w:rsidR="00F97DB4" w:rsidRPr="004D2FFC" w:rsidRDefault="00196CC2" w:rsidP="00F97DB4">
      <w:pPr>
        <w:rPr>
          <w:rFonts w:ascii="Times New Roman" w:hAnsi="Times New Roman"/>
          <w:color w:val="000000"/>
          <w:sz w:val="24"/>
        </w:rPr>
      </w:pPr>
      <w:r w:rsidRPr="004D2FFC">
        <w:rPr>
          <w:rFonts w:ascii="Times New Roman" w:hAnsi="Times New Roman"/>
          <w:b/>
          <w:bCs/>
          <w:color w:val="000000"/>
          <w:sz w:val="24"/>
        </w:rPr>
        <w:drawing>
          <wp:inline distT="0" distB="0" distL="0" distR="0" wp14:anchorId="1F739660" wp14:editId="57D2AA53">
            <wp:extent cx="5721242" cy="2156400"/>
            <wp:effectExtent l="0" t="0" r="0" b="0"/>
            <wp:docPr id="1" name="그림 1" descr="스크린샷, 어둠, 블랙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스크린샷, 어둠, 블랙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242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1BCB" w14:textId="50C7A539" w:rsidR="00F97DB4" w:rsidRPr="004D2FFC" w:rsidRDefault="00B37257" w:rsidP="00F97DB4">
      <w:pPr>
        <w:rPr>
          <w:rFonts w:ascii="Times New Roman" w:hAnsi="Times New Roman"/>
          <w:color w:val="000000"/>
          <w:sz w:val="24"/>
        </w:rPr>
      </w:pPr>
      <w:r w:rsidRPr="004D2FFC">
        <w:rPr>
          <w:rFonts w:ascii="Times New Roman" w:hAnsi="Times New Roman"/>
          <w:b/>
          <w:bCs/>
          <w:color w:val="000000"/>
          <w:sz w:val="24"/>
        </w:rPr>
        <w:t>Figure</w:t>
      </w:r>
      <w:r w:rsidR="00F97DB4" w:rsidRPr="004D2FFC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451845" w:rsidRPr="004D2FFC">
        <w:rPr>
          <w:rFonts w:ascii="Times New Roman" w:hAnsi="Times New Roman"/>
          <w:b/>
          <w:bCs/>
          <w:color w:val="000000"/>
          <w:sz w:val="24"/>
        </w:rPr>
        <w:t>S</w:t>
      </w:r>
      <w:r w:rsidR="00F97DB4" w:rsidRPr="004D2FFC">
        <w:rPr>
          <w:rFonts w:ascii="Times New Roman" w:hAnsi="Times New Roman"/>
          <w:b/>
          <w:bCs/>
          <w:color w:val="000000"/>
          <w:sz w:val="24"/>
        </w:rPr>
        <w:t>2.</w:t>
      </w:r>
      <w:r w:rsidR="00F97DB4" w:rsidRPr="004D2FFC">
        <w:rPr>
          <w:rFonts w:ascii="Times New Roman" w:hAnsi="Times New Roman"/>
          <w:color w:val="000000"/>
          <w:sz w:val="24"/>
        </w:rPr>
        <w:t xml:space="preserve"> Progression free survival (A) and overall survival (B) according to chemotherapy free interval. </w:t>
      </w:r>
    </w:p>
    <w:p w14:paraId="6C177758" w14:textId="10E58F13" w:rsidR="00F97DB4" w:rsidRPr="004D2FFC" w:rsidRDefault="00F97DB4">
      <w:pPr>
        <w:rPr>
          <w:rFonts w:ascii="Times New Roman" w:hAnsi="Times New Roman"/>
          <w:color w:val="000000"/>
          <w:sz w:val="24"/>
        </w:rPr>
      </w:pPr>
    </w:p>
    <w:p w14:paraId="738822B4" w14:textId="77777777" w:rsidR="00F97DB4" w:rsidRPr="004D2FFC" w:rsidRDefault="00F97DB4">
      <w:pPr>
        <w:rPr>
          <w:rFonts w:ascii="Times New Roman" w:hAnsi="Times New Roman"/>
          <w:color w:val="000000"/>
          <w:sz w:val="24"/>
        </w:rPr>
      </w:pPr>
    </w:p>
    <w:sectPr w:rsidR="00F97DB4" w:rsidRPr="004D2FFC">
      <w:footerReference w:type="even" r:id="rId8"/>
      <w:footerReference w:type="default" r:id="rId9"/>
      <w:foot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82C35" w14:textId="77777777" w:rsidR="00E75062" w:rsidRDefault="00E75062" w:rsidP="00591050">
      <w:pPr>
        <w:spacing w:line="240" w:lineRule="auto"/>
      </w:pPr>
      <w:r>
        <w:separator/>
      </w:r>
    </w:p>
  </w:endnote>
  <w:endnote w:type="continuationSeparator" w:id="0">
    <w:p w14:paraId="4AC586B8" w14:textId="77777777" w:rsidR="00E75062" w:rsidRDefault="00E75062" w:rsidP="00591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D8D1E" w14:textId="6196A31C" w:rsidR="00591050" w:rsidRDefault="00591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FC6420" wp14:editId="1A35F9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267922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05C5C" w14:textId="12D3F21E" w:rsidR="00591050" w:rsidRPr="00591050" w:rsidRDefault="00591050" w:rsidP="005910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10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C6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12B05C5C" w14:textId="12D3F21E" w:rsidR="00591050" w:rsidRPr="00591050" w:rsidRDefault="00591050" w:rsidP="005910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10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E8093" w14:textId="186AB635" w:rsidR="00591050" w:rsidRDefault="00591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DCDB75" wp14:editId="26B06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261740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F842A" w14:textId="3F1E2622" w:rsidR="00591050" w:rsidRPr="00591050" w:rsidRDefault="00591050" w:rsidP="005910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10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CDB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671F842A" w14:textId="3F1E2622" w:rsidR="00591050" w:rsidRPr="00591050" w:rsidRDefault="00591050" w:rsidP="005910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10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83F03" w14:textId="51ECE900" w:rsidR="00591050" w:rsidRDefault="00591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B384E9" wp14:editId="417CB7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2452117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10E39" w14:textId="7A2B821C" w:rsidR="00591050" w:rsidRPr="00591050" w:rsidRDefault="00591050" w:rsidP="005910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10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38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67210E39" w14:textId="7A2B821C" w:rsidR="00591050" w:rsidRPr="00591050" w:rsidRDefault="00591050" w:rsidP="005910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10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35C79" w14:textId="77777777" w:rsidR="00E75062" w:rsidRDefault="00E75062" w:rsidP="00591050">
      <w:pPr>
        <w:spacing w:line="240" w:lineRule="auto"/>
      </w:pPr>
      <w:r>
        <w:separator/>
      </w:r>
    </w:p>
  </w:footnote>
  <w:footnote w:type="continuationSeparator" w:id="0">
    <w:p w14:paraId="1AB545E0" w14:textId="77777777" w:rsidR="00E75062" w:rsidRDefault="00E75062" w:rsidP="005910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93"/>
    <w:rsid w:val="0000291E"/>
    <w:rsid w:val="00036350"/>
    <w:rsid w:val="00044C55"/>
    <w:rsid w:val="00096075"/>
    <w:rsid w:val="000A65A1"/>
    <w:rsid w:val="000F3E3F"/>
    <w:rsid w:val="00167278"/>
    <w:rsid w:val="00187260"/>
    <w:rsid w:val="00196CC2"/>
    <w:rsid w:val="001A0E45"/>
    <w:rsid w:val="001B29C9"/>
    <w:rsid w:val="001B52F6"/>
    <w:rsid w:val="002005D2"/>
    <w:rsid w:val="00202414"/>
    <w:rsid w:val="00203EAD"/>
    <w:rsid w:val="00284773"/>
    <w:rsid w:val="002C257E"/>
    <w:rsid w:val="002E21A0"/>
    <w:rsid w:val="002E2781"/>
    <w:rsid w:val="00333364"/>
    <w:rsid w:val="00374DBA"/>
    <w:rsid w:val="003B59BB"/>
    <w:rsid w:val="003B6ECD"/>
    <w:rsid w:val="003C7179"/>
    <w:rsid w:val="00414443"/>
    <w:rsid w:val="0042438B"/>
    <w:rsid w:val="00451845"/>
    <w:rsid w:val="00465A5A"/>
    <w:rsid w:val="00482A26"/>
    <w:rsid w:val="004A6588"/>
    <w:rsid w:val="004D2FFC"/>
    <w:rsid w:val="004E6A3A"/>
    <w:rsid w:val="004F1E0F"/>
    <w:rsid w:val="004F2B10"/>
    <w:rsid w:val="00510DFA"/>
    <w:rsid w:val="00573027"/>
    <w:rsid w:val="0057669A"/>
    <w:rsid w:val="00591050"/>
    <w:rsid w:val="005A5C01"/>
    <w:rsid w:val="005F5BCF"/>
    <w:rsid w:val="0060039C"/>
    <w:rsid w:val="00691C5B"/>
    <w:rsid w:val="006D21CB"/>
    <w:rsid w:val="006F7B5F"/>
    <w:rsid w:val="00702F8C"/>
    <w:rsid w:val="0070529C"/>
    <w:rsid w:val="007055A3"/>
    <w:rsid w:val="00711E73"/>
    <w:rsid w:val="00754DD5"/>
    <w:rsid w:val="007871B9"/>
    <w:rsid w:val="007B7A42"/>
    <w:rsid w:val="0082537B"/>
    <w:rsid w:val="00872CCA"/>
    <w:rsid w:val="008D29D1"/>
    <w:rsid w:val="008D53C1"/>
    <w:rsid w:val="008F762D"/>
    <w:rsid w:val="0090040E"/>
    <w:rsid w:val="00902BCB"/>
    <w:rsid w:val="00914CDB"/>
    <w:rsid w:val="00944B42"/>
    <w:rsid w:val="00957392"/>
    <w:rsid w:val="0097545F"/>
    <w:rsid w:val="009824F1"/>
    <w:rsid w:val="00987BD0"/>
    <w:rsid w:val="00990112"/>
    <w:rsid w:val="0099279B"/>
    <w:rsid w:val="009A366D"/>
    <w:rsid w:val="009D1974"/>
    <w:rsid w:val="009E3F33"/>
    <w:rsid w:val="00A166E9"/>
    <w:rsid w:val="00A2614A"/>
    <w:rsid w:val="00A306C3"/>
    <w:rsid w:val="00A3636C"/>
    <w:rsid w:val="00A3712D"/>
    <w:rsid w:val="00A6037B"/>
    <w:rsid w:val="00AA4E34"/>
    <w:rsid w:val="00B23098"/>
    <w:rsid w:val="00B37257"/>
    <w:rsid w:val="00B4329F"/>
    <w:rsid w:val="00BE4523"/>
    <w:rsid w:val="00C1323A"/>
    <w:rsid w:val="00C337EF"/>
    <w:rsid w:val="00C94594"/>
    <w:rsid w:val="00CD6AC4"/>
    <w:rsid w:val="00CE5BF4"/>
    <w:rsid w:val="00CF01DD"/>
    <w:rsid w:val="00CF1093"/>
    <w:rsid w:val="00D228AB"/>
    <w:rsid w:val="00D43A9C"/>
    <w:rsid w:val="00D77214"/>
    <w:rsid w:val="00DC3B6A"/>
    <w:rsid w:val="00DE2407"/>
    <w:rsid w:val="00DE7032"/>
    <w:rsid w:val="00E10D98"/>
    <w:rsid w:val="00E74E9F"/>
    <w:rsid w:val="00E75062"/>
    <w:rsid w:val="00E9220F"/>
    <w:rsid w:val="00F1761D"/>
    <w:rsid w:val="00F26F71"/>
    <w:rsid w:val="00F318F0"/>
    <w:rsid w:val="00F37614"/>
    <w:rsid w:val="00F40454"/>
    <w:rsid w:val="00F4319D"/>
    <w:rsid w:val="00F62E40"/>
    <w:rsid w:val="00F668D1"/>
    <w:rsid w:val="00F67C76"/>
    <w:rsid w:val="00F97DB4"/>
    <w:rsid w:val="00FD790A"/>
    <w:rsid w:val="00FF34FC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A7F4"/>
  <w15:chartTrackingRefBased/>
  <w15:docId w15:val="{0B615629-AA58-494C-A1FA-EA6BE9B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93"/>
    <w:pPr>
      <w:spacing w:line="480" w:lineRule="auto"/>
      <w:jc w:val="left"/>
    </w:pPr>
    <w:rPr>
      <w:rFonts w:ascii="Arial" w:hAnsi="Arial" w:cs="Times New Roman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10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050"/>
    <w:rPr>
      <w:rFonts w:ascii="Arial" w:hAnsi="Arial" w:cs="Times New Roman"/>
      <w:kern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027"/>
    <w:rPr>
      <w:rFonts w:ascii="Arial" w:hAnsi="Arial" w:cs="Times New Roman"/>
      <w:kern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027"/>
    <w:rPr>
      <w:rFonts w:ascii="Arial" w:hAnsi="Arial" w:cs="Times New Roman"/>
      <w:b/>
      <w:bCs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 sung Shim</dc:creator>
  <cp:keywords/>
  <dc:description/>
  <cp:lastModifiedBy>Thadani, Lavina</cp:lastModifiedBy>
  <cp:revision>2</cp:revision>
  <dcterms:created xsi:type="dcterms:W3CDTF">2024-10-16T22:21:00Z</dcterms:created>
  <dcterms:modified xsi:type="dcterms:W3CDTF">2024-10-16T22:21:00Z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72b5dcd5,72d88464,3d2a2c87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2024-10-16T01:58:04Z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e20ae521-b130-4eed-9782-c679fb09c217</vt:lpwstr>
  </property>
  <property fmtid="{D5CDD505-2E9C-101B-9397-08002B2CF9AE}" pid="11" name="MSIP_Label_2bbab825-a111-45e4-86a1-18cee0005896_ContentBits">
    <vt:lpwstr>2</vt:lpwstr>
  </property>
</Properties>
</file>