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705CB" w14:textId="4FD449D0" w:rsidR="004A1432" w:rsidRDefault="004A1432">
      <w:pPr>
        <w:rPr>
          <w:b/>
          <w:lang w:val="en-GB"/>
        </w:rPr>
      </w:pPr>
      <w:r w:rsidRPr="004A143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26DCCF3" wp14:editId="495C4451">
            <wp:simplePos x="0" y="0"/>
            <wp:positionH relativeFrom="margin">
              <wp:posOffset>319405</wp:posOffset>
            </wp:positionH>
            <wp:positionV relativeFrom="margin">
              <wp:align>bottom</wp:align>
            </wp:positionV>
            <wp:extent cx="8239125" cy="5924550"/>
            <wp:effectExtent l="0" t="0" r="9525" b="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592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5B67">
        <w:rPr>
          <w:b/>
          <w:lang w:val="en-GB"/>
        </w:rPr>
        <w:t xml:space="preserve">Supplementary </w:t>
      </w:r>
      <w:r w:rsidRPr="004A1432">
        <w:rPr>
          <w:b/>
          <w:lang w:val="en-GB"/>
        </w:rPr>
        <w:t>Figure 1. Heartburn and/or reflux-like symptom management algorithm in community pharmacy.</w:t>
      </w:r>
    </w:p>
    <w:p w14:paraId="0DB8050D" w14:textId="77777777" w:rsidR="000004EA" w:rsidRDefault="000004EA">
      <w:pPr>
        <w:rPr>
          <w:b/>
          <w:lang w:val="en-GB"/>
        </w:rPr>
      </w:pPr>
    </w:p>
    <w:p w14:paraId="4C6A1FD7" w14:textId="5F7BF955" w:rsidR="000004EA" w:rsidRDefault="000004EA" w:rsidP="000004E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Supplementary Data. </w:t>
      </w:r>
      <w:r w:rsidRPr="008E32E7">
        <w:rPr>
          <w:rFonts w:ascii="Times New Roman" w:hAnsi="Times New Roman" w:cs="Times New Roman"/>
          <w:b/>
          <w:bCs/>
          <w:sz w:val="24"/>
          <w:szCs w:val="24"/>
          <w:lang w:val="en-GB"/>
        </w:rPr>
        <w:t>Description of the variables collected in the baseline visit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, intervention, training and standardization procedures</w:t>
      </w:r>
    </w:p>
    <w:p w14:paraId="1E54686E" w14:textId="77777777" w:rsidR="000004EA" w:rsidRPr="008E32E7" w:rsidRDefault="000004EA" w:rsidP="000004E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Variables collected:</w:t>
      </w:r>
    </w:p>
    <w:p w14:paraId="2736F7F7" w14:textId="77777777" w:rsidR="000004EA" w:rsidRPr="00DC4283" w:rsidRDefault="000004EA" w:rsidP="000004E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4283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ab/>
        <w:t>Outcome variable: Adherence to PPIs (Proton Pump Inhibitors) was evaluated using the 4-item Morisky Medication Adherence Scale (MMAS-4)</w:t>
      </w:r>
      <w:r w:rsidRPr="007E600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21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 which was recorded in a data collection notebook. The scale consists of 4 questions orally posed to the patient: a) Do you ever forget to take it? (yes/no), b) Do you take it at the indicated time? (yes/no), c) When you feel well, do you stop taking the medication? (yes/no), and d) If it ever bothers you, do you stop taking it? (yes/no). Once the questions were completed, the pharmacist classified the patient as adherent if they answered No to questions a), c), d), and </w:t>
      </w:r>
      <w:proofErr w:type="gramStart"/>
      <w:r w:rsidRPr="00DC4283">
        <w:rPr>
          <w:rFonts w:ascii="Times New Roman" w:hAnsi="Times New Roman" w:cs="Times New Roman"/>
          <w:sz w:val="24"/>
          <w:szCs w:val="24"/>
          <w:lang w:val="en-GB"/>
        </w:rPr>
        <w:t>Yes</w:t>
      </w:r>
      <w:proofErr w:type="gramEnd"/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 to question b), and as non-adherent if the patient answered No to question b) and/or Yes to questions a), c), and/or d).</w:t>
      </w:r>
    </w:p>
    <w:p w14:paraId="02D37475" w14:textId="77777777" w:rsidR="000004EA" w:rsidRPr="00DC4283" w:rsidRDefault="000004EA" w:rsidP="000004E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4283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ab/>
        <w:t>Sociodemographic variables: age; sex; educational level (no studies/primary education, secondary education/ university education); employment status (employee, self-employed, retired, unemployed); marital status (single, married, divorced-separated, widowed).</w:t>
      </w:r>
    </w:p>
    <w:p w14:paraId="0527690D" w14:textId="77777777" w:rsidR="000004EA" w:rsidRPr="00DC4283" w:rsidRDefault="000004EA" w:rsidP="000004E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4283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ab/>
        <w:t xml:space="preserve">Clinical variables: Body Mass Index (BMI) (weight (kg)/height (m)2); reasons for consultation (seeking treatment advice for the symptoms, requesting over the counter medication, both); requested over the counter medication (antacid monotherapy, </w:t>
      </w:r>
      <w:proofErr w:type="spellStart"/>
      <w:r w:rsidRPr="00DC4283">
        <w:rPr>
          <w:rFonts w:ascii="Times New Roman" w:hAnsi="Times New Roman" w:cs="Times New Roman"/>
          <w:sz w:val="24"/>
          <w:szCs w:val="24"/>
          <w:lang w:val="en-GB"/>
        </w:rPr>
        <w:t>alginate+antacids</w:t>
      </w:r>
      <w:proofErr w:type="spellEnd"/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, PPIs, non-pharmacological treatment/others); smoking habit (smoker/ex-smoker, non-smoked); previous diagnosis of any gastrointestinal disease; presence of alarm criteria: symptoms (asthenia, dysphagia, recurrent vomiting, unexplained weight loss, gastrointestinal bleeding, severe pain, </w:t>
      </w:r>
      <w:proofErr w:type="spellStart"/>
      <w:r w:rsidRPr="00DC4283">
        <w:rPr>
          <w:rFonts w:ascii="Times New Roman" w:hAnsi="Times New Roman" w:cs="Times New Roman"/>
          <w:sz w:val="24"/>
          <w:szCs w:val="24"/>
          <w:lang w:val="en-GB"/>
        </w:rPr>
        <w:t>dyspnea</w:t>
      </w:r>
      <w:proofErr w:type="spellEnd"/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, shortness of breath, nocturnal cough); intake of medicines often associated with symptoms (anti-inflammatory analgesics, 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bisphosphonates alendronates, calcium antagonists and/or nitrates, progesterone/oral contraceptives, tricyclic antidepressants/amitriptyline, theophylline, iron supplements, benzodiazepines, alpha-adrenergic antagonists/ doxazosin and systemic corticosteroids), and diagnosis of gastrointestinal disorders or diseases (GERD, gastric ulcer, hiatus hernia, infection with Helicobacter pillory, food intolerances, colon disorders, gastritis); characteristics of the previous medication used by the patient before visiting the pharmacy (prescribed, over the counter, both); how the patient felt about the previous medication used (it alleviated the symptoms or not); PPI regimen (breakfast, lunch, dinner, breakfast and dinner); when the PPI prescription started (1-4 weeks, 1-6 months,  1 year or more) </w:t>
      </w:r>
    </w:p>
    <w:p w14:paraId="53F5C235" w14:textId="77777777" w:rsidR="000004EA" w:rsidRPr="00DC4283" w:rsidRDefault="000004EA" w:rsidP="000004EA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4283">
        <w:rPr>
          <w:rFonts w:ascii="Times New Roman" w:hAnsi="Times New Roman" w:cs="Times New Roman"/>
          <w:sz w:val="24"/>
          <w:szCs w:val="24"/>
          <w:lang w:val="en-GB"/>
        </w:rPr>
        <w:t>•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>atient's quality of life and the distribution of patient’s symptoms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through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 Gastroesophageal Reflux Disease Impact Scale (GIS) questionnaire. This questionnaire is validated in Spain </w:t>
      </w:r>
      <w:r w:rsidRPr="007E600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22</w:t>
      </w:r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 and is used by healthcare professionals for managing reflux symptoms. It consists of five questions, the first one is detailed and refers to the symptom location, and questions 2 to 5 refer to how the symptoms interfere with the patient's quality of life. The symptoms classification was divided </w:t>
      </w:r>
      <w:proofErr w:type="gramStart"/>
      <w:r w:rsidRPr="00DC4283">
        <w:rPr>
          <w:rFonts w:ascii="Times New Roman" w:hAnsi="Times New Roman" w:cs="Times New Roman"/>
          <w:sz w:val="24"/>
          <w:szCs w:val="24"/>
          <w:lang w:val="en-GB"/>
        </w:rPr>
        <w:t>in:</w:t>
      </w:r>
      <w:proofErr w:type="gramEnd"/>
      <w:r w:rsidRPr="00DC4283">
        <w:rPr>
          <w:rFonts w:ascii="Times New Roman" w:hAnsi="Times New Roman" w:cs="Times New Roman"/>
          <w:sz w:val="24"/>
          <w:szCs w:val="24"/>
          <w:lang w:val="en-GB"/>
        </w:rPr>
        <w:t xml:space="preserve"> epigastric, retrosternal or overlapping (both). Patients with epigastric symptoms were those who had a punctuation from 1 to 3 (frequency of symptoms: daily, often, or sometimes) in the question which refers to symptoms in the upper part of the stomach associated to the epigastric area and a 4 (never) in questions which refer to symptoms associated with the retrosternal area. Patients with retrosternal symptoms were those who had a punctuation from 1 to 3 (frequency of symptoms: daily, often, or sometimes) in questions which refer to symptoms associated with the retrosternal area and a punctuation of 4 (never) in the question which refers to symptoms associated to the epigastric area. Patients with overlapping symptoms were those who fulfilled both definitions.</w:t>
      </w:r>
    </w:p>
    <w:p w14:paraId="16285BB7" w14:textId="77777777" w:rsidR="000004EA" w:rsidRPr="00056B35" w:rsidRDefault="000004EA" w:rsidP="000004E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56B35">
        <w:rPr>
          <w:rFonts w:ascii="Times New Roman" w:hAnsi="Times New Roman" w:cs="Times New Roman"/>
          <w:b/>
          <w:sz w:val="24"/>
          <w:szCs w:val="24"/>
          <w:lang w:val="en-GB"/>
        </w:rPr>
        <w:t>Intervention</w:t>
      </w:r>
    </w:p>
    <w:p w14:paraId="25533853" w14:textId="77777777" w:rsidR="000004EA" w:rsidRPr="00600CD4" w:rsidRDefault="000004EA" w:rsidP="000004EA">
      <w:pPr>
        <w:pStyle w:val="22"/>
      </w:pPr>
      <w:r w:rsidRPr="00DC4283">
        <w:lastRenderedPageBreak/>
        <w:t>If patients with an active PP</w:t>
      </w:r>
      <w:r>
        <w:t>I</w:t>
      </w:r>
      <w:r w:rsidRPr="00DC4283">
        <w:t xml:space="preserve"> prescription had a non-compliant result in the Morisky Green test</w:t>
      </w:r>
      <w:r>
        <w:t xml:space="preserve"> and the patient agreed, t</w:t>
      </w:r>
      <w:r w:rsidRPr="00DC4283">
        <w:t>he pharmacist carried out an intervention to improve treatment adherence</w:t>
      </w:r>
      <w:r>
        <w:t xml:space="preserve">. </w:t>
      </w:r>
      <w:r w:rsidRPr="00600CD4">
        <w:t>The intervention was to reinforce and examine the items on the Morisky scale on which the patient was non-</w:t>
      </w:r>
      <w:r>
        <w:t>adherent</w:t>
      </w:r>
      <w:r w:rsidRPr="00600CD4">
        <w:t xml:space="preserve">. </w:t>
      </w:r>
      <w:r>
        <w:t xml:space="preserve">Then, the pharmacist explained </w:t>
      </w:r>
      <w:r w:rsidRPr="00600CD4">
        <w:t xml:space="preserve">how and when to take </w:t>
      </w:r>
      <w:r>
        <w:t xml:space="preserve">the </w:t>
      </w:r>
      <w:r w:rsidRPr="00600CD4">
        <w:t>medication</w:t>
      </w:r>
      <w:r>
        <w:t xml:space="preserve"> and </w:t>
      </w:r>
      <w:r w:rsidRPr="00600CD4">
        <w:t>provid</w:t>
      </w:r>
      <w:r>
        <w:t>ed</w:t>
      </w:r>
      <w:r w:rsidRPr="00600CD4">
        <w:t xml:space="preserve"> the patient with </w:t>
      </w:r>
      <w:r>
        <w:t>strategies</w:t>
      </w:r>
      <w:r w:rsidRPr="00600CD4">
        <w:t xml:space="preserve"> to improve adherence.</w:t>
      </w:r>
    </w:p>
    <w:p w14:paraId="04A48E84" w14:textId="77777777" w:rsidR="000004EA" w:rsidRPr="00BD44DF" w:rsidRDefault="000004EA" w:rsidP="000004EA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44DF">
        <w:rPr>
          <w:rFonts w:ascii="Times New Roman" w:hAnsi="Times New Roman" w:cs="Times New Roman"/>
          <w:b/>
          <w:sz w:val="24"/>
          <w:szCs w:val="24"/>
          <w:lang w:val="en-GB"/>
        </w:rPr>
        <w:t>Training and standardization procedures</w:t>
      </w:r>
    </w:p>
    <w:p w14:paraId="37FC0092" w14:textId="77777777" w:rsidR="000004EA" w:rsidRDefault="000004EA" w:rsidP="000004EA">
      <w:pPr>
        <w:pStyle w:val="22"/>
      </w:pPr>
      <w:r w:rsidRPr="00056B35">
        <w:t xml:space="preserve">All registered pharmacists received prior training by the research team on the objective, methodology and procedures of the study. </w:t>
      </w:r>
      <w:r>
        <w:t>Prior training</w:t>
      </w:r>
      <w:r w:rsidRPr="00056B35">
        <w:t xml:space="preserve"> consisted of an online course hosted on the study’s platform, which included three 'training modules' and a structured interview with the study's instructor to validate the received training</w:t>
      </w:r>
      <w:r>
        <w:t xml:space="preserve">. </w:t>
      </w:r>
      <w:r w:rsidRPr="00056B35">
        <w:t>This training was accredited by the Miguel Hernandez University of Elche, where the research team is located</w:t>
      </w:r>
      <w:r>
        <w:t xml:space="preserve">. </w:t>
      </w:r>
    </w:p>
    <w:p w14:paraId="59AEB7BB" w14:textId="77777777" w:rsidR="000004EA" w:rsidRPr="00056B35" w:rsidRDefault="000004EA" w:rsidP="000004EA">
      <w:pPr>
        <w:pStyle w:val="22"/>
      </w:pPr>
      <w:r w:rsidRPr="00056B35">
        <w:t>This study had an epidemiological monitor, responsible for overseeing data collection and validating the information gathered, while also serving as a communication link between the research team and the investigating pharmacists</w:t>
      </w:r>
    </w:p>
    <w:p w14:paraId="79264676" w14:textId="77777777" w:rsidR="000004EA" w:rsidRPr="004A1432" w:rsidRDefault="000004EA">
      <w:pPr>
        <w:rPr>
          <w:b/>
          <w:lang w:val="en-GB"/>
        </w:rPr>
      </w:pPr>
    </w:p>
    <w:sectPr w:rsidR="000004EA" w:rsidRPr="004A1432" w:rsidSect="004A1432">
      <w:footerReference w:type="even" r:id="rId10"/>
      <w:footerReference w:type="default" r:id="rId11"/>
      <w:footerReference w:type="first" r:id="rId12"/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29AA2" w14:textId="77777777" w:rsidR="004A1432" w:rsidRDefault="004A1432" w:rsidP="004A1432">
      <w:pPr>
        <w:spacing w:after="0" w:line="240" w:lineRule="auto"/>
      </w:pPr>
      <w:r>
        <w:separator/>
      </w:r>
    </w:p>
  </w:endnote>
  <w:endnote w:type="continuationSeparator" w:id="0">
    <w:p w14:paraId="4EB8CB0B" w14:textId="77777777" w:rsidR="004A1432" w:rsidRDefault="004A1432" w:rsidP="004A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A82F" w14:textId="65E55699" w:rsidR="000004EA" w:rsidRDefault="00000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38256B" wp14:editId="739C21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846855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7D4A" w14:textId="34066A82" w:rsidR="000004EA" w:rsidRPr="000004EA" w:rsidRDefault="000004EA" w:rsidP="00000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0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825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5CF7D4A" w14:textId="34066A82" w:rsidR="000004EA" w:rsidRPr="000004EA" w:rsidRDefault="000004EA" w:rsidP="00000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0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EA51" w14:textId="47338F4C" w:rsidR="000004EA" w:rsidRDefault="00000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0D2C7B" wp14:editId="62AFE5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3978189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56B19" w14:textId="4A2A8B07" w:rsidR="000004EA" w:rsidRPr="000004EA" w:rsidRDefault="000004EA" w:rsidP="00000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0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2C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456B19" w14:textId="4A2A8B07" w:rsidR="000004EA" w:rsidRPr="000004EA" w:rsidRDefault="000004EA" w:rsidP="00000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0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6A75C" w14:textId="12C02888" w:rsidR="000004EA" w:rsidRDefault="00000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F9C0E" wp14:editId="50037F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33519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D49A7" w14:textId="219F7A0A" w:rsidR="000004EA" w:rsidRPr="000004EA" w:rsidRDefault="000004EA" w:rsidP="00000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00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F9C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F1D49A7" w14:textId="219F7A0A" w:rsidR="000004EA" w:rsidRPr="000004EA" w:rsidRDefault="000004EA" w:rsidP="00000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00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C08D" w14:textId="77777777" w:rsidR="004A1432" w:rsidRDefault="004A1432" w:rsidP="004A1432">
      <w:pPr>
        <w:spacing w:after="0" w:line="240" w:lineRule="auto"/>
      </w:pPr>
      <w:r>
        <w:separator/>
      </w:r>
    </w:p>
  </w:footnote>
  <w:footnote w:type="continuationSeparator" w:id="0">
    <w:p w14:paraId="4CA6C955" w14:textId="77777777" w:rsidR="004A1432" w:rsidRDefault="004A1432" w:rsidP="004A1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32"/>
    <w:rsid w:val="000004EA"/>
    <w:rsid w:val="00027AC5"/>
    <w:rsid w:val="004754FB"/>
    <w:rsid w:val="004A1432"/>
    <w:rsid w:val="006D5A7E"/>
    <w:rsid w:val="00905B67"/>
    <w:rsid w:val="00E44C20"/>
    <w:rsid w:val="00F7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B6B1"/>
  <w15:chartTrackingRefBased/>
  <w15:docId w15:val="{3F4BD1F9-217C-4CCA-8575-F418E76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A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32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A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32"/>
    <w:rPr>
      <w:lang w:val="es-ES_tradnl"/>
    </w:rPr>
  </w:style>
  <w:style w:type="paragraph" w:customStyle="1" w:styleId="22">
    <w:name w:val="22"/>
    <w:basedOn w:val="Normal"/>
    <w:link w:val="22Car"/>
    <w:qFormat/>
    <w:rsid w:val="000004EA"/>
    <w:pPr>
      <w:spacing w:line="48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2Car">
    <w:name w:val="22 Car"/>
    <w:basedOn w:val="DefaultParagraphFont"/>
    <w:link w:val="22"/>
    <w:rsid w:val="000004EA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67440905FEDF4590B0D13A4C6B51AE" ma:contentTypeVersion="11" ma:contentTypeDescription="Crear nuevo documento." ma:contentTypeScope="" ma:versionID="3bee50208a16db54476d65a4090a63fa">
  <xsd:schema xmlns:xsd="http://www.w3.org/2001/XMLSchema" xmlns:xs="http://www.w3.org/2001/XMLSchema" xmlns:p="http://schemas.microsoft.com/office/2006/metadata/properties" xmlns:ns3="51b6b765-c2a1-4f50-a842-de1bc733c8a9" targetNamespace="http://schemas.microsoft.com/office/2006/metadata/properties" ma:root="true" ma:fieldsID="4095c0fd26f02ed3b6d03391c24a0af8" ns3:_="">
    <xsd:import namespace="51b6b765-c2a1-4f50-a842-de1bc733c8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6b765-c2a1-4f50-a842-de1bc733c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940CB-AB8F-4F1F-B48E-D64F68A26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6b765-c2a1-4f50-a842-de1bc733c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37C71-00ED-466A-8DDB-92018CB7B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B027-71A5-48D5-A321-51D205B61A9C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1b6b765-c2a1-4f50-a842-de1bc733c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Puig Molto, Angela Maria</dc:creator>
  <cp:keywords/>
  <dc:description/>
  <cp:lastModifiedBy>McIver, Sandi</cp:lastModifiedBy>
  <cp:revision>2</cp:revision>
  <dcterms:created xsi:type="dcterms:W3CDTF">2024-12-14T22:58:00Z</dcterms:created>
  <dcterms:modified xsi:type="dcterms:W3CDTF">2024-12-14T22:58:00Z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0x0101003167440905FEDF4590B0D13A4C6B51AE</vt:lpwstr>
  </property>
  <property fmtid="{D5CDD505-2E9C-101B-9397-08002B2CF9AE}" pid="3" name="ClassificationContentMarkingFooterShapeIds">
    <vt:lpwstr>60aad9,16edd601,e4ac806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2024-10-24T22:05:46Z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fd37a70f-ce93-41ba-ab2b-d2fd781fcdb9</vt:lpwstr>
  </property>
  <property fmtid="{D5CDD505-2E9C-101B-9397-08002B2CF9AE}" pid="12" name="MSIP_Label_2bbab825-a111-45e4-86a1-18cee0005896_ContentBits">
    <vt:lpwstr>2</vt:lpwstr>
  </property>
</Properties>
</file>