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54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 xml:space="preserve">Figure S1.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The protein expression of astrocyte activation markers after MCAO/R. </w:t>
      </w:r>
      <w:r>
        <w:rPr>
          <w:rFonts w:hint="default" w:ascii="Times New Roman" w:hAnsi="Times New Roman" w:cs="Times New Roman"/>
          <w:b w:val="0"/>
          <w:bCs w:val="0"/>
          <w:sz w:val="24"/>
          <w:lang w:val="en-US" w:eastAsia="zh-CN"/>
        </w:rPr>
        <w:t xml:space="preserve">(A) </w:t>
      </w:r>
      <w:r>
        <w:rPr>
          <w:rFonts w:hint="default" w:ascii="Times New Roman" w:hAnsi="Times New Roman" w:cs="Times New Roman"/>
          <w:sz w:val="24"/>
          <w:szCs w:val="24"/>
        </w:rPr>
        <w:t xml:space="preserve">The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WB results</w:t>
      </w:r>
      <w:r>
        <w:rPr>
          <w:rFonts w:hint="default" w:ascii="Times New Roman" w:hAnsi="Times New Roman" w:cs="Times New Roman"/>
          <w:sz w:val="24"/>
          <w:szCs w:val="24"/>
        </w:rPr>
        <w:t xml:space="preserve"> of A1 activation marker C3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in astrocytes were measured at 1, 3, 5 and 7 d after MCAO/R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(n=6)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(B) The WB results of A2 activation marker S100A10 </w:t>
      </w:r>
      <w:r>
        <w:rPr>
          <w:rFonts w:hint="default" w:ascii="Times New Roman" w:hAnsi="Times New Roman" w:cs="Times New Roman"/>
          <w:sz w:val="24"/>
          <w:szCs w:val="24"/>
        </w:rPr>
        <w:t xml:space="preserve">in astrocytes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were</w:t>
      </w:r>
      <w:r>
        <w:rPr>
          <w:rFonts w:hint="default" w:ascii="Times New Roman" w:hAnsi="Times New Roman" w:cs="Times New Roman"/>
          <w:sz w:val="24"/>
          <w:szCs w:val="24"/>
        </w:rPr>
        <w:t xml:space="preserve"> measured at 1, 3, 5 and 7 d after MCAO/R (n=6).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(C) The quantitative analysis for C3 in images of (A). (D) The quantitative analysis for S100A10 in images of (B). Data were represented as mean ± SD. 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**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&lt; 0.01; 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***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&lt; 0.001 and “ns” for comparison with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ham group.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“ns” stands for no statistical significance. MCAO/R, middle cerebral artery occlusion/reperfusion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m</w:t>
      </w:r>
      <w:bookmarkStart w:id="5" w:name="_GoBack"/>
      <w:bookmarkEnd w:id="5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odel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. WB, western blotting analysis. </w:t>
      </w:r>
    </w:p>
    <w:p w14:paraId="7B33C39F">
      <w:pPr>
        <w:spacing w:line="480" w:lineRule="auto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  <w:drawing>
          <wp:inline distT="0" distB="0" distL="114300" distR="114300">
            <wp:extent cx="4476750" cy="6731000"/>
            <wp:effectExtent l="0" t="0" r="0" b="3175"/>
            <wp:docPr id="4" name="图片 4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E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/>
          <w:bCs/>
          <w:sz w:val="24"/>
          <w:lang w:eastAsia="zh-CN"/>
        </w:rPr>
      </w:pPr>
    </w:p>
    <w:p w14:paraId="40B246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The expression of negative exosome markers, GM130 and calnexin, in microglia and exosomes.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 M0-exo, exosomes isolated from microglia under standard cell culture conditions. M1-exo, exosomes isolated from M1 microglia after OGD/R. </w:t>
      </w:r>
    </w:p>
    <w:p w14:paraId="2D7D1D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</w:p>
    <w:p w14:paraId="09E89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4"/>
          <w:lang w:val="en-US" w:eastAsia="zh-CN"/>
        </w:rPr>
      </w:pPr>
    </w:p>
    <w:p w14:paraId="5FA89FD3"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  <w:drawing>
          <wp:inline distT="0" distB="0" distL="114300" distR="114300">
            <wp:extent cx="3261995" cy="911860"/>
            <wp:effectExtent l="0" t="0" r="5080" b="2540"/>
            <wp:docPr id="6" name="图片 6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7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</w:p>
    <w:p w14:paraId="56CE0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</w:p>
    <w:p w14:paraId="3E6AD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</w:pPr>
    </w:p>
    <w:p w14:paraId="392A97E8">
      <w:pPr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24"/>
        </w:rPr>
        <w:t>. The uptake of exosomes in astrocytes.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Immunofluorescence images of exosomes devoured by astrocytes. Exosomes were stained red and GFAP was stained green. The arrows indicated the exosomes phagocytosed by astrocytes. Scale of bar: 20 </w:t>
      </w:r>
      <w:r>
        <w:rPr>
          <w:rFonts w:ascii="Times New Roman" w:hAnsi="Times New Roman" w:cs="Times New Roman"/>
          <w:sz w:val="24"/>
        </w:rPr>
        <w:t>μ</w:t>
      </w:r>
      <w:r>
        <w:rPr>
          <w:rFonts w:hint="eastAsia" w:ascii="Times New Roman" w:hAnsi="Times New Roman" w:cs="Times New Roman"/>
          <w:sz w:val="24"/>
        </w:rPr>
        <w:t>m.</w:t>
      </w:r>
    </w:p>
    <w:p w14:paraId="4086B9B7">
      <w:pP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  <w:drawing>
          <wp:inline distT="0" distB="0" distL="114300" distR="114300">
            <wp:extent cx="5271135" cy="3316605"/>
            <wp:effectExtent l="0" t="0" r="5715" b="7620"/>
            <wp:docPr id="5" name="图片 5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9944">
      <w:pPr>
        <w:rPr>
          <w:rFonts w:ascii="Times New Roman" w:hAnsi="Times New Roman" w:cs="Times New Roman"/>
          <w:b/>
          <w:bCs/>
          <w:sz w:val="24"/>
        </w:rPr>
      </w:pPr>
    </w:p>
    <w:p w14:paraId="2B8B930A">
      <w:pPr>
        <w:rPr>
          <w:rFonts w:ascii="Times New Roman" w:hAnsi="Times New Roman" w:cs="Times New Roman"/>
          <w:b/>
          <w:bCs/>
          <w:sz w:val="24"/>
        </w:rPr>
      </w:pPr>
    </w:p>
    <w:p w14:paraId="3C2C621F">
      <w:pPr>
        <w:rPr>
          <w:rFonts w:ascii="Times New Roman" w:hAnsi="Times New Roman" w:cs="Times New Roman"/>
          <w:b/>
          <w:bCs/>
          <w:sz w:val="24"/>
        </w:rPr>
      </w:pPr>
    </w:p>
    <w:p w14:paraId="15384990">
      <w:pPr>
        <w:rPr>
          <w:rFonts w:ascii="Times New Roman" w:hAnsi="Times New Roman" w:cs="Times New Roman"/>
          <w:b/>
          <w:bCs/>
          <w:sz w:val="24"/>
        </w:rPr>
      </w:pPr>
    </w:p>
    <w:p w14:paraId="2B262676">
      <w:pPr>
        <w:rPr>
          <w:rFonts w:ascii="Times New Roman" w:hAnsi="Times New Roman" w:cs="Times New Roman"/>
          <w:b/>
          <w:bCs/>
          <w:sz w:val="24"/>
        </w:rPr>
      </w:pPr>
    </w:p>
    <w:p w14:paraId="227AEB3A">
      <w:pPr>
        <w:rPr>
          <w:rFonts w:ascii="Times New Roman" w:hAnsi="Times New Roman" w:cs="Times New Roman"/>
          <w:b/>
          <w:bCs/>
          <w:sz w:val="24"/>
        </w:rPr>
      </w:pPr>
    </w:p>
    <w:p w14:paraId="5BB49A66">
      <w:pPr>
        <w:rPr>
          <w:rFonts w:ascii="Times New Roman" w:hAnsi="Times New Roman" w:cs="Times New Roman"/>
          <w:b/>
          <w:bCs/>
          <w:sz w:val="24"/>
        </w:rPr>
      </w:pPr>
    </w:p>
    <w:p w14:paraId="62501202">
      <w:pPr>
        <w:rPr>
          <w:rFonts w:ascii="Times New Roman" w:hAnsi="Times New Roman" w:cs="Times New Roman"/>
          <w:b/>
          <w:bCs/>
          <w:sz w:val="24"/>
        </w:rPr>
      </w:pPr>
    </w:p>
    <w:p w14:paraId="0B06D3CF">
      <w:pPr>
        <w:rPr>
          <w:rFonts w:ascii="Times New Roman" w:hAnsi="Times New Roman" w:cs="Times New Roman"/>
          <w:b/>
          <w:bCs/>
          <w:sz w:val="24"/>
        </w:rPr>
      </w:pPr>
    </w:p>
    <w:p w14:paraId="77D6B94E">
      <w:pPr>
        <w:rPr>
          <w:rFonts w:ascii="Times New Roman" w:hAnsi="Times New Roman" w:cs="Times New Roman"/>
          <w:b/>
          <w:bCs/>
          <w:sz w:val="24"/>
        </w:rPr>
      </w:pPr>
    </w:p>
    <w:p w14:paraId="343E70EF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S1. The Primer sequences for qRT-PCR.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4"/>
        <w:gridCol w:w="5018"/>
      </w:tblGrid>
      <w:tr w14:paraId="38A5A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left w:val="nil"/>
              <w:bottom w:val="single" w:color="auto" w:sz="4" w:space="0"/>
              <w:right w:val="nil"/>
            </w:tcBorders>
          </w:tcPr>
          <w:p w14:paraId="68422AD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Name</w:t>
            </w:r>
          </w:p>
        </w:tc>
        <w:tc>
          <w:tcPr>
            <w:tcW w:w="4261" w:type="dxa"/>
            <w:tcBorders>
              <w:left w:val="nil"/>
              <w:bottom w:val="single" w:color="auto" w:sz="4" w:space="0"/>
              <w:right w:val="nil"/>
            </w:tcBorders>
          </w:tcPr>
          <w:p w14:paraId="7DE178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Sequence</w:t>
            </w:r>
          </w:p>
        </w:tc>
      </w:tr>
      <w:tr w14:paraId="25A50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B90E7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mmu-circ-STRN3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F31F52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F:5’-AGGTAATGAAGGTTTAGCTGCTGAC-3’</w:t>
            </w:r>
          </w:p>
          <w:p w14:paraId="6B8025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R:5’-CCCTTTCTTGTTTTAATGCATACTC-3’</w:t>
            </w:r>
          </w:p>
        </w:tc>
      </w:tr>
      <w:tr w14:paraId="17B7D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839A8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mmu-miR-331-5p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CC98C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F:5’-AGATCGCTAGGTATGGTCCCAG-3’</w:t>
            </w:r>
          </w:p>
          <w:p w14:paraId="53E965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R:5’-TATCCTTCTTCACGACTCCTTCAC-3’</w:t>
            </w:r>
          </w:p>
        </w:tc>
      </w:tr>
      <w:tr w14:paraId="3D261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3B8125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mmu-β-actin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02604C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F:5’-</w:t>
            </w:r>
            <w:bookmarkStart w:id="0" w:name="OLE_LINK2"/>
            <w:r>
              <w:rPr>
                <w:rFonts w:ascii="Times New Roman" w:hAnsi="Times New Roman" w:cs="Times New Roman"/>
                <w:sz w:val="24"/>
              </w:rPr>
              <w:t>CCACCATGTACCCAGGCATT</w:t>
            </w:r>
            <w:bookmarkEnd w:id="0"/>
            <w:r>
              <w:rPr>
                <w:rFonts w:ascii="Times New Roman" w:hAnsi="Times New Roman" w:cs="Times New Roman"/>
                <w:sz w:val="24"/>
              </w:rPr>
              <w:t>-3’</w:t>
            </w:r>
          </w:p>
          <w:p w14:paraId="425050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R:5’-</w:t>
            </w:r>
            <w:bookmarkStart w:id="1" w:name="OLE_LINK1"/>
            <w:r>
              <w:rPr>
                <w:rFonts w:ascii="Times New Roman" w:hAnsi="Times New Roman" w:cs="Times New Roman"/>
                <w:sz w:val="24"/>
              </w:rPr>
              <w:t>CGGACTCATCGTACTCCTGC</w:t>
            </w:r>
            <w:bookmarkEnd w:id="1"/>
            <w:r>
              <w:rPr>
                <w:rFonts w:ascii="Times New Roman" w:hAnsi="Times New Roman" w:cs="Times New Roman"/>
                <w:sz w:val="24"/>
              </w:rPr>
              <w:t>-3’</w:t>
            </w:r>
          </w:p>
        </w:tc>
      </w:tr>
      <w:tr w14:paraId="03A48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right w:val="nil"/>
            </w:tcBorders>
          </w:tcPr>
          <w:p w14:paraId="46469E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mmu-U6</w:t>
            </w:r>
          </w:p>
        </w:tc>
        <w:tc>
          <w:tcPr>
            <w:tcW w:w="4261" w:type="dxa"/>
            <w:tcBorders>
              <w:top w:val="nil"/>
              <w:left w:val="nil"/>
              <w:right w:val="nil"/>
            </w:tcBorders>
          </w:tcPr>
          <w:p w14:paraId="28DA3A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F:5’-CAGCACATATACTAAAATTGGAACG-3’</w:t>
            </w:r>
          </w:p>
          <w:p w14:paraId="41DDB1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R:5’-</w:t>
            </w:r>
            <w:bookmarkStart w:id="2" w:name="OLE_LINK3"/>
            <w:r>
              <w:rPr>
                <w:rFonts w:ascii="Times New Roman" w:hAnsi="Times New Roman" w:cs="Times New Roman"/>
                <w:sz w:val="24"/>
              </w:rPr>
              <w:t>ACGAATTTGCGTGTCATCC</w:t>
            </w:r>
            <w:bookmarkEnd w:id="2"/>
            <w:r>
              <w:rPr>
                <w:rFonts w:ascii="Times New Roman" w:hAnsi="Times New Roman" w:cs="Times New Roman"/>
                <w:sz w:val="24"/>
              </w:rPr>
              <w:t>-3’</w:t>
            </w:r>
          </w:p>
        </w:tc>
      </w:tr>
    </w:tbl>
    <w:p w14:paraId="2801B8B4">
      <w:pPr>
        <w:rPr>
          <w:rFonts w:ascii="Times New Roman" w:hAnsi="Times New Roman" w:cs="Times New Roman"/>
          <w:sz w:val="24"/>
        </w:rPr>
      </w:pPr>
    </w:p>
    <w:p w14:paraId="5E05141A">
      <w:pPr>
        <w:rPr>
          <w:rFonts w:ascii="Times New Roman" w:hAnsi="Times New Roman" w:cs="Times New Roman"/>
          <w:sz w:val="24"/>
        </w:rPr>
      </w:pPr>
    </w:p>
    <w:p w14:paraId="632FCB4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S2. Demographic and clinical characteristics of participants</w:t>
      </w:r>
      <w:r>
        <w:rPr>
          <w:rFonts w:hint="eastAsia" w:ascii="Times New Roman" w:hAnsi="Times New Roman" w:cs="Times New Roman"/>
          <w:b/>
          <w:bCs/>
          <w:sz w:val="24"/>
        </w:rPr>
        <w:t>.</w:t>
      </w:r>
    </w:p>
    <w:tbl>
      <w:tblPr>
        <w:tblStyle w:val="6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3"/>
        <w:gridCol w:w="2318"/>
        <w:gridCol w:w="2319"/>
      </w:tblGrid>
      <w:tr w14:paraId="63350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  <w:tcBorders>
              <w:top w:val="single" w:color="auto" w:sz="4" w:space="0"/>
            </w:tcBorders>
          </w:tcPr>
          <w:p w14:paraId="76977F26">
            <w:pPr>
              <w:rPr>
                <w:rFonts w:ascii="Times New Roman" w:hAnsi="Times New Roman" w:cs="Times New Roman"/>
                <w:sz w:val="24"/>
              </w:rPr>
            </w:pPr>
            <w:bookmarkStart w:id="3" w:name="_Hlk4712473"/>
            <w:r>
              <w:rPr>
                <w:rFonts w:ascii="Times New Roman" w:hAnsi="Times New Roman" w:cs="Times New Roman"/>
                <w:sz w:val="24"/>
              </w:rPr>
              <w:t>Baseline Characteristics</w:t>
            </w:r>
          </w:p>
        </w:tc>
        <w:tc>
          <w:tcPr>
            <w:tcW w:w="1360" w:type="pct"/>
            <w:tcBorders>
              <w:top w:val="single" w:color="auto" w:sz="4" w:space="0"/>
            </w:tcBorders>
          </w:tcPr>
          <w:p w14:paraId="411DB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HC(n=30)</w:t>
            </w:r>
          </w:p>
        </w:tc>
        <w:tc>
          <w:tcPr>
            <w:tcW w:w="1360" w:type="pct"/>
            <w:tcBorders>
              <w:top w:val="single" w:color="auto" w:sz="4" w:space="0"/>
            </w:tcBorders>
          </w:tcPr>
          <w:p w14:paraId="25238A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IS(n=30)</w:t>
            </w:r>
          </w:p>
        </w:tc>
      </w:tr>
      <w:tr w14:paraId="5181F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  <w:tcBorders>
              <w:top w:val="single" w:color="auto" w:sz="4" w:space="0"/>
            </w:tcBorders>
          </w:tcPr>
          <w:p w14:paraId="030BB16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Age, mean (SD), y</w:t>
            </w:r>
          </w:p>
        </w:tc>
        <w:tc>
          <w:tcPr>
            <w:tcW w:w="1360" w:type="pct"/>
            <w:tcBorders>
              <w:top w:val="single" w:color="auto" w:sz="4" w:space="0"/>
            </w:tcBorders>
          </w:tcPr>
          <w:p w14:paraId="6548419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64.33(8.39)</w:t>
            </w:r>
          </w:p>
        </w:tc>
        <w:tc>
          <w:tcPr>
            <w:tcW w:w="1360" w:type="pct"/>
            <w:tcBorders>
              <w:top w:val="single" w:color="auto" w:sz="4" w:space="0"/>
            </w:tcBorders>
          </w:tcPr>
          <w:p w14:paraId="4515C0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67.60(10.06)</w:t>
            </w:r>
          </w:p>
        </w:tc>
      </w:tr>
      <w:tr w14:paraId="7ED84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6C9FDF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Male, n (%)</w:t>
            </w:r>
          </w:p>
        </w:tc>
        <w:tc>
          <w:tcPr>
            <w:tcW w:w="1360" w:type="pct"/>
          </w:tcPr>
          <w:p w14:paraId="0680FB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27(90.0)</w:t>
            </w:r>
          </w:p>
        </w:tc>
        <w:tc>
          <w:tcPr>
            <w:tcW w:w="1360" w:type="pct"/>
          </w:tcPr>
          <w:p w14:paraId="0F91D9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22(73.3)</w:t>
            </w:r>
          </w:p>
        </w:tc>
      </w:tr>
      <w:tr w14:paraId="241A3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32B78551">
            <w:pP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Smoking, n (%)</w:t>
            </w:r>
          </w:p>
        </w:tc>
        <w:tc>
          <w:tcPr>
            <w:tcW w:w="1360" w:type="pct"/>
          </w:tcPr>
          <w:p w14:paraId="099AEF2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20(66.7)</w:t>
            </w:r>
          </w:p>
        </w:tc>
        <w:tc>
          <w:tcPr>
            <w:tcW w:w="1360" w:type="pct"/>
          </w:tcPr>
          <w:p w14:paraId="2B6192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19(63.3)</w:t>
            </w:r>
          </w:p>
        </w:tc>
      </w:tr>
      <w:tr w14:paraId="07EF7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1F0D608A">
            <w:pP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Drinking, n (%)</w:t>
            </w:r>
          </w:p>
        </w:tc>
        <w:tc>
          <w:tcPr>
            <w:tcW w:w="1360" w:type="pct"/>
          </w:tcPr>
          <w:p w14:paraId="46038E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12(40.0)</w:t>
            </w:r>
          </w:p>
        </w:tc>
        <w:tc>
          <w:tcPr>
            <w:tcW w:w="1360" w:type="pct"/>
          </w:tcPr>
          <w:p w14:paraId="75418E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15(50.0)</w:t>
            </w:r>
          </w:p>
        </w:tc>
      </w:tr>
      <w:tr w14:paraId="5B5A4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2DD0F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Hypertension, n (%)</w:t>
            </w:r>
          </w:p>
        </w:tc>
        <w:tc>
          <w:tcPr>
            <w:tcW w:w="1360" w:type="pct"/>
          </w:tcPr>
          <w:p w14:paraId="4A0191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20(66.7)</w:t>
            </w:r>
          </w:p>
        </w:tc>
        <w:tc>
          <w:tcPr>
            <w:tcW w:w="1360" w:type="pct"/>
          </w:tcPr>
          <w:p w14:paraId="19DDC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24(80.0)</w:t>
            </w:r>
          </w:p>
        </w:tc>
      </w:tr>
      <w:tr w14:paraId="4D8BA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5BAB47FA">
            <w:pP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Diabetes Mellitus, n (%)</w:t>
            </w:r>
          </w:p>
        </w:tc>
        <w:tc>
          <w:tcPr>
            <w:tcW w:w="1360" w:type="pct"/>
          </w:tcPr>
          <w:p w14:paraId="55633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3(10.0)</w:t>
            </w:r>
          </w:p>
        </w:tc>
        <w:tc>
          <w:tcPr>
            <w:tcW w:w="1360" w:type="pct"/>
          </w:tcPr>
          <w:p w14:paraId="3AC75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22(73.3)</w:t>
            </w:r>
          </w:p>
        </w:tc>
      </w:tr>
      <w:tr w14:paraId="15792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</w:tcPr>
          <w:p w14:paraId="43631E34">
            <w:pP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Dyslipidemia, n (%)</w:t>
            </w:r>
          </w:p>
        </w:tc>
        <w:tc>
          <w:tcPr>
            <w:tcW w:w="1360" w:type="pct"/>
          </w:tcPr>
          <w:p w14:paraId="327B1A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18(60.0)</w:t>
            </w:r>
          </w:p>
        </w:tc>
        <w:tc>
          <w:tcPr>
            <w:tcW w:w="1360" w:type="pct"/>
          </w:tcPr>
          <w:p w14:paraId="37C281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19(63.3)</w:t>
            </w:r>
          </w:p>
        </w:tc>
      </w:tr>
      <w:tr w14:paraId="4F2595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8" w:type="pct"/>
            <w:tcBorders>
              <w:bottom w:val="single" w:color="auto" w:sz="4" w:space="0"/>
            </w:tcBorders>
          </w:tcPr>
          <w:p w14:paraId="435CDDF1">
            <w:pP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bookmarkStart w:id="4" w:name="OLE_LINK4"/>
            <w:r>
              <w:rPr>
                <w:rFonts w:ascii="Times New Roman" w:hAnsi="Times New Roman" w:cs="Times New Roman"/>
                <w:sz w:val="24"/>
              </w:rPr>
              <w:t>NIHSS score on admission</w:t>
            </w:r>
            <w:bookmarkEnd w:id="4"/>
            <w:r>
              <w:rPr>
                <w:rFonts w:ascii="Times New Roman" w:hAnsi="Times New Roman" w:cs="Times New Roman"/>
                <w:sz w:val="24"/>
              </w:rPr>
              <w:t>, mean(SD)</w:t>
            </w:r>
          </w:p>
        </w:tc>
        <w:tc>
          <w:tcPr>
            <w:tcW w:w="1360" w:type="pct"/>
            <w:tcBorders>
              <w:bottom w:val="single" w:color="auto" w:sz="4" w:space="0"/>
            </w:tcBorders>
          </w:tcPr>
          <w:p w14:paraId="0BA0CA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0(0)</w:t>
            </w:r>
          </w:p>
        </w:tc>
        <w:tc>
          <w:tcPr>
            <w:tcW w:w="1360" w:type="pct"/>
            <w:tcBorders>
              <w:bottom w:val="single" w:color="auto" w:sz="4" w:space="0"/>
            </w:tcBorders>
          </w:tcPr>
          <w:p w14:paraId="3B9578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5.53(2.40)</w:t>
            </w:r>
          </w:p>
        </w:tc>
      </w:tr>
      <w:bookmarkEnd w:id="3"/>
    </w:tbl>
    <w:p w14:paraId="53C78D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Notes: HC, health control. IS, ischemic stroke. </w:t>
      </w:r>
    </w:p>
    <w:p w14:paraId="3592265D">
      <w:pPr>
        <w:rPr>
          <w:rFonts w:ascii="Times New Roman" w:hAnsi="Times New Roman" w:cs="Times New Roman"/>
        </w:rPr>
      </w:pPr>
    </w:p>
    <w:p w14:paraId="33D72E48">
      <w:pPr>
        <w:rPr>
          <w:rFonts w:ascii="Times New Roman" w:hAnsi="Times New Roman" w:cs="Times New Roman"/>
        </w:rPr>
      </w:pPr>
    </w:p>
    <w:p w14:paraId="5661A4FE">
      <w:pPr>
        <w:rPr>
          <w:rFonts w:hint="eastAsia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jYTU2ZGU1NjkzZmM3MTZkYjNjNjEzY2Q0OTg4ZTkifQ=="/>
  </w:docVars>
  <w:rsids>
    <w:rsidRoot w:val="5DCB4D75"/>
    <w:rsid w:val="0025442D"/>
    <w:rsid w:val="00943737"/>
    <w:rsid w:val="009D299D"/>
    <w:rsid w:val="00EA112F"/>
    <w:rsid w:val="03A721C4"/>
    <w:rsid w:val="04581CB1"/>
    <w:rsid w:val="05D25154"/>
    <w:rsid w:val="09FF1EA0"/>
    <w:rsid w:val="0B8769D7"/>
    <w:rsid w:val="0D530C19"/>
    <w:rsid w:val="1123321C"/>
    <w:rsid w:val="12F47FC4"/>
    <w:rsid w:val="160410C9"/>
    <w:rsid w:val="19375EE1"/>
    <w:rsid w:val="1DFB128B"/>
    <w:rsid w:val="1FF90F5B"/>
    <w:rsid w:val="20902036"/>
    <w:rsid w:val="21B0096D"/>
    <w:rsid w:val="22C407E5"/>
    <w:rsid w:val="232323B1"/>
    <w:rsid w:val="246D1AAA"/>
    <w:rsid w:val="26946721"/>
    <w:rsid w:val="2D7059A2"/>
    <w:rsid w:val="2DDF733B"/>
    <w:rsid w:val="2F182986"/>
    <w:rsid w:val="2FB071B8"/>
    <w:rsid w:val="33541711"/>
    <w:rsid w:val="35E75195"/>
    <w:rsid w:val="38B25C69"/>
    <w:rsid w:val="3A027948"/>
    <w:rsid w:val="3CD72A6B"/>
    <w:rsid w:val="405C532A"/>
    <w:rsid w:val="48166B3E"/>
    <w:rsid w:val="4AB82CC9"/>
    <w:rsid w:val="4C677AB6"/>
    <w:rsid w:val="4CBA03DF"/>
    <w:rsid w:val="4D21045F"/>
    <w:rsid w:val="4FB8672C"/>
    <w:rsid w:val="535B15B5"/>
    <w:rsid w:val="53DA62C5"/>
    <w:rsid w:val="5C4D0240"/>
    <w:rsid w:val="5CAF7F1A"/>
    <w:rsid w:val="5DCB4D75"/>
    <w:rsid w:val="61E821B0"/>
    <w:rsid w:val="651B171A"/>
    <w:rsid w:val="6A0B3BD1"/>
    <w:rsid w:val="6B825C38"/>
    <w:rsid w:val="733537CA"/>
    <w:rsid w:val="73DC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207</Words>
  <Characters>1459</Characters>
  <Lines>8</Lines>
  <Paragraphs>2</Paragraphs>
  <TotalTime>48</TotalTime>
  <ScaleCrop>false</ScaleCrop>
  <LinksUpToDate>false</LinksUpToDate>
  <CharactersWithSpaces>1618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2024-05-22T00:59:00Z</dcterms:created>
  <dc:creator>中元</dc:creator>
  <cp:lastModifiedBy>中元</cp:lastModifiedBy>
  <dcterms:modified xsi:type="dcterms:W3CDTF">2024-10-18T07:16:28Z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6380E3ACD8B74215943E987AE569F775_13</vt:lpwstr>
  </property>
</Properties>
</file>