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552D" w14:textId="77777777" w:rsidR="00684BD4" w:rsidRDefault="00684BD4" w:rsidP="00684BD4">
      <w:pPr>
        <w:ind w:firstLine="420"/>
      </w:pPr>
      <w:r>
        <w:rPr>
          <w:rFonts w:hint="eastAsia"/>
        </w:rPr>
        <w:t xml:space="preserve">Supplementary Table 1. </w:t>
      </w:r>
      <w:r w:rsidRPr="0042117F">
        <w:t>The results of mNGS in blood.</w:t>
      </w:r>
    </w:p>
    <w:tbl>
      <w:tblPr>
        <w:tblW w:w="0" w:type="auto"/>
        <w:tblCellMar>
          <w:left w:w="0" w:type="dxa"/>
          <w:right w:w="0" w:type="dxa"/>
        </w:tblCellMar>
        <w:tblLook w:val="0420" w:firstRow="1" w:lastRow="0" w:firstColumn="0" w:lastColumn="0" w:noHBand="0" w:noVBand="1"/>
      </w:tblPr>
      <w:tblGrid>
        <w:gridCol w:w="1000"/>
        <w:gridCol w:w="1787"/>
        <w:gridCol w:w="1717"/>
        <w:gridCol w:w="1787"/>
        <w:gridCol w:w="1093"/>
        <w:gridCol w:w="1939"/>
      </w:tblGrid>
      <w:tr w:rsidR="00684BD4" w:rsidRPr="00033FCD" w14:paraId="1CF01DC8" w14:textId="77777777" w:rsidTr="009E053F">
        <w:trPr>
          <w:trHeight w:val="584"/>
        </w:trPr>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D97791C" w14:textId="77777777" w:rsidR="00684BD4" w:rsidRPr="00033FCD" w:rsidRDefault="00684BD4" w:rsidP="009E053F">
            <w:pPr>
              <w:ind w:firstLineChars="0" w:firstLine="0"/>
              <w:jc w:val="center"/>
            </w:pPr>
            <w:r w:rsidRPr="00033FCD">
              <w:t>Genus</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70E183E" w14:textId="77777777" w:rsidR="00684BD4" w:rsidRPr="00033FCD" w:rsidRDefault="00684BD4" w:rsidP="009E053F">
            <w:pPr>
              <w:ind w:firstLineChars="0" w:firstLine="0"/>
              <w:jc w:val="center"/>
            </w:pPr>
            <w:r w:rsidRPr="00033FCD">
              <w:t>Sequence number</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2C4B9AC" w14:textId="77777777" w:rsidR="00684BD4" w:rsidRPr="00033FCD" w:rsidRDefault="00684BD4" w:rsidP="009E053F">
            <w:pPr>
              <w:ind w:firstLineChars="0" w:firstLine="0"/>
              <w:jc w:val="center"/>
            </w:pPr>
            <w:r w:rsidRPr="00033FCD">
              <w:t>Species</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013C956" w14:textId="77777777" w:rsidR="00684BD4" w:rsidRPr="00033FCD" w:rsidRDefault="00684BD4" w:rsidP="009E053F">
            <w:pPr>
              <w:ind w:firstLineChars="0" w:firstLine="0"/>
              <w:jc w:val="center"/>
            </w:pPr>
            <w:r w:rsidRPr="00033FCD">
              <w:t>Sequence number</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21FB784" w14:textId="77777777" w:rsidR="00684BD4" w:rsidRPr="00033FCD" w:rsidRDefault="00684BD4" w:rsidP="009E053F">
            <w:pPr>
              <w:ind w:firstLineChars="0" w:firstLine="0"/>
              <w:jc w:val="center"/>
            </w:pPr>
            <w:r w:rsidRPr="00033FCD">
              <w:t>Coverage</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5D0238A" w14:textId="77777777" w:rsidR="00684BD4" w:rsidRPr="00033FCD" w:rsidRDefault="00684BD4" w:rsidP="009E053F">
            <w:pPr>
              <w:ind w:firstLineChars="0" w:firstLine="0"/>
              <w:jc w:val="center"/>
            </w:pPr>
            <w:r w:rsidRPr="00033FCD">
              <w:t>Relative abundance</w:t>
            </w:r>
          </w:p>
        </w:tc>
      </w:tr>
      <w:tr w:rsidR="00684BD4" w:rsidRPr="00033FCD" w14:paraId="4806ABFD" w14:textId="77777777" w:rsidTr="009E053F">
        <w:trPr>
          <w:trHeight w:val="584"/>
        </w:trPr>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2B3416C" w14:textId="77777777" w:rsidR="00684BD4" w:rsidRPr="00033FCD" w:rsidRDefault="00684BD4" w:rsidP="009E053F">
            <w:pPr>
              <w:ind w:firstLineChars="0" w:firstLine="0"/>
              <w:jc w:val="center"/>
            </w:pPr>
            <w:r w:rsidRPr="00033FCD">
              <w:rPr>
                <w:i/>
                <w:iCs/>
              </w:rPr>
              <w:t>Coxiella</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1E195D0" w14:textId="77777777" w:rsidR="00684BD4" w:rsidRPr="00033FCD" w:rsidRDefault="00684BD4" w:rsidP="009E053F">
            <w:pPr>
              <w:ind w:firstLineChars="0" w:firstLine="0"/>
              <w:jc w:val="center"/>
            </w:pPr>
            <w:r w:rsidRPr="00033FCD">
              <w:t>374</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63D34A3" w14:textId="77777777" w:rsidR="00684BD4" w:rsidRPr="00033FCD" w:rsidRDefault="00684BD4" w:rsidP="009E053F">
            <w:pPr>
              <w:ind w:firstLineChars="0" w:firstLine="0"/>
              <w:jc w:val="center"/>
            </w:pPr>
            <w:r w:rsidRPr="00033FCD">
              <w:rPr>
                <w:i/>
                <w:iCs/>
              </w:rPr>
              <w:t xml:space="preserve">Coxiella </w:t>
            </w:r>
            <w:proofErr w:type="spellStart"/>
            <w:r w:rsidRPr="00033FCD">
              <w:rPr>
                <w:i/>
                <w:iCs/>
              </w:rPr>
              <w:t>burnetii</w:t>
            </w:r>
            <w:proofErr w:type="spellEnd"/>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5193698" w14:textId="77777777" w:rsidR="00684BD4" w:rsidRPr="00033FCD" w:rsidRDefault="00684BD4" w:rsidP="009E053F">
            <w:pPr>
              <w:ind w:firstLineChars="0" w:firstLine="0"/>
              <w:jc w:val="center"/>
            </w:pPr>
            <w:r w:rsidRPr="00033FCD">
              <w:t>374</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35035EA" w14:textId="77777777" w:rsidR="00684BD4" w:rsidRPr="00033FCD" w:rsidRDefault="00684BD4" w:rsidP="009E053F">
            <w:pPr>
              <w:ind w:firstLineChars="0" w:firstLine="0"/>
              <w:jc w:val="center"/>
            </w:pPr>
            <w:r w:rsidRPr="00033FCD">
              <w:t>1.52%</w:t>
            </w:r>
          </w:p>
        </w:tc>
        <w:tc>
          <w:tcPr>
            <w:tcW w:w="0" w:type="auto"/>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73143E6" w14:textId="77777777" w:rsidR="00684BD4" w:rsidRPr="00033FCD" w:rsidRDefault="00684BD4" w:rsidP="009E053F">
            <w:pPr>
              <w:ind w:firstLineChars="0" w:firstLine="0"/>
              <w:jc w:val="center"/>
            </w:pPr>
            <w:r w:rsidRPr="00033FCD">
              <w:t>5.0%</w:t>
            </w:r>
          </w:p>
        </w:tc>
      </w:tr>
    </w:tbl>
    <w:p w14:paraId="4B2944B1" w14:textId="77777777" w:rsidR="008B75BA" w:rsidRDefault="008B75BA">
      <w:pPr>
        <w:widowControl/>
        <w:spacing w:line="240" w:lineRule="auto"/>
        <w:ind w:firstLineChars="0" w:firstLine="0"/>
        <w:jc w:val="left"/>
      </w:pPr>
    </w:p>
    <w:p w14:paraId="1FB9129C" w14:textId="1A0BA0EC" w:rsidR="008B75BA" w:rsidRDefault="008B75BA">
      <w:pPr>
        <w:widowControl/>
        <w:spacing w:line="240" w:lineRule="auto"/>
        <w:ind w:firstLineChars="0" w:firstLine="0"/>
        <w:jc w:val="left"/>
      </w:pPr>
      <w:r>
        <w:br w:type="page"/>
      </w:r>
    </w:p>
    <w:p w14:paraId="2E65E8A6" w14:textId="2402EFDF" w:rsidR="00973B6F" w:rsidRDefault="00CE2E3F" w:rsidP="00973B6F">
      <w:pPr>
        <w:ind w:firstLine="420"/>
      </w:pPr>
      <w:r>
        <w:rPr>
          <w:rFonts w:hint="eastAsia"/>
        </w:rPr>
        <w:lastRenderedPageBreak/>
        <w:t xml:space="preserve">Supplementary table </w:t>
      </w:r>
      <w:r w:rsidR="00446A65">
        <w:rPr>
          <w:rFonts w:hint="eastAsia"/>
        </w:rPr>
        <w:t>2</w:t>
      </w:r>
      <w:r>
        <w:rPr>
          <w:rFonts w:hint="eastAsia"/>
        </w:rPr>
        <w:t xml:space="preserve">. </w:t>
      </w:r>
      <w:r w:rsidR="000129DF">
        <w:rPr>
          <w:rFonts w:hint="eastAsia"/>
        </w:rPr>
        <w:t xml:space="preserve">Summary of case report of Q-fever in solid </w:t>
      </w:r>
      <w:r w:rsidR="008B496E">
        <w:rPr>
          <w:rFonts w:hint="eastAsia"/>
        </w:rPr>
        <w:t>organ transplant patients.</w:t>
      </w:r>
    </w:p>
    <w:tbl>
      <w:tblPr>
        <w:tblStyle w:val="aa"/>
        <w:tblW w:w="14350" w:type="dxa"/>
        <w:tblLook w:val="04A0" w:firstRow="1" w:lastRow="0" w:firstColumn="1" w:lastColumn="0" w:noHBand="0" w:noVBand="1"/>
      </w:tblPr>
      <w:tblGrid>
        <w:gridCol w:w="1162"/>
        <w:gridCol w:w="693"/>
        <w:gridCol w:w="891"/>
        <w:gridCol w:w="433"/>
        <w:gridCol w:w="599"/>
        <w:gridCol w:w="989"/>
        <w:gridCol w:w="1417"/>
        <w:gridCol w:w="866"/>
        <w:gridCol w:w="989"/>
        <w:gridCol w:w="989"/>
        <w:gridCol w:w="1220"/>
        <w:gridCol w:w="1025"/>
        <w:gridCol w:w="1077"/>
        <w:gridCol w:w="1271"/>
        <w:gridCol w:w="729"/>
      </w:tblGrid>
      <w:tr w:rsidR="00AD5449" w:rsidRPr="00BD2ABF" w14:paraId="01F4D974" w14:textId="1F59D92F" w:rsidTr="00AD5449">
        <w:tc>
          <w:tcPr>
            <w:tcW w:w="1162" w:type="dxa"/>
            <w:vAlign w:val="center"/>
          </w:tcPr>
          <w:p w14:paraId="0FBA95F4" w14:textId="0DAD2993"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Author</w:t>
            </w:r>
          </w:p>
        </w:tc>
        <w:tc>
          <w:tcPr>
            <w:tcW w:w="693" w:type="dxa"/>
            <w:vAlign w:val="center"/>
          </w:tcPr>
          <w:p w14:paraId="0417705C" w14:textId="099E54E6"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Reported time</w:t>
            </w:r>
          </w:p>
        </w:tc>
        <w:tc>
          <w:tcPr>
            <w:tcW w:w="891" w:type="dxa"/>
            <w:vAlign w:val="center"/>
          </w:tcPr>
          <w:p w14:paraId="123E2E2D" w14:textId="7F5F1AC4"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Transplanted organ</w:t>
            </w:r>
          </w:p>
        </w:tc>
        <w:tc>
          <w:tcPr>
            <w:tcW w:w="433" w:type="dxa"/>
            <w:vAlign w:val="center"/>
          </w:tcPr>
          <w:p w14:paraId="767E2306" w14:textId="4749ED09" w:rsidR="001F576D" w:rsidRPr="00BD2ABF" w:rsidRDefault="00AD5449" w:rsidP="007A0602">
            <w:pPr>
              <w:spacing w:before="100" w:beforeAutospacing="1" w:after="100" w:afterAutospacing="1" w:line="240" w:lineRule="auto"/>
              <w:ind w:firstLineChars="0" w:firstLine="0"/>
              <w:jc w:val="center"/>
              <w:rPr>
                <w:sz w:val="13"/>
                <w:szCs w:val="15"/>
              </w:rPr>
            </w:pPr>
            <w:r>
              <w:rPr>
                <w:rFonts w:hint="eastAsia"/>
                <w:sz w:val="13"/>
                <w:szCs w:val="15"/>
              </w:rPr>
              <w:t>A</w:t>
            </w:r>
            <w:r w:rsidR="001F576D" w:rsidRPr="00BD2ABF">
              <w:rPr>
                <w:rFonts w:hint="eastAsia"/>
                <w:sz w:val="13"/>
                <w:szCs w:val="15"/>
              </w:rPr>
              <w:t>ge</w:t>
            </w:r>
          </w:p>
        </w:tc>
        <w:tc>
          <w:tcPr>
            <w:tcW w:w="599" w:type="dxa"/>
            <w:vAlign w:val="center"/>
          </w:tcPr>
          <w:p w14:paraId="6012A399" w14:textId="5BB301E9"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Gender</w:t>
            </w:r>
          </w:p>
        </w:tc>
        <w:tc>
          <w:tcPr>
            <w:tcW w:w="989" w:type="dxa"/>
            <w:vAlign w:val="center"/>
          </w:tcPr>
          <w:p w14:paraId="461B1FB0" w14:textId="4993C16A"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sz w:val="13"/>
                <w:szCs w:val="15"/>
              </w:rPr>
              <w:t>Transplant time at the onset of symptoms</w:t>
            </w:r>
          </w:p>
        </w:tc>
        <w:tc>
          <w:tcPr>
            <w:tcW w:w="1417" w:type="dxa"/>
            <w:vAlign w:val="center"/>
          </w:tcPr>
          <w:p w14:paraId="199B8D7D" w14:textId="306EF1E8"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Clinical manifestation</w:t>
            </w:r>
          </w:p>
        </w:tc>
        <w:tc>
          <w:tcPr>
            <w:tcW w:w="866" w:type="dxa"/>
            <w:vAlign w:val="center"/>
          </w:tcPr>
          <w:p w14:paraId="7F8FB31F" w14:textId="254D7BD6" w:rsidR="001F576D" w:rsidRPr="00BD2ABF" w:rsidRDefault="001A6F2A" w:rsidP="007A0602">
            <w:pPr>
              <w:spacing w:before="100" w:beforeAutospacing="1" w:after="100" w:afterAutospacing="1" w:line="240" w:lineRule="auto"/>
              <w:ind w:firstLineChars="0" w:firstLine="0"/>
              <w:jc w:val="center"/>
              <w:rPr>
                <w:sz w:val="13"/>
                <w:szCs w:val="15"/>
              </w:rPr>
            </w:pPr>
            <w:r w:rsidRPr="00BD2ABF">
              <w:rPr>
                <w:sz w:val="13"/>
                <w:szCs w:val="15"/>
              </w:rPr>
              <w:t>Organ involvement</w:t>
            </w:r>
          </w:p>
        </w:tc>
        <w:tc>
          <w:tcPr>
            <w:tcW w:w="989" w:type="dxa"/>
            <w:vAlign w:val="center"/>
          </w:tcPr>
          <w:p w14:paraId="46D7ADBD" w14:textId="5895C300"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Method</w:t>
            </w:r>
          </w:p>
        </w:tc>
        <w:tc>
          <w:tcPr>
            <w:tcW w:w="989" w:type="dxa"/>
            <w:vAlign w:val="center"/>
          </w:tcPr>
          <w:p w14:paraId="5B3100B4" w14:textId="5FBE7D88"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Diagnosis time</w:t>
            </w:r>
          </w:p>
        </w:tc>
        <w:tc>
          <w:tcPr>
            <w:tcW w:w="1220" w:type="dxa"/>
            <w:vAlign w:val="center"/>
          </w:tcPr>
          <w:p w14:paraId="223C6D2A" w14:textId="3F9563F8"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Q-fever type</w:t>
            </w:r>
          </w:p>
        </w:tc>
        <w:tc>
          <w:tcPr>
            <w:tcW w:w="1025" w:type="dxa"/>
            <w:vAlign w:val="center"/>
          </w:tcPr>
          <w:p w14:paraId="121A1D89" w14:textId="4CDE0A3B" w:rsidR="001F576D" w:rsidRPr="00BD2ABF" w:rsidRDefault="001A3FC0" w:rsidP="007A0602">
            <w:pPr>
              <w:spacing w:before="100" w:beforeAutospacing="1" w:after="100" w:afterAutospacing="1" w:line="240" w:lineRule="auto"/>
              <w:ind w:firstLineChars="0" w:firstLine="0"/>
              <w:jc w:val="center"/>
              <w:rPr>
                <w:sz w:val="13"/>
                <w:szCs w:val="15"/>
              </w:rPr>
            </w:pPr>
            <w:r w:rsidRPr="00BD2ABF">
              <w:rPr>
                <w:sz w:val="13"/>
                <w:szCs w:val="15"/>
              </w:rPr>
              <w:t>Anti-rejection drugs</w:t>
            </w:r>
          </w:p>
        </w:tc>
        <w:tc>
          <w:tcPr>
            <w:tcW w:w="1077" w:type="dxa"/>
            <w:vAlign w:val="center"/>
          </w:tcPr>
          <w:p w14:paraId="40FE0608" w14:textId="425D08F4" w:rsidR="001F576D" w:rsidRPr="00BD2ABF" w:rsidRDefault="00B35CEF" w:rsidP="007A0602">
            <w:pPr>
              <w:spacing w:before="100" w:beforeAutospacing="1" w:after="100" w:afterAutospacing="1" w:line="240" w:lineRule="auto"/>
              <w:ind w:firstLineChars="0" w:firstLine="0"/>
              <w:jc w:val="center"/>
              <w:rPr>
                <w:sz w:val="13"/>
                <w:szCs w:val="15"/>
              </w:rPr>
            </w:pPr>
            <w:r w:rsidRPr="00BD2ABF">
              <w:rPr>
                <w:sz w:val="13"/>
                <w:szCs w:val="15"/>
              </w:rPr>
              <w:t>Whether to reduce/stop anti-rejection drugs</w:t>
            </w:r>
          </w:p>
        </w:tc>
        <w:tc>
          <w:tcPr>
            <w:tcW w:w="1271" w:type="dxa"/>
            <w:vAlign w:val="center"/>
          </w:tcPr>
          <w:p w14:paraId="71FD306D" w14:textId="73B6A5A8" w:rsidR="001F576D" w:rsidRPr="00BD2ABF" w:rsidRDefault="001F576D" w:rsidP="007A0602">
            <w:pPr>
              <w:spacing w:before="100" w:beforeAutospacing="1" w:after="100" w:afterAutospacing="1" w:line="240" w:lineRule="auto"/>
              <w:ind w:firstLineChars="0" w:firstLine="0"/>
              <w:jc w:val="center"/>
              <w:rPr>
                <w:sz w:val="13"/>
                <w:szCs w:val="15"/>
              </w:rPr>
            </w:pPr>
            <w:r w:rsidRPr="00BD2ABF">
              <w:rPr>
                <w:rFonts w:hint="eastAsia"/>
                <w:sz w:val="13"/>
                <w:szCs w:val="15"/>
              </w:rPr>
              <w:t>Treatment</w:t>
            </w:r>
          </w:p>
        </w:tc>
        <w:tc>
          <w:tcPr>
            <w:tcW w:w="729" w:type="dxa"/>
            <w:vAlign w:val="center"/>
          </w:tcPr>
          <w:p w14:paraId="54ED993E" w14:textId="165CDDB5" w:rsidR="001F576D" w:rsidRPr="00BD2ABF" w:rsidRDefault="00AB5EC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Prognosis</w:t>
            </w:r>
          </w:p>
        </w:tc>
      </w:tr>
      <w:tr w:rsidR="00AD5449" w:rsidRPr="00BD2ABF" w14:paraId="5A9ABD25" w14:textId="4DF614C4" w:rsidTr="00AD5449">
        <w:tc>
          <w:tcPr>
            <w:tcW w:w="1162" w:type="dxa"/>
            <w:vAlign w:val="center"/>
          </w:tcPr>
          <w:p w14:paraId="2946E560" w14:textId="07C5157E"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Christopher P. Larsen</w:t>
            </w:r>
            <w:r w:rsidRPr="00BD2ABF">
              <w:rPr>
                <w:rFonts w:hint="eastAsia"/>
                <w:sz w:val="13"/>
                <w:szCs w:val="15"/>
              </w:rPr>
              <w:t xml:space="preserve"> et al.</w:t>
            </w:r>
            <w:r w:rsidR="00AC0C8B">
              <w:rPr>
                <w:sz w:val="13"/>
                <w:szCs w:val="15"/>
              </w:rPr>
              <w:fldChar w:fldCharType="begin"/>
            </w:r>
            <w:r w:rsidR="00AC0C8B">
              <w:rPr>
                <w:sz w:val="13"/>
                <w:szCs w:val="15"/>
              </w:rPr>
              <w:instrText xml:space="preserve"> ADDIN ZOTERO_ITEM CSL_CITATION {"citationID":"4KS71lMr","properties":{"formattedCitation":"[1]","plainCitation":"[1]","noteIndex":0},"citationItems":[{"id":4611,"uris":["http://zotero.org/users/6461684/items/I4VE5LH3"],"itemData":{"id":4611,"type":"article-journal","abstract":"Acute Q fever is a zoonotic infection that most often occurs as an asymptomatic or very mild febrile illness. A small percentage of patients go on to develop chronic Q fever months or even years after the acute infection. We present a case of acute Q fever occurring in a renal transplant recipient who developed severe systemic disease with renal involvement. Serological diagnosis was carried out, and the patient was treated successfully with antibiotic therapy. This case emphasizes Q fever as one of the atypical infectious agents that may have serious consequences in immunocompromised renal transplant recipients and reminds us of the importance of careful inquiry regarding personal or occupational activities that could lead to exposure to specific organisms.","container-title":"American Journal of Kidney Diseases: The Official Journal of the National Kidney Foundation","DOI":"10.1053/j.ajkd.2006.04.070","ISSN":"1523-6838","issue":"2","journalAbbreviation":"Am J Kidney Dis","language":"eng","note":"PMID: 16860200","page":"321-326","source":"PubMed","title":"Infection in renal transplantation: a case of acute Q fever","title-short":"Infection in renal transplantation","volume":"48","author":[{"family":"Larsen","given":"Christopher P."},{"family":"Bell","given":"Jane M."},{"family":"Ketel","given":"Beverley L."},{"family":"Walker","given":"Patrick D."}],"issued":{"date-parts":[["2006",8]]}}}],"schema":"https://github.com/citation-style-language/schema/raw/master/csl-citation.json"} </w:instrText>
            </w:r>
            <w:r w:rsidR="00AC0C8B">
              <w:rPr>
                <w:sz w:val="13"/>
                <w:szCs w:val="15"/>
              </w:rPr>
              <w:fldChar w:fldCharType="separate"/>
            </w:r>
            <w:r w:rsidR="00AC0C8B" w:rsidRPr="00AC0C8B">
              <w:rPr>
                <w:rFonts w:cs="Times New Roman"/>
                <w:sz w:val="13"/>
              </w:rPr>
              <w:t>[1]</w:t>
            </w:r>
            <w:r w:rsidR="00AC0C8B">
              <w:rPr>
                <w:sz w:val="13"/>
                <w:szCs w:val="15"/>
              </w:rPr>
              <w:fldChar w:fldCharType="end"/>
            </w:r>
          </w:p>
        </w:tc>
        <w:tc>
          <w:tcPr>
            <w:tcW w:w="693" w:type="dxa"/>
            <w:vAlign w:val="center"/>
          </w:tcPr>
          <w:p w14:paraId="1FDA4A21" w14:textId="512D8ED4"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2006</w:t>
            </w:r>
          </w:p>
        </w:tc>
        <w:tc>
          <w:tcPr>
            <w:tcW w:w="891" w:type="dxa"/>
            <w:vAlign w:val="center"/>
          </w:tcPr>
          <w:p w14:paraId="145A8B97" w14:textId="6C20A358"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Kidney</w:t>
            </w:r>
          </w:p>
        </w:tc>
        <w:tc>
          <w:tcPr>
            <w:tcW w:w="433" w:type="dxa"/>
            <w:vAlign w:val="center"/>
          </w:tcPr>
          <w:p w14:paraId="70A9CAC9" w14:textId="5E728CD8"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56</w:t>
            </w:r>
          </w:p>
        </w:tc>
        <w:tc>
          <w:tcPr>
            <w:tcW w:w="599" w:type="dxa"/>
            <w:vAlign w:val="center"/>
          </w:tcPr>
          <w:p w14:paraId="3CD5844B" w14:textId="11D899F9"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66411413" w14:textId="28ADDE5A" w:rsidR="00855A67" w:rsidRPr="00BD2ABF" w:rsidRDefault="0090363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1.5 year</w:t>
            </w:r>
            <w:r w:rsidR="00383C16" w:rsidRPr="00BD2ABF">
              <w:rPr>
                <w:rFonts w:hint="eastAsia"/>
                <w:sz w:val="13"/>
                <w:szCs w:val="15"/>
              </w:rPr>
              <w:t>s</w:t>
            </w:r>
          </w:p>
        </w:tc>
        <w:tc>
          <w:tcPr>
            <w:tcW w:w="1417" w:type="dxa"/>
            <w:vAlign w:val="center"/>
          </w:tcPr>
          <w:p w14:paraId="69AC0D25" w14:textId="28B5AF05" w:rsidR="00855A67" w:rsidRPr="00BD2ABF" w:rsidRDefault="00525E62" w:rsidP="007A0602">
            <w:pPr>
              <w:spacing w:before="100" w:beforeAutospacing="1" w:after="100" w:afterAutospacing="1" w:line="240" w:lineRule="auto"/>
              <w:ind w:firstLineChars="0" w:firstLine="0"/>
              <w:jc w:val="center"/>
              <w:rPr>
                <w:sz w:val="13"/>
                <w:szCs w:val="15"/>
              </w:rPr>
            </w:pPr>
            <w:r w:rsidRPr="00BD2ABF">
              <w:rPr>
                <w:sz w:val="13"/>
                <w:szCs w:val="15"/>
              </w:rPr>
              <w:t>Diarrhea, loss of appetite, myalgia, arthralgia, malaise, dyspnea, abdominal pain, chest pain, mental changes</w:t>
            </w:r>
          </w:p>
        </w:tc>
        <w:tc>
          <w:tcPr>
            <w:tcW w:w="866" w:type="dxa"/>
            <w:vAlign w:val="center"/>
          </w:tcPr>
          <w:p w14:paraId="08812208" w14:textId="22027746" w:rsidR="00855A67" w:rsidRPr="00BD2ABF" w:rsidRDefault="00C06CC2"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Lung, liver, kidney</w:t>
            </w:r>
          </w:p>
        </w:tc>
        <w:tc>
          <w:tcPr>
            <w:tcW w:w="989" w:type="dxa"/>
            <w:vAlign w:val="center"/>
          </w:tcPr>
          <w:p w14:paraId="5D033B5C" w14:textId="15F7454E" w:rsidR="00855A67" w:rsidRPr="00BD2ABF" w:rsidRDefault="00EA6C34"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Serology</w:t>
            </w:r>
          </w:p>
        </w:tc>
        <w:tc>
          <w:tcPr>
            <w:tcW w:w="989" w:type="dxa"/>
            <w:vAlign w:val="center"/>
          </w:tcPr>
          <w:p w14:paraId="600929F0" w14:textId="77CE95FC" w:rsidR="00855A67" w:rsidRPr="00BD2ABF" w:rsidRDefault="004618FF" w:rsidP="007A0602">
            <w:pPr>
              <w:spacing w:before="100" w:beforeAutospacing="1" w:after="100" w:afterAutospacing="1" w:line="240" w:lineRule="auto"/>
              <w:ind w:firstLineChars="0" w:firstLine="0"/>
              <w:jc w:val="center"/>
              <w:rPr>
                <w:sz w:val="13"/>
                <w:szCs w:val="15"/>
              </w:rPr>
            </w:pPr>
            <w:r w:rsidRPr="00BD2ABF">
              <w:rPr>
                <w:sz w:val="13"/>
                <w:szCs w:val="15"/>
              </w:rPr>
              <w:t>Day 23 of admission</w:t>
            </w:r>
          </w:p>
        </w:tc>
        <w:tc>
          <w:tcPr>
            <w:tcW w:w="1220" w:type="dxa"/>
            <w:vAlign w:val="center"/>
          </w:tcPr>
          <w:p w14:paraId="7EC38274" w14:textId="523F26E6" w:rsidR="00855A67" w:rsidRPr="00BD2ABF" w:rsidRDefault="004F72B3" w:rsidP="007A0602">
            <w:pPr>
              <w:spacing w:before="100" w:beforeAutospacing="1" w:after="100" w:afterAutospacing="1" w:line="240" w:lineRule="auto"/>
              <w:ind w:firstLineChars="0" w:firstLine="0"/>
              <w:jc w:val="center"/>
              <w:rPr>
                <w:sz w:val="13"/>
                <w:szCs w:val="15"/>
              </w:rPr>
            </w:pPr>
            <w:r w:rsidRPr="00BD2ABF">
              <w:rPr>
                <w:sz w:val="13"/>
                <w:szCs w:val="15"/>
              </w:rPr>
              <w:t>A</w:t>
            </w:r>
            <w:r w:rsidRPr="00BD2ABF">
              <w:rPr>
                <w:rFonts w:hint="eastAsia"/>
                <w:sz w:val="13"/>
                <w:szCs w:val="15"/>
              </w:rPr>
              <w:t>cute</w:t>
            </w:r>
          </w:p>
        </w:tc>
        <w:tc>
          <w:tcPr>
            <w:tcW w:w="1025" w:type="dxa"/>
            <w:vAlign w:val="center"/>
          </w:tcPr>
          <w:p w14:paraId="57D9E5FE" w14:textId="437C6A83" w:rsidR="00855A67" w:rsidRPr="00BD2ABF" w:rsidRDefault="00AB5140" w:rsidP="007A0602">
            <w:pPr>
              <w:spacing w:before="100" w:beforeAutospacing="1" w:after="100" w:afterAutospacing="1" w:line="240" w:lineRule="auto"/>
              <w:ind w:firstLineChars="0" w:firstLine="0"/>
              <w:jc w:val="center"/>
              <w:rPr>
                <w:sz w:val="13"/>
                <w:szCs w:val="15"/>
              </w:rPr>
            </w:pPr>
            <w:r w:rsidRPr="00BD2ABF">
              <w:rPr>
                <w:sz w:val="13"/>
                <w:szCs w:val="15"/>
              </w:rPr>
              <w:t>Tacrolimus, sirolimus, and prednisone</w:t>
            </w:r>
          </w:p>
        </w:tc>
        <w:tc>
          <w:tcPr>
            <w:tcW w:w="1077" w:type="dxa"/>
            <w:vAlign w:val="center"/>
          </w:tcPr>
          <w:p w14:paraId="168B253E" w14:textId="24B281A2" w:rsidR="00855A67" w:rsidRPr="00BD2ABF" w:rsidRDefault="0051554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Suspended</w:t>
            </w:r>
          </w:p>
        </w:tc>
        <w:tc>
          <w:tcPr>
            <w:tcW w:w="1271" w:type="dxa"/>
            <w:vAlign w:val="center"/>
          </w:tcPr>
          <w:p w14:paraId="5D91F1B8" w14:textId="1CBE4CCD" w:rsidR="00855A67" w:rsidRPr="00BD2ABF" w:rsidRDefault="00781AC1" w:rsidP="007A0602">
            <w:pPr>
              <w:spacing w:before="100" w:beforeAutospacing="1" w:after="100" w:afterAutospacing="1" w:line="240" w:lineRule="auto"/>
              <w:ind w:firstLineChars="0" w:firstLine="0"/>
              <w:jc w:val="center"/>
              <w:rPr>
                <w:sz w:val="13"/>
                <w:szCs w:val="15"/>
              </w:rPr>
            </w:pPr>
            <w:r w:rsidRPr="00BD2ABF">
              <w:rPr>
                <w:sz w:val="13"/>
                <w:szCs w:val="15"/>
              </w:rPr>
              <w:t xml:space="preserve">Doxycycline </w:t>
            </w:r>
            <w:r w:rsidR="00487C5E" w:rsidRPr="00BD2ABF">
              <w:rPr>
                <w:rFonts w:hint="eastAsia"/>
                <w:sz w:val="13"/>
                <w:szCs w:val="15"/>
              </w:rPr>
              <w:t xml:space="preserve">for </w:t>
            </w:r>
            <w:r w:rsidRPr="00BD2ABF">
              <w:rPr>
                <w:sz w:val="13"/>
                <w:szCs w:val="15"/>
              </w:rPr>
              <w:t>1 month</w:t>
            </w:r>
          </w:p>
        </w:tc>
        <w:tc>
          <w:tcPr>
            <w:tcW w:w="729" w:type="dxa"/>
            <w:vAlign w:val="center"/>
          </w:tcPr>
          <w:p w14:paraId="74876FDA" w14:textId="389D534D"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39102481" w14:textId="4622E0DF" w:rsidTr="00AD5449">
        <w:tc>
          <w:tcPr>
            <w:tcW w:w="1162" w:type="dxa"/>
            <w:vAlign w:val="center"/>
          </w:tcPr>
          <w:p w14:paraId="7D570FED" w14:textId="7D5DEB4B"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I. Godinho</w:t>
            </w:r>
            <w:r w:rsidRPr="00BD2ABF">
              <w:rPr>
                <w:rFonts w:hint="eastAsia"/>
                <w:sz w:val="13"/>
                <w:szCs w:val="15"/>
              </w:rPr>
              <w:t xml:space="preserve"> et al.</w:t>
            </w:r>
            <w:r w:rsidR="0015187C">
              <w:rPr>
                <w:sz w:val="13"/>
                <w:szCs w:val="15"/>
              </w:rPr>
              <w:fldChar w:fldCharType="begin"/>
            </w:r>
            <w:r w:rsidR="0015187C">
              <w:rPr>
                <w:sz w:val="13"/>
                <w:szCs w:val="15"/>
              </w:rPr>
              <w:instrText xml:space="preserve"> ADDIN ZOTERO_ITEM CSL_CITATION {"citationID":"iqLTHsY2","properties":{"formattedCitation":"[2]","plainCitation":"[2]","noteIndex":0},"citationItems":[{"id":4735,"uris":["http://zotero.org/users/6461684/items/7JW6BRXU"],"itemData":{"id":4735,"type":"article-journal","abstract":"Q fever is a zoonosis caused by Coxiella burnetii that presents with a wide spectrum of acute and chronic manifestations. Progression to chronic Q fever is frequently associated with valve and vascular prosthesis, aneurisms, pregnancy, immunosuppression, and advanced chronic kidney disease. We present a case of a kidney transplant recipient with persistent fever of unknown origin, negative blood cultures, anemia, and increased erythrocyte sedimentation rate (ESR) and C-reactive protein (CRP). Q fever serological tests were suggestive of chronic Q fever and the patient was diagnosed with probable chronic Q fever according to the Dutch Fever Consensus Group Guidelines. Initiation of doxycycline 200 mg/d and hydroxychloroquine 600 mg/d resulted in clinical remission. Chronic Q fever is a high-morbidity and -mortality disease if untreated and special attention has to be given to high-risk patients, such as kidney transplant recipients.","container-title":"Transplantation Proceedings","DOI":"10.1016/j.transproceed.2015.03.022","ISSN":"1873-2623","issue":"4","journalAbbreviation":"Transplant Proc","language":"eng","note":"PMID: 26036515","page":"1045-1047","source":"PubMed","title":"Chronic Q Fever in a renal transplant recipient: a case report","title-short":"Chronic Q Fever in a renal transplant recipient","volume":"47","author":[{"family":"Godinho","given":"I."},{"family":"Nogueira","given":"E. L."},{"family":"Santos","given":"C. M."},{"family":"Paulo","given":"S. E."},{"family":"Fortes","given":"A."},{"family":"Guerra","given":"J. O."},{"family":"Gomes da Costa","given":"A."}],"issued":{"date-parts":[["2015",5]]}}}],"schema":"https://github.com/citation-style-language/schema/raw/master/csl-citation.json"} </w:instrText>
            </w:r>
            <w:r w:rsidR="0015187C">
              <w:rPr>
                <w:sz w:val="13"/>
                <w:szCs w:val="15"/>
              </w:rPr>
              <w:fldChar w:fldCharType="separate"/>
            </w:r>
            <w:r w:rsidR="0015187C" w:rsidRPr="0015187C">
              <w:rPr>
                <w:rFonts w:cs="Times New Roman"/>
                <w:sz w:val="13"/>
              </w:rPr>
              <w:t>[2]</w:t>
            </w:r>
            <w:r w:rsidR="0015187C">
              <w:rPr>
                <w:sz w:val="13"/>
                <w:szCs w:val="15"/>
              </w:rPr>
              <w:fldChar w:fldCharType="end"/>
            </w:r>
          </w:p>
        </w:tc>
        <w:tc>
          <w:tcPr>
            <w:tcW w:w="693" w:type="dxa"/>
            <w:vAlign w:val="center"/>
          </w:tcPr>
          <w:p w14:paraId="100AEEFC" w14:textId="5BCD2EB6"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2015</w:t>
            </w:r>
          </w:p>
        </w:tc>
        <w:tc>
          <w:tcPr>
            <w:tcW w:w="891" w:type="dxa"/>
            <w:vAlign w:val="center"/>
          </w:tcPr>
          <w:p w14:paraId="0E7F0501" w14:textId="03B2B0FB"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Kidney</w:t>
            </w:r>
          </w:p>
        </w:tc>
        <w:tc>
          <w:tcPr>
            <w:tcW w:w="433" w:type="dxa"/>
            <w:vAlign w:val="center"/>
          </w:tcPr>
          <w:p w14:paraId="39EFA778" w14:textId="6B921761"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60</w:t>
            </w:r>
          </w:p>
        </w:tc>
        <w:tc>
          <w:tcPr>
            <w:tcW w:w="599" w:type="dxa"/>
            <w:vAlign w:val="center"/>
          </w:tcPr>
          <w:p w14:paraId="39F87199" w14:textId="7CBBB004"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0B2ACD9B" w14:textId="20963738" w:rsidR="00855A67" w:rsidRPr="00BD2ABF" w:rsidRDefault="0090363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417" w:type="dxa"/>
            <w:vAlign w:val="center"/>
          </w:tcPr>
          <w:p w14:paraId="041E70AE" w14:textId="53CFBC01" w:rsidR="00855A67" w:rsidRPr="00BD2ABF" w:rsidRDefault="004E5AD0" w:rsidP="007A0602">
            <w:pPr>
              <w:spacing w:before="100" w:beforeAutospacing="1" w:after="100" w:afterAutospacing="1" w:line="240" w:lineRule="auto"/>
              <w:ind w:firstLineChars="0" w:firstLine="0"/>
              <w:jc w:val="center"/>
              <w:rPr>
                <w:sz w:val="13"/>
                <w:szCs w:val="15"/>
              </w:rPr>
            </w:pPr>
            <w:r w:rsidRPr="00BD2ABF">
              <w:rPr>
                <w:sz w:val="13"/>
                <w:szCs w:val="15"/>
              </w:rPr>
              <w:t>Fever, night sweats, anemia</w:t>
            </w:r>
          </w:p>
        </w:tc>
        <w:tc>
          <w:tcPr>
            <w:tcW w:w="866" w:type="dxa"/>
            <w:vAlign w:val="center"/>
          </w:tcPr>
          <w:p w14:paraId="1ED56D9F" w14:textId="722CC5C9" w:rsidR="00855A67" w:rsidRPr="00BD2ABF" w:rsidRDefault="008964D5" w:rsidP="007A0602">
            <w:pPr>
              <w:spacing w:before="100" w:beforeAutospacing="1" w:after="100" w:afterAutospacing="1" w:line="240" w:lineRule="auto"/>
              <w:ind w:firstLineChars="0" w:firstLine="0"/>
              <w:jc w:val="center"/>
              <w:rPr>
                <w:sz w:val="13"/>
                <w:szCs w:val="15"/>
              </w:rPr>
            </w:pPr>
            <w:r w:rsidRPr="00BD2ABF">
              <w:rPr>
                <w:rFonts w:hint="eastAsia"/>
                <w:sz w:val="13"/>
                <w:szCs w:val="15"/>
              </w:rPr>
              <w:t>None</w:t>
            </w:r>
          </w:p>
        </w:tc>
        <w:tc>
          <w:tcPr>
            <w:tcW w:w="989" w:type="dxa"/>
            <w:vAlign w:val="center"/>
          </w:tcPr>
          <w:p w14:paraId="7CDB3F41" w14:textId="0B734900" w:rsidR="00855A67" w:rsidRPr="00BD2ABF" w:rsidRDefault="00524EC1"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Serology</w:t>
            </w:r>
          </w:p>
        </w:tc>
        <w:tc>
          <w:tcPr>
            <w:tcW w:w="989" w:type="dxa"/>
            <w:vAlign w:val="center"/>
          </w:tcPr>
          <w:p w14:paraId="0216A04C" w14:textId="74983424" w:rsidR="00855A67" w:rsidRPr="00BD2ABF" w:rsidRDefault="004618FF"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20" w:type="dxa"/>
            <w:vAlign w:val="center"/>
          </w:tcPr>
          <w:p w14:paraId="743A666C" w14:textId="0544857C" w:rsidR="00855A67" w:rsidRPr="00BD2ABF" w:rsidRDefault="004F72B3" w:rsidP="007A0602">
            <w:pPr>
              <w:spacing w:before="100" w:beforeAutospacing="1" w:after="100" w:afterAutospacing="1" w:line="240" w:lineRule="auto"/>
              <w:ind w:firstLineChars="0" w:firstLine="0"/>
              <w:jc w:val="center"/>
              <w:rPr>
                <w:sz w:val="13"/>
                <w:szCs w:val="15"/>
              </w:rPr>
            </w:pPr>
            <w:r w:rsidRPr="00BD2ABF">
              <w:rPr>
                <w:sz w:val="13"/>
                <w:szCs w:val="15"/>
              </w:rPr>
              <w:t>C</w:t>
            </w:r>
            <w:r w:rsidRPr="00BD2ABF">
              <w:rPr>
                <w:rFonts w:hint="eastAsia"/>
                <w:sz w:val="13"/>
                <w:szCs w:val="15"/>
              </w:rPr>
              <w:t>hronic</w:t>
            </w:r>
          </w:p>
        </w:tc>
        <w:tc>
          <w:tcPr>
            <w:tcW w:w="1025" w:type="dxa"/>
            <w:vAlign w:val="center"/>
          </w:tcPr>
          <w:p w14:paraId="707B42A6" w14:textId="0F51D8F2" w:rsidR="00855A67" w:rsidRPr="00BD2ABF" w:rsidRDefault="00A96BA1" w:rsidP="007A0602">
            <w:pPr>
              <w:spacing w:before="100" w:beforeAutospacing="1" w:after="100" w:afterAutospacing="1" w:line="240" w:lineRule="auto"/>
              <w:ind w:firstLineChars="0" w:firstLine="0"/>
              <w:jc w:val="center"/>
              <w:rPr>
                <w:sz w:val="13"/>
                <w:szCs w:val="15"/>
              </w:rPr>
            </w:pPr>
            <w:r w:rsidRPr="00BD2ABF">
              <w:rPr>
                <w:sz w:val="13"/>
                <w:szCs w:val="15"/>
              </w:rPr>
              <w:t>Sirolimus, mycophenolate mofetil, prednisolone</w:t>
            </w:r>
          </w:p>
        </w:tc>
        <w:tc>
          <w:tcPr>
            <w:tcW w:w="1077" w:type="dxa"/>
            <w:vAlign w:val="center"/>
          </w:tcPr>
          <w:p w14:paraId="51D0FD46" w14:textId="7B71689A" w:rsidR="00855A67" w:rsidRPr="00BD2ABF" w:rsidRDefault="00005E3F"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71" w:type="dxa"/>
            <w:vAlign w:val="center"/>
          </w:tcPr>
          <w:p w14:paraId="3EFD47E9" w14:textId="74B9985A" w:rsidR="00855A67" w:rsidRPr="00BD2ABF" w:rsidRDefault="00702E4B" w:rsidP="007A0602">
            <w:pPr>
              <w:spacing w:before="100" w:beforeAutospacing="1" w:after="100" w:afterAutospacing="1" w:line="240" w:lineRule="auto"/>
              <w:ind w:firstLineChars="0" w:firstLine="0"/>
              <w:jc w:val="center"/>
              <w:rPr>
                <w:sz w:val="13"/>
                <w:szCs w:val="15"/>
              </w:rPr>
            </w:pPr>
            <w:r w:rsidRPr="00BD2ABF">
              <w:rPr>
                <w:sz w:val="13"/>
                <w:szCs w:val="15"/>
              </w:rPr>
              <w:t>Doxycycline and hydroxychloroquine</w:t>
            </w:r>
            <w:r w:rsidR="00487C5E" w:rsidRPr="00BD2ABF">
              <w:rPr>
                <w:rFonts w:hint="eastAsia"/>
                <w:sz w:val="13"/>
                <w:szCs w:val="15"/>
              </w:rPr>
              <w:t xml:space="preserve"> for over</w:t>
            </w:r>
            <w:r w:rsidRPr="00BD2ABF">
              <w:rPr>
                <w:sz w:val="13"/>
                <w:szCs w:val="15"/>
              </w:rPr>
              <w:t xml:space="preserve"> 6 months</w:t>
            </w:r>
          </w:p>
        </w:tc>
        <w:tc>
          <w:tcPr>
            <w:tcW w:w="729" w:type="dxa"/>
            <w:vAlign w:val="center"/>
          </w:tcPr>
          <w:p w14:paraId="43199484" w14:textId="19B211CA"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0AB57ACD" w14:textId="772977A7" w:rsidTr="00AD5449">
        <w:tc>
          <w:tcPr>
            <w:tcW w:w="1162" w:type="dxa"/>
            <w:vAlign w:val="center"/>
          </w:tcPr>
          <w:p w14:paraId="3B5538BD" w14:textId="5C9FD0C6" w:rsidR="00855A67" w:rsidRPr="00BD2ABF" w:rsidRDefault="00855A67" w:rsidP="007A0602">
            <w:pPr>
              <w:spacing w:before="100" w:beforeAutospacing="1" w:after="100" w:afterAutospacing="1" w:line="240" w:lineRule="auto"/>
              <w:ind w:firstLineChars="0" w:firstLine="0"/>
              <w:jc w:val="center"/>
              <w:rPr>
                <w:sz w:val="13"/>
                <w:szCs w:val="15"/>
              </w:rPr>
            </w:pPr>
            <w:proofErr w:type="spellStart"/>
            <w:r w:rsidRPr="00BD2ABF">
              <w:rPr>
                <w:sz w:val="13"/>
                <w:szCs w:val="15"/>
              </w:rPr>
              <w:t>Budgin</w:t>
            </w:r>
            <w:proofErr w:type="spellEnd"/>
            <w:r w:rsidRPr="00BD2ABF">
              <w:rPr>
                <w:sz w:val="13"/>
                <w:szCs w:val="15"/>
              </w:rPr>
              <w:t xml:space="preserve"> AM</w:t>
            </w:r>
            <w:r w:rsidRPr="00BD2ABF">
              <w:rPr>
                <w:rFonts w:hint="eastAsia"/>
                <w:sz w:val="13"/>
                <w:szCs w:val="15"/>
              </w:rPr>
              <w:t xml:space="preserve"> et al.</w:t>
            </w:r>
            <w:r w:rsidR="00721CE8">
              <w:rPr>
                <w:sz w:val="13"/>
                <w:szCs w:val="15"/>
              </w:rPr>
              <w:fldChar w:fldCharType="begin"/>
            </w:r>
            <w:r w:rsidR="00721CE8">
              <w:rPr>
                <w:sz w:val="13"/>
                <w:szCs w:val="15"/>
              </w:rPr>
              <w:instrText xml:space="preserve"> ADDIN ZOTERO_ITEM CSL_CITATION {"citationID":"vdMDvdZO","properties":{"formattedCitation":"[3]","plainCitation":"[3]","noteIndex":0},"citationItems":[{"id":4733,"uris":["http://zotero.org/users/6461684/items/4M3CU8HP"],"itemData":{"id":4733,"type":"article-journal","abstract":"Q fever in solid organ transplant (SOT) recipients is rarely described in the medical literature. We present a case of severe acute Q fever pneumonia that evolved into persistent localized Q fever endocarditis in a renal transplant recipient.","container-title":"Transplant Infectious Disease: An Official Journal of the Transplantation Society","DOI":"10.1111/tid.13230","ISSN":"1399-3062","issue":"1","journalAbbreviation":"Transpl Infect Dis","language":"eng","note":"PMID: 31808240","page":"e13230","source":"PubMed","title":"Severe acute Q fever pneumonia complicated by presumed persistent localized Q fever endocarditis in a renal transplant recipient: A case report and review of the literature","title-short":"Severe acute Q fever pneumonia complicated by presumed persistent localized Q fever endocarditis in a renal transplant recipient","volume":"22","author":[{"family":"Budgin","given":"Angela M."},{"family":"Abidi","given":"Maheen Z."},{"family":"Bajrovic","given":"Valida"},{"family":"Miller","given":"Matthew A."},{"family":"Johnson","given":"Steven C."}],"issued":{"date-parts":[["2020",2]]}}}],"schema":"https://github.com/citation-style-language/schema/raw/master/csl-citation.json"} </w:instrText>
            </w:r>
            <w:r w:rsidR="00721CE8">
              <w:rPr>
                <w:sz w:val="13"/>
                <w:szCs w:val="15"/>
              </w:rPr>
              <w:fldChar w:fldCharType="separate"/>
            </w:r>
            <w:r w:rsidR="00721CE8" w:rsidRPr="00721CE8">
              <w:rPr>
                <w:rFonts w:cs="Times New Roman"/>
                <w:sz w:val="13"/>
              </w:rPr>
              <w:t>[3]</w:t>
            </w:r>
            <w:r w:rsidR="00721CE8">
              <w:rPr>
                <w:sz w:val="13"/>
                <w:szCs w:val="15"/>
              </w:rPr>
              <w:fldChar w:fldCharType="end"/>
            </w:r>
          </w:p>
        </w:tc>
        <w:tc>
          <w:tcPr>
            <w:tcW w:w="693" w:type="dxa"/>
            <w:vAlign w:val="center"/>
          </w:tcPr>
          <w:p w14:paraId="4F6E8D44" w14:textId="6985D1D5"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2020</w:t>
            </w:r>
          </w:p>
        </w:tc>
        <w:tc>
          <w:tcPr>
            <w:tcW w:w="891" w:type="dxa"/>
            <w:vAlign w:val="center"/>
          </w:tcPr>
          <w:p w14:paraId="5F2E450A" w14:textId="793C442E"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Kidney</w:t>
            </w:r>
          </w:p>
        </w:tc>
        <w:tc>
          <w:tcPr>
            <w:tcW w:w="433" w:type="dxa"/>
            <w:vAlign w:val="center"/>
          </w:tcPr>
          <w:p w14:paraId="0D1B7A96" w14:textId="5E97C711"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59</w:t>
            </w:r>
          </w:p>
        </w:tc>
        <w:tc>
          <w:tcPr>
            <w:tcW w:w="599" w:type="dxa"/>
            <w:vAlign w:val="center"/>
          </w:tcPr>
          <w:p w14:paraId="723A79D2" w14:textId="78F88134"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Female</w:t>
            </w:r>
          </w:p>
        </w:tc>
        <w:tc>
          <w:tcPr>
            <w:tcW w:w="989" w:type="dxa"/>
            <w:vAlign w:val="center"/>
          </w:tcPr>
          <w:p w14:paraId="4860695F" w14:textId="348F8887" w:rsidR="00855A67" w:rsidRPr="00BD2ABF" w:rsidRDefault="00383C1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417" w:type="dxa"/>
            <w:vAlign w:val="center"/>
          </w:tcPr>
          <w:p w14:paraId="35B7338F" w14:textId="1C119ECD" w:rsidR="00855A67" w:rsidRPr="00BD2ABF" w:rsidRDefault="006D4B9A" w:rsidP="007A0602">
            <w:pPr>
              <w:spacing w:before="100" w:beforeAutospacing="1" w:after="100" w:afterAutospacing="1" w:line="240" w:lineRule="auto"/>
              <w:ind w:firstLineChars="0" w:firstLine="0"/>
              <w:jc w:val="center"/>
              <w:rPr>
                <w:sz w:val="13"/>
                <w:szCs w:val="15"/>
              </w:rPr>
            </w:pPr>
            <w:r w:rsidRPr="00BD2ABF">
              <w:rPr>
                <w:sz w:val="13"/>
                <w:szCs w:val="15"/>
              </w:rPr>
              <w:t>Pneumonia, respiratory failure, suspected infective endocarditis</w:t>
            </w:r>
          </w:p>
        </w:tc>
        <w:tc>
          <w:tcPr>
            <w:tcW w:w="866" w:type="dxa"/>
            <w:vAlign w:val="center"/>
          </w:tcPr>
          <w:p w14:paraId="5041CAD1" w14:textId="0BA19282" w:rsidR="00855A67" w:rsidRPr="00BD2ABF" w:rsidRDefault="008964D5"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Lung, heart</w:t>
            </w:r>
          </w:p>
        </w:tc>
        <w:tc>
          <w:tcPr>
            <w:tcW w:w="989" w:type="dxa"/>
            <w:vAlign w:val="center"/>
          </w:tcPr>
          <w:p w14:paraId="070E93EA" w14:textId="60C42D62" w:rsidR="00855A67" w:rsidRPr="00BD2ABF" w:rsidRDefault="00524EC1"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Serology</w:t>
            </w:r>
          </w:p>
        </w:tc>
        <w:tc>
          <w:tcPr>
            <w:tcW w:w="989" w:type="dxa"/>
            <w:vAlign w:val="center"/>
          </w:tcPr>
          <w:p w14:paraId="554D1F45" w14:textId="74F62D07" w:rsidR="00855A67" w:rsidRPr="00BD2ABF" w:rsidRDefault="009D5EB4" w:rsidP="007A0602">
            <w:pPr>
              <w:spacing w:before="100" w:beforeAutospacing="1" w:after="100" w:afterAutospacing="1" w:line="240" w:lineRule="auto"/>
              <w:ind w:firstLineChars="0" w:firstLine="0"/>
              <w:jc w:val="center"/>
              <w:rPr>
                <w:sz w:val="13"/>
                <w:szCs w:val="15"/>
              </w:rPr>
            </w:pPr>
            <w:r w:rsidRPr="00BD2ABF">
              <w:rPr>
                <w:sz w:val="13"/>
                <w:szCs w:val="15"/>
              </w:rPr>
              <w:t>More than 5 days after admission</w:t>
            </w:r>
          </w:p>
        </w:tc>
        <w:tc>
          <w:tcPr>
            <w:tcW w:w="1220" w:type="dxa"/>
            <w:vAlign w:val="center"/>
          </w:tcPr>
          <w:p w14:paraId="00107CCD" w14:textId="00417CF4"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sz w:val="13"/>
                <w:szCs w:val="15"/>
              </w:rPr>
              <w:t>A</w:t>
            </w:r>
            <w:r w:rsidRPr="00BD2ABF">
              <w:rPr>
                <w:rFonts w:hint="eastAsia"/>
                <w:sz w:val="13"/>
                <w:szCs w:val="15"/>
              </w:rPr>
              <w:t>cute + chronic(Suspected)</w:t>
            </w:r>
          </w:p>
        </w:tc>
        <w:tc>
          <w:tcPr>
            <w:tcW w:w="1025" w:type="dxa"/>
            <w:vAlign w:val="center"/>
          </w:tcPr>
          <w:p w14:paraId="52D164E7" w14:textId="3B9F76C9" w:rsidR="00855A67" w:rsidRPr="00BD2ABF" w:rsidRDefault="00EE07D3" w:rsidP="007A0602">
            <w:pPr>
              <w:spacing w:before="100" w:beforeAutospacing="1" w:after="100" w:afterAutospacing="1" w:line="240" w:lineRule="auto"/>
              <w:ind w:firstLineChars="0" w:firstLine="0"/>
              <w:jc w:val="center"/>
              <w:rPr>
                <w:sz w:val="13"/>
                <w:szCs w:val="15"/>
              </w:rPr>
            </w:pPr>
            <w:r w:rsidRPr="00BD2ABF">
              <w:rPr>
                <w:sz w:val="13"/>
                <w:szCs w:val="15"/>
              </w:rPr>
              <w:t>Sirolimus, mycophenolate mofetil, prednisone</w:t>
            </w:r>
          </w:p>
        </w:tc>
        <w:tc>
          <w:tcPr>
            <w:tcW w:w="1077" w:type="dxa"/>
            <w:vAlign w:val="center"/>
          </w:tcPr>
          <w:p w14:paraId="510935F1" w14:textId="26707C5A" w:rsidR="00855A67" w:rsidRPr="00BD2ABF" w:rsidRDefault="006E73BF"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Suspend</w:t>
            </w:r>
            <w:r w:rsidRPr="00BD2ABF">
              <w:rPr>
                <w:sz w:val="13"/>
                <w:szCs w:val="15"/>
              </w:rPr>
              <w:t xml:space="preserve"> sirolimus</w:t>
            </w:r>
          </w:p>
        </w:tc>
        <w:tc>
          <w:tcPr>
            <w:tcW w:w="1271" w:type="dxa"/>
            <w:vAlign w:val="center"/>
          </w:tcPr>
          <w:p w14:paraId="107E603C" w14:textId="6DB935C1" w:rsidR="00855A67" w:rsidRPr="00BD2ABF" w:rsidRDefault="00043B16" w:rsidP="007A0602">
            <w:pPr>
              <w:spacing w:before="100" w:beforeAutospacing="1" w:after="100" w:afterAutospacing="1" w:line="240" w:lineRule="auto"/>
              <w:ind w:firstLineChars="0" w:firstLine="0"/>
              <w:jc w:val="center"/>
              <w:rPr>
                <w:sz w:val="13"/>
                <w:szCs w:val="15"/>
              </w:rPr>
            </w:pPr>
            <w:r w:rsidRPr="00BD2ABF">
              <w:rPr>
                <w:sz w:val="13"/>
                <w:szCs w:val="15"/>
              </w:rPr>
              <w:t>Doxycycline and hydroxychloroquine</w:t>
            </w:r>
            <w:r w:rsidR="00487C5E" w:rsidRPr="00BD2ABF">
              <w:rPr>
                <w:rFonts w:hint="eastAsia"/>
                <w:sz w:val="13"/>
                <w:szCs w:val="15"/>
              </w:rPr>
              <w:t xml:space="preserve"> for over</w:t>
            </w:r>
            <w:r w:rsidRPr="00BD2ABF">
              <w:rPr>
                <w:sz w:val="13"/>
                <w:szCs w:val="15"/>
              </w:rPr>
              <w:t xml:space="preserve"> </w:t>
            </w:r>
            <w:r w:rsidRPr="00BD2ABF">
              <w:rPr>
                <w:rFonts w:hint="eastAsia"/>
                <w:sz w:val="13"/>
                <w:szCs w:val="15"/>
              </w:rPr>
              <w:t>18</w:t>
            </w:r>
            <w:r w:rsidRPr="00BD2ABF">
              <w:rPr>
                <w:sz w:val="13"/>
                <w:szCs w:val="15"/>
              </w:rPr>
              <w:t xml:space="preserve"> months</w:t>
            </w:r>
          </w:p>
        </w:tc>
        <w:tc>
          <w:tcPr>
            <w:tcW w:w="729" w:type="dxa"/>
            <w:vAlign w:val="center"/>
          </w:tcPr>
          <w:p w14:paraId="0CE0343D" w14:textId="5F611ED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7A5C4E2D" w14:textId="1ED721F2" w:rsidTr="00AD5449">
        <w:tc>
          <w:tcPr>
            <w:tcW w:w="1162" w:type="dxa"/>
            <w:vAlign w:val="center"/>
          </w:tcPr>
          <w:p w14:paraId="6F34D10D" w14:textId="66ECA0C2"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Bonnie</w:t>
            </w:r>
            <w:r w:rsidR="00721CE8">
              <w:rPr>
                <w:rFonts w:hint="eastAsia"/>
                <w:sz w:val="13"/>
                <w:szCs w:val="15"/>
              </w:rPr>
              <w:t xml:space="preserve"> </w:t>
            </w:r>
            <w:r w:rsidRPr="00BD2ABF">
              <w:rPr>
                <w:sz w:val="13"/>
                <w:szCs w:val="15"/>
              </w:rPr>
              <w:t>Ann</w:t>
            </w:r>
            <w:r w:rsidR="00721CE8">
              <w:rPr>
                <w:rFonts w:hint="eastAsia"/>
                <w:sz w:val="13"/>
                <w:szCs w:val="15"/>
              </w:rPr>
              <w:t xml:space="preserve"> </w:t>
            </w:r>
            <w:r w:rsidRPr="00BD2ABF">
              <w:rPr>
                <w:sz w:val="13"/>
                <w:szCs w:val="15"/>
              </w:rPr>
              <w:t>Sarrell</w:t>
            </w:r>
            <w:r w:rsidRPr="00BD2ABF">
              <w:rPr>
                <w:rFonts w:hint="eastAsia"/>
                <w:sz w:val="13"/>
                <w:szCs w:val="15"/>
              </w:rPr>
              <w:t xml:space="preserve"> et al.</w:t>
            </w:r>
            <w:r w:rsidR="00721CE8">
              <w:rPr>
                <w:sz w:val="13"/>
                <w:szCs w:val="15"/>
              </w:rPr>
              <w:fldChar w:fldCharType="begin"/>
            </w:r>
            <w:r w:rsidR="00721CE8">
              <w:rPr>
                <w:sz w:val="13"/>
                <w:szCs w:val="15"/>
              </w:rPr>
              <w:instrText xml:space="preserve"> ADDIN ZOTERO_ITEM CSL_CITATION {"citationID":"48mZ4Lal","properties":{"formattedCitation":"[4]","plainCitation":"[4]","noteIndex":0},"citationItems":[{"id":4722,"uris":["http://zotero.org/users/6461684/items/ND2TFLQ5"],"itemData":{"id":4722,"type":"article-journal","container-title":"Transplant Infectious Disease: An Official Journal of the Transplantation Society","DOI":"10.1111/tid.13699","ISSN":"1399-3062","issue":"5","journalAbbreviation":"Transpl Infect Dis","language":"eng","note":"PMID: 34324786","page":"e13699","source":"PubMed","title":"Q fever presenting with hepatic and splenic lesions in a kidney transplant recipient","volume":"23","author":[{"family":"Sarrell","given":"Bonnie Ann"},{"family":"Laurenzano","given":"John"},{"family":"Freitas","given":"Jared"},{"family":"Concepcion","given":"Beatrice P."}],"issued":{"date-parts":[["2021",10]]}}}],"schema":"https://github.com/citation-style-language/schema/raw/master/csl-citation.json"} </w:instrText>
            </w:r>
            <w:r w:rsidR="00721CE8">
              <w:rPr>
                <w:sz w:val="13"/>
                <w:szCs w:val="15"/>
              </w:rPr>
              <w:fldChar w:fldCharType="separate"/>
            </w:r>
            <w:r w:rsidR="00721CE8" w:rsidRPr="00721CE8">
              <w:rPr>
                <w:rFonts w:cs="Times New Roman"/>
                <w:sz w:val="13"/>
              </w:rPr>
              <w:t>[4]</w:t>
            </w:r>
            <w:r w:rsidR="00721CE8">
              <w:rPr>
                <w:sz w:val="13"/>
                <w:szCs w:val="15"/>
              </w:rPr>
              <w:fldChar w:fldCharType="end"/>
            </w:r>
          </w:p>
        </w:tc>
        <w:tc>
          <w:tcPr>
            <w:tcW w:w="693" w:type="dxa"/>
            <w:vAlign w:val="center"/>
          </w:tcPr>
          <w:p w14:paraId="5844E3F8" w14:textId="4DCFD0CA"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2021</w:t>
            </w:r>
          </w:p>
        </w:tc>
        <w:tc>
          <w:tcPr>
            <w:tcW w:w="891" w:type="dxa"/>
            <w:vAlign w:val="center"/>
          </w:tcPr>
          <w:p w14:paraId="65EA91DC" w14:textId="18107EFE"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Kidney</w:t>
            </w:r>
          </w:p>
        </w:tc>
        <w:tc>
          <w:tcPr>
            <w:tcW w:w="433" w:type="dxa"/>
            <w:vAlign w:val="center"/>
          </w:tcPr>
          <w:p w14:paraId="72EA8CEB" w14:textId="7FBCC77D"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35</w:t>
            </w:r>
          </w:p>
        </w:tc>
        <w:tc>
          <w:tcPr>
            <w:tcW w:w="599" w:type="dxa"/>
            <w:vAlign w:val="center"/>
          </w:tcPr>
          <w:p w14:paraId="2B2D1812" w14:textId="45C050D8"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7C013863" w14:textId="4DF0C477" w:rsidR="00855A67" w:rsidRPr="00BD2ABF" w:rsidRDefault="00383C1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3 years</w:t>
            </w:r>
          </w:p>
        </w:tc>
        <w:tc>
          <w:tcPr>
            <w:tcW w:w="1417" w:type="dxa"/>
            <w:vAlign w:val="center"/>
          </w:tcPr>
          <w:p w14:paraId="55DD239A" w14:textId="56A4E7F1" w:rsidR="00855A67" w:rsidRPr="00BD2ABF" w:rsidRDefault="006236B2" w:rsidP="007A0602">
            <w:pPr>
              <w:spacing w:before="100" w:beforeAutospacing="1" w:after="100" w:afterAutospacing="1" w:line="240" w:lineRule="auto"/>
              <w:ind w:firstLineChars="0" w:firstLine="0"/>
              <w:jc w:val="center"/>
              <w:rPr>
                <w:sz w:val="13"/>
                <w:szCs w:val="15"/>
              </w:rPr>
            </w:pPr>
            <w:r w:rsidRPr="00BD2ABF">
              <w:rPr>
                <w:sz w:val="13"/>
                <w:szCs w:val="15"/>
              </w:rPr>
              <w:t>Intermittent fever, fatigue, malaise, and weight loss</w:t>
            </w:r>
          </w:p>
        </w:tc>
        <w:tc>
          <w:tcPr>
            <w:tcW w:w="866" w:type="dxa"/>
            <w:vAlign w:val="center"/>
          </w:tcPr>
          <w:p w14:paraId="1FABABAE" w14:textId="13361FD0" w:rsidR="00855A67" w:rsidRPr="00BD2ABF" w:rsidRDefault="008964D5" w:rsidP="007A0602">
            <w:pPr>
              <w:spacing w:before="100" w:beforeAutospacing="1" w:after="100" w:afterAutospacing="1" w:line="240" w:lineRule="auto"/>
              <w:ind w:firstLineChars="0" w:firstLine="0"/>
              <w:jc w:val="center"/>
              <w:rPr>
                <w:sz w:val="13"/>
                <w:szCs w:val="15"/>
              </w:rPr>
            </w:pPr>
            <w:r w:rsidRPr="00BD2ABF">
              <w:rPr>
                <w:rFonts w:hint="eastAsia"/>
                <w:sz w:val="13"/>
                <w:szCs w:val="15"/>
              </w:rPr>
              <w:t xml:space="preserve">Liver, </w:t>
            </w:r>
            <w:r w:rsidR="001965A2" w:rsidRPr="00BD2ABF">
              <w:rPr>
                <w:rFonts w:hint="eastAsia"/>
                <w:sz w:val="13"/>
                <w:szCs w:val="15"/>
              </w:rPr>
              <w:t>spleen</w:t>
            </w:r>
          </w:p>
        </w:tc>
        <w:tc>
          <w:tcPr>
            <w:tcW w:w="989" w:type="dxa"/>
            <w:vAlign w:val="center"/>
          </w:tcPr>
          <w:p w14:paraId="17E5F8CC" w14:textId="3DF2C686" w:rsidR="00855A67" w:rsidRPr="00BD2ABF" w:rsidRDefault="006442F9" w:rsidP="007A0602">
            <w:pPr>
              <w:spacing w:before="100" w:beforeAutospacing="1" w:after="100" w:afterAutospacing="1" w:line="240" w:lineRule="auto"/>
              <w:ind w:firstLineChars="0" w:firstLine="0"/>
              <w:jc w:val="center"/>
              <w:rPr>
                <w:sz w:val="13"/>
                <w:szCs w:val="15"/>
              </w:rPr>
            </w:pPr>
            <w:r w:rsidRPr="00BD2ABF">
              <w:rPr>
                <w:sz w:val="13"/>
                <w:szCs w:val="15"/>
              </w:rPr>
              <w:t xml:space="preserve">Serology, spleen biopsy, </w:t>
            </w:r>
            <w:r w:rsidRPr="00BD2ABF">
              <w:rPr>
                <w:rFonts w:hint="eastAsia"/>
                <w:sz w:val="13"/>
                <w:szCs w:val="15"/>
              </w:rPr>
              <w:t>PET/CT</w:t>
            </w:r>
          </w:p>
        </w:tc>
        <w:tc>
          <w:tcPr>
            <w:tcW w:w="989" w:type="dxa"/>
            <w:vAlign w:val="center"/>
          </w:tcPr>
          <w:p w14:paraId="6C8661A1" w14:textId="2B1872F3" w:rsidR="00855A67" w:rsidRPr="00BD2ABF" w:rsidRDefault="009D5EB4"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20" w:type="dxa"/>
            <w:vAlign w:val="center"/>
          </w:tcPr>
          <w:p w14:paraId="64FB1CC0" w14:textId="460D3EA0"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sz w:val="13"/>
                <w:szCs w:val="15"/>
              </w:rPr>
              <w:t>A</w:t>
            </w:r>
            <w:r w:rsidRPr="00BD2ABF">
              <w:rPr>
                <w:rFonts w:hint="eastAsia"/>
                <w:sz w:val="13"/>
                <w:szCs w:val="15"/>
              </w:rPr>
              <w:t>cute</w:t>
            </w:r>
          </w:p>
        </w:tc>
        <w:tc>
          <w:tcPr>
            <w:tcW w:w="1025" w:type="dxa"/>
            <w:vAlign w:val="center"/>
          </w:tcPr>
          <w:p w14:paraId="2F91FE5F" w14:textId="55238028" w:rsidR="00855A67" w:rsidRPr="00BD2ABF" w:rsidRDefault="004A5F60" w:rsidP="007A0602">
            <w:pPr>
              <w:spacing w:before="100" w:beforeAutospacing="1" w:after="100" w:afterAutospacing="1" w:line="240" w:lineRule="auto"/>
              <w:ind w:firstLineChars="0" w:firstLine="0"/>
              <w:jc w:val="center"/>
              <w:rPr>
                <w:sz w:val="13"/>
                <w:szCs w:val="15"/>
              </w:rPr>
            </w:pPr>
            <w:r w:rsidRPr="00BD2ABF">
              <w:rPr>
                <w:sz w:val="13"/>
                <w:szCs w:val="15"/>
              </w:rPr>
              <w:t>Tacrolimus, mycophenolate mofetil, and prednisone</w:t>
            </w:r>
          </w:p>
        </w:tc>
        <w:tc>
          <w:tcPr>
            <w:tcW w:w="1077" w:type="dxa"/>
            <w:vAlign w:val="center"/>
          </w:tcPr>
          <w:p w14:paraId="02A7C1C3" w14:textId="7349F3A6"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71" w:type="dxa"/>
            <w:vAlign w:val="center"/>
          </w:tcPr>
          <w:p w14:paraId="6968CFC6" w14:textId="663696BC" w:rsidR="00855A67" w:rsidRPr="00BD2ABF" w:rsidRDefault="00487C5E" w:rsidP="007A0602">
            <w:pPr>
              <w:spacing w:before="100" w:beforeAutospacing="1" w:after="100" w:afterAutospacing="1" w:line="240" w:lineRule="auto"/>
              <w:ind w:firstLineChars="0" w:firstLine="0"/>
              <w:jc w:val="center"/>
              <w:rPr>
                <w:sz w:val="13"/>
                <w:szCs w:val="15"/>
              </w:rPr>
            </w:pPr>
            <w:r w:rsidRPr="00BD2ABF">
              <w:rPr>
                <w:sz w:val="13"/>
                <w:szCs w:val="15"/>
              </w:rPr>
              <w:t>Doxycycline for 2 weeks</w:t>
            </w:r>
          </w:p>
        </w:tc>
        <w:tc>
          <w:tcPr>
            <w:tcW w:w="729" w:type="dxa"/>
            <w:vAlign w:val="center"/>
          </w:tcPr>
          <w:p w14:paraId="3E3E01CD" w14:textId="2BE806C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7BB2BCBB" w14:textId="611935D9" w:rsidTr="00AD5449">
        <w:tc>
          <w:tcPr>
            <w:tcW w:w="1162" w:type="dxa"/>
            <w:vAlign w:val="center"/>
          </w:tcPr>
          <w:p w14:paraId="42301BBE" w14:textId="0D42EB64"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Joe Poch</w:t>
            </w:r>
            <w:r w:rsidRPr="00BD2ABF">
              <w:rPr>
                <w:rFonts w:hint="eastAsia"/>
                <w:sz w:val="13"/>
                <w:szCs w:val="15"/>
              </w:rPr>
              <w:t xml:space="preserve"> et al.</w:t>
            </w:r>
            <w:r w:rsidR="00561EE1">
              <w:rPr>
                <w:sz w:val="13"/>
                <w:szCs w:val="15"/>
              </w:rPr>
              <w:fldChar w:fldCharType="begin"/>
            </w:r>
            <w:r w:rsidR="00561EE1">
              <w:rPr>
                <w:sz w:val="13"/>
                <w:szCs w:val="15"/>
              </w:rPr>
              <w:instrText xml:space="preserve"> ADDIN ZOTERO_ITEM CSL_CITATION {"citationID":"L1rT4c44","properties":{"formattedCitation":"[5]","plainCitation":"[5]","noteIndex":0},"citationItems":[{"id":4731,"uris":["http://zotero.org/users/6461684/items/TZDIB2VQ"],"itemData":{"id":4731,"type":"article-journal","abstract":"Q fever is uncommon in solid organ transplant (SOT) recipients. We describe a case of granulomatous lung disease as an unusual presentation of chronic Q fever in a kidney-pancreas transplant recipient.","container-title":"Transplant Infectious Disease: An Official Journal of the Transplantation Society","DOI":"10.1111/tid.13037","ISSN":"1399-3062","issue":"2","journalAbbreviation":"Transpl Infect Dis","language":"eng","note":"PMID: 30548556","page":"e13037","source":"PubMed","title":"Unusual presentation of Q fever in a kidney-pancreas transplant recipient","volume":"21","author":[{"family":"Poch","given":"Joe"},{"family":"Ince","given":"Dilek"},{"family":"Thomas","given":"Christie"},{"family":"Dhakal","given":"Reshika"},{"family":"Gajurel","given":"Kiran"}],"issued":{"date-parts":[["2019",4]]}}}],"schema":"https://github.com/citation-style-language/schema/raw/master/csl-citation.json"} </w:instrText>
            </w:r>
            <w:r w:rsidR="00561EE1">
              <w:rPr>
                <w:sz w:val="13"/>
                <w:szCs w:val="15"/>
              </w:rPr>
              <w:fldChar w:fldCharType="separate"/>
            </w:r>
            <w:r w:rsidR="00561EE1" w:rsidRPr="00561EE1">
              <w:rPr>
                <w:rFonts w:cs="Times New Roman"/>
                <w:sz w:val="13"/>
              </w:rPr>
              <w:t>[5]</w:t>
            </w:r>
            <w:r w:rsidR="00561EE1">
              <w:rPr>
                <w:sz w:val="13"/>
                <w:szCs w:val="15"/>
              </w:rPr>
              <w:fldChar w:fldCharType="end"/>
            </w:r>
          </w:p>
        </w:tc>
        <w:tc>
          <w:tcPr>
            <w:tcW w:w="693" w:type="dxa"/>
            <w:vAlign w:val="center"/>
          </w:tcPr>
          <w:p w14:paraId="4AA52A8E" w14:textId="3889AB4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2018</w:t>
            </w:r>
          </w:p>
        </w:tc>
        <w:tc>
          <w:tcPr>
            <w:tcW w:w="891" w:type="dxa"/>
            <w:vAlign w:val="center"/>
          </w:tcPr>
          <w:p w14:paraId="3D5E5DF5" w14:textId="45F40DFA"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P</w:t>
            </w:r>
            <w:r w:rsidRPr="00BD2ABF">
              <w:rPr>
                <w:sz w:val="13"/>
                <w:szCs w:val="15"/>
              </w:rPr>
              <w:t>ancreas</w:t>
            </w:r>
            <w:r w:rsidRPr="00BD2ABF">
              <w:rPr>
                <w:rFonts w:hint="eastAsia"/>
                <w:sz w:val="13"/>
                <w:szCs w:val="15"/>
              </w:rPr>
              <w:t>,</w:t>
            </w:r>
            <w:r w:rsidRPr="00BD2ABF">
              <w:rPr>
                <w:sz w:val="13"/>
                <w:szCs w:val="15"/>
              </w:rPr>
              <w:t xml:space="preserve"> Kidney</w:t>
            </w:r>
          </w:p>
        </w:tc>
        <w:tc>
          <w:tcPr>
            <w:tcW w:w="433" w:type="dxa"/>
            <w:vAlign w:val="center"/>
          </w:tcPr>
          <w:p w14:paraId="684747B5" w14:textId="083E1155"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46</w:t>
            </w:r>
          </w:p>
        </w:tc>
        <w:tc>
          <w:tcPr>
            <w:tcW w:w="599" w:type="dxa"/>
            <w:vAlign w:val="center"/>
          </w:tcPr>
          <w:p w14:paraId="1196E471" w14:textId="1D5E0D79"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64C675ED" w14:textId="218F682B" w:rsidR="00855A67" w:rsidRPr="00BD2ABF" w:rsidRDefault="00383C1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3.5 years</w:t>
            </w:r>
          </w:p>
        </w:tc>
        <w:tc>
          <w:tcPr>
            <w:tcW w:w="1417" w:type="dxa"/>
            <w:vAlign w:val="center"/>
          </w:tcPr>
          <w:p w14:paraId="2CA6EBC0" w14:textId="6EA7810E" w:rsidR="00855A67" w:rsidRPr="00BD2ABF" w:rsidRDefault="00BA77E5" w:rsidP="007A0602">
            <w:pPr>
              <w:spacing w:before="100" w:beforeAutospacing="1" w:after="100" w:afterAutospacing="1" w:line="240" w:lineRule="auto"/>
              <w:ind w:firstLineChars="0" w:firstLine="0"/>
              <w:jc w:val="center"/>
              <w:rPr>
                <w:sz w:val="13"/>
                <w:szCs w:val="15"/>
              </w:rPr>
            </w:pPr>
            <w:r w:rsidRPr="00BD2ABF">
              <w:rPr>
                <w:sz w:val="13"/>
                <w:szCs w:val="15"/>
              </w:rPr>
              <w:t>Cough, difficulty breathing</w:t>
            </w:r>
          </w:p>
        </w:tc>
        <w:tc>
          <w:tcPr>
            <w:tcW w:w="866" w:type="dxa"/>
            <w:vAlign w:val="center"/>
          </w:tcPr>
          <w:p w14:paraId="1AAEF8BF" w14:textId="1C8D8480" w:rsidR="00855A67" w:rsidRPr="00BD2ABF" w:rsidRDefault="000E238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Lung</w:t>
            </w:r>
          </w:p>
        </w:tc>
        <w:tc>
          <w:tcPr>
            <w:tcW w:w="989" w:type="dxa"/>
            <w:vAlign w:val="center"/>
          </w:tcPr>
          <w:p w14:paraId="4589829D" w14:textId="3655B2C7" w:rsidR="00855A67" w:rsidRPr="00BD2ABF" w:rsidRDefault="00C07BD7" w:rsidP="007A0602">
            <w:pPr>
              <w:spacing w:before="100" w:beforeAutospacing="1" w:after="100" w:afterAutospacing="1" w:line="240" w:lineRule="auto"/>
              <w:ind w:firstLineChars="0" w:firstLine="0"/>
              <w:jc w:val="center"/>
              <w:rPr>
                <w:sz w:val="13"/>
                <w:szCs w:val="15"/>
              </w:rPr>
            </w:pPr>
            <w:r w:rsidRPr="00BD2ABF">
              <w:rPr>
                <w:sz w:val="13"/>
                <w:szCs w:val="15"/>
              </w:rPr>
              <w:t xml:space="preserve">Serology, bronchial </w:t>
            </w:r>
            <w:r w:rsidRPr="00BD2ABF">
              <w:rPr>
                <w:sz w:val="13"/>
                <w:szCs w:val="15"/>
              </w:rPr>
              <w:lastRenderedPageBreak/>
              <w:t>biopsy</w:t>
            </w:r>
          </w:p>
        </w:tc>
        <w:tc>
          <w:tcPr>
            <w:tcW w:w="989" w:type="dxa"/>
            <w:vAlign w:val="center"/>
          </w:tcPr>
          <w:p w14:paraId="4764A8F6" w14:textId="37711FDD" w:rsidR="00855A67" w:rsidRPr="00BD2ABF" w:rsidRDefault="009D5EB4" w:rsidP="007A0602">
            <w:pPr>
              <w:spacing w:before="100" w:beforeAutospacing="1" w:after="100" w:afterAutospacing="1" w:line="240" w:lineRule="auto"/>
              <w:ind w:firstLineChars="0" w:firstLine="0"/>
              <w:jc w:val="center"/>
              <w:rPr>
                <w:sz w:val="13"/>
                <w:szCs w:val="15"/>
              </w:rPr>
            </w:pPr>
            <w:r w:rsidRPr="00BD2ABF">
              <w:rPr>
                <w:rFonts w:hint="eastAsia"/>
                <w:sz w:val="13"/>
                <w:szCs w:val="15"/>
              </w:rPr>
              <w:lastRenderedPageBreak/>
              <w:t>--</w:t>
            </w:r>
          </w:p>
        </w:tc>
        <w:tc>
          <w:tcPr>
            <w:tcW w:w="1220" w:type="dxa"/>
            <w:vAlign w:val="center"/>
          </w:tcPr>
          <w:p w14:paraId="44EAF0E3" w14:textId="45DEA233"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sz w:val="13"/>
                <w:szCs w:val="15"/>
              </w:rPr>
              <w:t>C</w:t>
            </w:r>
            <w:r w:rsidRPr="00BD2ABF">
              <w:rPr>
                <w:rFonts w:hint="eastAsia"/>
                <w:sz w:val="13"/>
                <w:szCs w:val="15"/>
              </w:rPr>
              <w:t>hronic</w:t>
            </w:r>
          </w:p>
        </w:tc>
        <w:tc>
          <w:tcPr>
            <w:tcW w:w="1025" w:type="dxa"/>
            <w:vAlign w:val="center"/>
          </w:tcPr>
          <w:p w14:paraId="4A968E05" w14:textId="76C6B06B" w:rsidR="00855A67" w:rsidRPr="00BD2ABF" w:rsidRDefault="00235FFC" w:rsidP="007A0602">
            <w:pPr>
              <w:spacing w:before="100" w:beforeAutospacing="1" w:after="100" w:afterAutospacing="1" w:line="240" w:lineRule="auto"/>
              <w:ind w:firstLineChars="0" w:firstLine="0"/>
              <w:jc w:val="center"/>
              <w:rPr>
                <w:sz w:val="13"/>
                <w:szCs w:val="15"/>
              </w:rPr>
            </w:pPr>
            <w:r w:rsidRPr="00BD2ABF">
              <w:rPr>
                <w:sz w:val="13"/>
                <w:szCs w:val="15"/>
              </w:rPr>
              <w:t xml:space="preserve">Tacrolimus, mycophenolate </w:t>
            </w:r>
            <w:r w:rsidRPr="00BD2ABF">
              <w:rPr>
                <w:sz w:val="13"/>
                <w:szCs w:val="15"/>
              </w:rPr>
              <w:lastRenderedPageBreak/>
              <w:t>mofetil, and prednisone</w:t>
            </w:r>
          </w:p>
        </w:tc>
        <w:tc>
          <w:tcPr>
            <w:tcW w:w="1077" w:type="dxa"/>
            <w:vAlign w:val="center"/>
          </w:tcPr>
          <w:p w14:paraId="7E9D4302" w14:textId="7DC823F1"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lastRenderedPageBreak/>
              <w:t>No</w:t>
            </w:r>
          </w:p>
        </w:tc>
        <w:tc>
          <w:tcPr>
            <w:tcW w:w="1271" w:type="dxa"/>
            <w:vAlign w:val="center"/>
          </w:tcPr>
          <w:p w14:paraId="17E9DDB8" w14:textId="7ED9DE4C" w:rsidR="00855A67" w:rsidRPr="00BD2ABF" w:rsidRDefault="009E0972" w:rsidP="007A0602">
            <w:pPr>
              <w:spacing w:before="100" w:beforeAutospacing="1" w:after="100" w:afterAutospacing="1" w:line="240" w:lineRule="auto"/>
              <w:ind w:firstLineChars="0" w:firstLine="0"/>
              <w:jc w:val="center"/>
              <w:rPr>
                <w:sz w:val="13"/>
                <w:szCs w:val="15"/>
              </w:rPr>
            </w:pPr>
            <w:r w:rsidRPr="00BD2ABF">
              <w:rPr>
                <w:sz w:val="13"/>
                <w:szCs w:val="15"/>
              </w:rPr>
              <w:t>Doxycycline and hydroxychloroquine</w:t>
            </w:r>
            <w:r w:rsidRPr="00BD2ABF">
              <w:rPr>
                <w:rFonts w:hint="eastAsia"/>
                <w:sz w:val="13"/>
                <w:szCs w:val="15"/>
              </w:rPr>
              <w:t xml:space="preserve"> </w:t>
            </w:r>
            <w:r w:rsidRPr="00BD2ABF">
              <w:rPr>
                <w:rFonts w:hint="eastAsia"/>
                <w:sz w:val="13"/>
                <w:szCs w:val="15"/>
              </w:rPr>
              <w:lastRenderedPageBreak/>
              <w:t>for over</w:t>
            </w:r>
            <w:r w:rsidRPr="00BD2ABF">
              <w:rPr>
                <w:sz w:val="13"/>
                <w:szCs w:val="15"/>
              </w:rPr>
              <w:t xml:space="preserve"> </w:t>
            </w:r>
            <w:r w:rsidRPr="00BD2ABF">
              <w:rPr>
                <w:rFonts w:hint="eastAsia"/>
                <w:sz w:val="13"/>
                <w:szCs w:val="15"/>
              </w:rPr>
              <w:t>16</w:t>
            </w:r>
            <w:r w:rsidRPr="00BD2ABF">
              <w:rPr>
                <w:sz w:val="13"/>
                <w:szCs w:val="15"/>
              </w:rPr>
              <w:t xml:space="preserve"> months</w:t>
            </w:r>
          </w:p>
        </w:tc>
        <w:tc>
          <w:tcPr>
            <w:tcW w:w="729" w:type="dxa"/>
            <w:vAlign w:val="center"/>
          </w:tcPr>
          <w:p w14:paraId="1F33A764" w14:textId="7F57D0E2"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lastRenderedPageBreak/>
              <w:t>Live</w:t>
            </w:r>
          </w:p>
        </w:tc>
      </w:tr>
      <w:tr w:rsidR="00AD5449" w:rsidRPr="00BD2ABF" w14:paraId="34B42604" w14:textId="4565FED8" w:rsidTr="00AD5449">
        <w:tc>
          <w:tcPr>
            <w:tcW w:w="1162" w:type="dxa"/>
            <w:vAlign w:val="center"/>
          </w:tcPr>
          <w:p w14:paraId="12FF4A32" w14:textId="329FC577"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Deeksha Jandhyala</w:t>
            </w:r>
            <w:r w:rsidRPr="00BD2ABF">
              <w:rPr>
                <w:rFonts w:hint="eastAsia"/>
                <w:sz w:val="13"/>
                <w:szCs w:val="15"/>
              </w:rPr>
              <w:t xml:space="preserve"> et al.</w:t>
            </w:r>
            <w:r w:rsidR="005D3719">
              <w:rPr>
                <w:sz w:val="13"/>
                <w:szCs w:val="15"/>
              </w:rPr>
              <w:fldChar w:fldCharType="begin"/>
            </w:r>
            <w:r w:rsidR="00561EE1">
              <w:rPr>
                <w:sz w:val="13"/>
                <w:szCs w:val="15"/>
              </w:rPr>
              <w:instrText xml:space="preserve"> ADDIN ZOTERO_ITEM CSL_CITATION {"citationID":"n9zUPoS4","properties":{"formattedCitation":"[6]","plainCitation":"[6]","noteIndex":0},"citationItems":[{"id":4720,"uris":["http://zotero.org/users/6461684/items/Q32JL8UH"],"itemData":{"id":4720,"type":"article-journal","abstract":"To the best of our knowledge, we report the first case of pre-transplant unrecognized disseminated Coxiella burnetii infection, unmasked in the post-transplant period leading to both heart and kidney allograft dysfunction. A 59 year old man with a history of simultaneous heart-kidney transplantation due to end stage heart failure from severe aortic regurgitation (AR) and cryoglobulinemic immune complex mediated concentric necrotizing glomerulonephritis (GN), presents with a history of intermittent fevers and fatigue. Prior to transplantation he was treated for multiple episodes of culture negative endocarditis requiring bio-prosthetic valve replacement. Evaluation of fever included a transesophageal echocardiogram (TEE) that revealed a large hyperechoic mass on the anterior mitral leaflet with perforation, severe mitral regurgitation and moderate AR. Blood cultures were negative at that time. Owing to development of allograft mitral and aortic valve insufficiency, he underwent allograft bio-prosthetic mitral valve (MV) replacement and aortic valvuloplasty 2 years following his transplantation. Pathologic examination of the allograft mitral valve demonstrated fibrinopurulent exudate with degenerating bacterial organisms, consistent with vegetation and myxoid degenerative changes. Due to a high suspicion for native heart C. burnetii prosthetic valve endocarditis prior to transplantation, we re-evaluated the native explanted heart histopathology, as well as the explanted allograft MV. Cardiac allograft and native MV were positive for C. burnetii by real-time PCR. C. burnetii serology was consistent with persistent infection as well.","container-title":"Transplant Infectious Disease: An Official Journal of the Transplantation Society","DOI":"10.1111/tid.12962","ISSN":"1399-3062","issue":"5","journalAbbreviation":"Transpl Infect Dis","language":"eng","note":"PMID: 29975810","page":"e12962","source":"PubMed","title":"Unrecognized pre-transplant disseminated Coxiella burnetti infection diagnosed in a post-transplant heart-kidney recipient","volume":"20","author":[{"family":"Jandhyala","given":"Deeksha"},{"family":"Farid","given":"Saira"},{"family":"Mahmood","given":"Maryam"},{"family":"Deziel","given":"Paul"},{"family":"Abu Saleh","given":"Omar"},{"family":"Raoult","given":"Didier"},{"family":"Beam","given":"Elena"}],"issued":{"date-parts":[["2018",10]]}}}],"schema":"https://github.com/citation-style-language/schema/raw/master/csl-citation.json"} </w:instrText>
            </w:r>
            <w:r w:rsidR="005D3719">
              <w:rPr>
                <w:sz w:val="13"/>
                <w:szCs w:val="15"/>
              </w:rPr>
              <w:fldChar w:fldCharType="separate"/>
            </w:r>
            <w:r w:rsidR="00561EE1" w:rsidRPr="00561EE1">
              <w:rPr>
                <w:rFonts w:cs="Times New Roman"/>
                <w:sz w:val="13"/>
              </w:rPr>
              <w:t>[6]</w:t>
            </w:r>
            <w:r w:rsidR="005D3719">
              <w:rPr>
                <w:sz w:val="13"/>
                <w:szCs w:val="15"/>
              </w:rPr>
              <w:fldChar w:fldCharType="end"/>
            </w:r>
          </w:p>
        </w:tc>
        <w:tc>
          <w:tcPr>
            <w:tcW w:w="693" w:type="dxa"/>
            <w:vAlign w:val="center"/>
          </w:tcPr>
          <w:p w14:paraId="66CE282B" w14:textId="147B963C"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2018</w:t>
            </w:r>
          </w:p>
        </w:tc>
        <w:tc>
          <w:tcPr>
            <w:tcW w:w="891" w:type="dxa"/>
            <w:vAlign w:val="center"/>
          </w:tcPr>
          <w:p w14:paraId="0DE7E8D1" w14:textId="45DC783D"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 xml:space="preserve">Heart, </w:t>
            </w:r>
            <w:r w:rsidRPr="00BD2ABF">
              <w:rPr>
                <w:sz w:val="13"/>
                <w:szCs w:val="15"/>
              </w:rPr>
              <w:t>Kidney</w:t>
            </w:r>
          </w:p>
        </w:tc>
        <w:tc>
          <w:tcPr>
            <w:tcW w:w="433" w:type="dxa"/>
            <w:vAlign w:val="center"/>
          </w:tcPr>
          <w:p w14:paraId="14DB62AF" w14:textId="502B945D"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59</w:t>
            </w:r>
          </w:p>
        </w:tc>
        <w:tc>
          <w:tcPr>
            <w:tcW w:w="599" w:type="dxa"/>
            <w:vAlign w:val="center"/>
          </w:tcPr>
          <w:p w14:paraId="3F65955D" w14:textId="3B4BBF64"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371FD6B2" w14:textId="33A914D6" w:rsidR="00855A67" w:rsidRPr="00BD2ABF" w:rsidRDefault="00F76F0D" w:rsidP="007A0602">
            <w:pPr>
              <w:spacing w:before="100" w:beforeAutospacing="1" w:after="100" w:afterAutospacing="1" w:line="240" w:lineRule="auto"/>
              <w:ind w:firstLineChars="0" w:firstLine="0"/>
              <w:jc w:val="center"/>
              <w:rPr>
                <w:sz w:val="13"/>
                <w:szCs w:val="15"/>
              </w:rPr>
            </w:pPr>
            <w:r w:rsidRPr="00BD2ABF">
              <w:rPr>
                <w:sz w:val="13"/>
                <w:szCs w:val="15"/>
              </w:rPr>
              <w:t>Diagnosed 6 years before transplantation and 2 years after transplantation</w:t>
            </w:r>
          </w:p>
        </w:tc>
        <w:tc>
          <w:tcPr>
            <w:tcW w:w="1417" w:type="dxa"/>
            <w:vAlign w:val="center"/>
          </w:tcPr>
          <w:p w14:paraId="5B7C3032" w14:textId="730DEDEC" w:rsidR="00855A67" w:rsidRPr="00BD2ABF" w:rsidRDefault="00220994" w:rsidP="007A0602">
            <w:pPr>
              <w:spacing w:before="100" w:beforeAutospacing="1" w:after="100" w:afterAutospacing="1" w:line="240" w:lineRule="auto"/>
              <w:ind w:firstLineChars="0" w:firstLine="0"/>
              <w:jc w:val="center"/>
              <w:rPr>
                <w:sz w:val="13"/>
                <w:szCs w:val="15"/>
              </w:rPr>
            </w:pPr>
            <w:r w:rsidRPr="00BD2ABF">
              <w:rPr>
                <w:sz w:val="13"/>
                <w:szCs w:val="15"/>
              </w:rPr>
              <w:t>Low-grade fever, mitral regurgitation, aortic regurgitation</w:t>
            </w:r>
          </w:p>
        </w:tc>
        <w:tc>
          <w:tcPr>
            <w:tcW w:w="866" w:type="dxa"/>
            <w:vAlign w:val="center"/>
          </w:tcPr>
          <w:p w14:paraId="4651DD95" w14:textId="4CC72E5C" w:rsidR="00855A67" w:rsidRPr="00BD2ABF" w:rsidRDefault="000E238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Heart, kidney</w:t>
            </w:r>
          </w:p>
        </w:tc>
        <w:tc>
          <w:tcPr>
            <w:tcW w:w="989" w:type="dxa"/>
            <w:vAlign w:val="center"/>
          </w:tcPr>
          <w:p w14:paraId="4DAE7ACA" w14:textId="6FC7E935" w:rsidR="00855A67" w:rsidRPr="00BD2ABF" w:rsidRDefault="000A1AD1" w:rsidP="007A0602">
            <w:pPr>
              <w:spacing w:before="100" w:beforeAutospacing="1" w:after="100" w:afterAutospacing="1" w:line="240" w:lineRule="auto"/>
              <w:ind w:firstLineChars="0" w:firstLine="0"/>
              <w:jc w:val="center"/>
              <w:rPr>
                <w:sz w:val="13"/>
                <w:szCs w:val="15"/>
              </w:rPr>
            </w:pPr>
            <w:r w:rsidRPr="00BD2ABF">
              <w:rPr>
                <w:sz w:val="13"/>
                <w:szCs w:val="15"/>
              </w:rPr>
              <w:t>Serology, PCR of mitral valves for native and allogeneic transplantation</w:t>
            </w:r>
          </w:p>
        </w:tc>
        <w:tc>
          <w:tcPr>
            <w:tcW w:w="989" w:type="dxa"/>
            <w:vAlign w:val="center"/>
          </w:tcPr>
          <w:p w14:paraId="39A9732C" w14:textId="2BC3EC8F" w:rsidR="00855A67" w:rsidRPr="00BD2ABF" w:rsidRDefault="0069200A" w:rsidP="007A0602">
            <w:pPr>
              <w:spacing w:before="100" w:beforeAutospacing="1" w:after="100" w:afterAutospacing="1" w:line="240" w:lineRule="auto"/>
              <w:ind w:firstLineChars="0" w:firstLine="0"/>
              <w:jc w:val="center"/>
              <w:rPr>
                <w:sz w:val="13"/>
                <w:szCs w:val="15"/>
              </w:rPr>
            </w:pPr>
            <w:r w:rsidRPr="00BD2ABF">
              <w:rPr>
                <w:sz w:val="13"/>
                <w:szCs w:val="15"/>
              </w:rPr>
              <w:t>2 years after transplantation</w:t>
            </w:r>
          </w:p>
        </w:tc>
        <w:tc>
          <w:tcPr>
            <w:tcW w:w="1220" w:type="dxa"/>
            <w:vAlign w:val="center"/>
          </w:tcPr>
          <w:p w14:paraId="06D11931" w14:textId="05A71A25"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rFonts w:hint="eastAsia"/>
                <w:sz w:val="13"/>
                <w:szCs w:val="15"/>
              </w:rPr>
              <w:t>Chronic</w:t>
            </w:r>
          </w:p>
        </w:tc>
        <w:tc>
          <w:tcPr>
            <w:tcW w:w="1025" w:type="dxa"/>
            <w:vAlign w:val="center"/>
          </w:tcPr>
          <w:p w14:paraId="2B981006" w14:textId="4DB77F4D" w:rsidR="00855A67" w:rsidRPr="00BD2ABF" w:rsidRDefault="00CB154D" w:rsidP="007A0602">
            <w:pPr>
              <w:spacing w:before="100" w:beforeAutospacing="1" w:after="100" w:afterAutospacing="1" w:line="240" w:lineRule="auto"/>
              <w:ind w:firstLineChars="0" w:firstLine="0"/>
              <w:jc w:val="center"/>
              <w:rPr>
                <w:sz w:val="13"/>
                <w:szCs w:val="15"/>
              </w:rPr>
            </w:pPr>
            <w:r w:rsidRPr="00BD2ABF">
              <w:rPr>
                <w:sz w:val="13"/>
                <w:szCs w:val="15"/>
              </w:rPr>
              <w:t>Tacrolimus, prednisone</w:t>
            </w:r>
          </w:p>
        </w:tc>
        <w:tc>
          <w:tcPr>
            <w:tcW w:w="1077" w:type="dxa"/>
            <w:vAlign w:val="center"/>
          </w:tcPr>
          <w:p w14:paraId="1C96ADFE" w14:textId="65895608"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71" w:type="dxa"/>
            <w:vAlign w:val="center"/>
          </w:tcPr>
          <w:p w14:paraId="6D867003" w14:textId="57F3FF08" w:rsidR="00855A67" w:rsidRPr="00BD2ABF" w:rsidRDefault="009E0972" w:rsidP="007A0602">
            <w:pPr>
              <w:spacing w:before="100" w:beforeAutospacing="1" w:after="100" w:afterAutospacing="1" w:line="240" w:lineRule="auto"/>
              <w:ind w:firstLineChars="0" w:firstLine="0"/>
              <w:jc w:val="center"/>
              <w:rPr>
                <w:sz w:val="13"/>
                <w:szCs w:val="15"/>
              </w:rPr>
            </w:pPr>
            <w:r w:rsidRPr="00BD2ABF">
              <w:rPr>
                <w:sz w:val="13"/>
                <w:szCs w:val="15"/>
              </w:rPr>
              <w:t>Doxycycline and hydroxychloroquine</w:t>
            </w:r>
            <w:r w:rsidRPr="00BD2ABF">
              <w:rPr>
                <w:rFonts w:hint="eastAsia"/>
                <w:sz w:val="13"/>
                <w:szCs w:val="15"/>
              </w:rPr>
              <w:t xml:space="preserve"> for over</w:t>
            </w:r>
            <w:r w:rsidRPr="00BD2ABF">
              <w:rPr>
                <w:sz w:val="13"/>
                <w:szCs w:val="15"/>
              </w:rPr>
              <w:t xml:space="preserve"> </w:t>
            </w:r>
            <w:r w:rsidRPr="00BD2ABF">
              <w:rPr>
                <w:rFonts w:hint="eastAsia"/>
                <w:sz w:val="13"/>
                <w:szCs w:val="15"/>
              </w:rPr>
              <w:t>21</w:t>
            </w:r>
            <w:r w:rsidRPr="00BD2ABF">
              <w:rPr>
                <w:sz w:val="13"/>
                <w:szCs w:val="15"/>
              </w:rPr>
              <w:t xml:space="preserve"> months</w:t>
            </w:r>
          </w:p>
        </w:tc>
        <w:tc>
          <w:tcPr>
            <w:tcW w:w="729" w:type="dxa"/>
            <w:vAlign w:val="center"/>
          </w:tcPr>
          <w:p w14:paraId="74EE8520" w14:textId="66F565D6"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3B970FF6" w14:textId="77777777" w:rsidTr="00AD5449">
        <w:tc>
          <w:tcPr>
            <w:tcW w:w="1162" w:type="dxa"/>
            <w:vAlign w:val="center"/>
          </w:tcPr>
          <w:p w14:paraId="7037D154" w14:textId="45C49D8D"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MM Loudon</w:t>
            </w:r>
            <w:r w:rsidRPr="00BD2ABF">
              <w:rPr>
                <w:rFonts w:hint="eastAsia"/>
                <w:sz w:val="13"/>
                <w:szCs w:val="15"/>
              </w:rPr>
              <w:t xml:space="preserve"> et al.</w:t>
            </w:r>
            <w:r w:rsidR="007573F8">
              <w:rPr>
                <w:sz w:val="13"/>
                <w:szCs w:val="15"/>
              </w:rPr>
              <w:fldChar w:fldCharType="begin"/>
            </w:r>
            <w:r w:rsidR="007573F8">
              <w:rPr>
                <w:sz w:val="13"/>
                <w:szCs w:val="15"/>
              </w:rPr>
              <w:instrText xml:space="preserve"> ADDIN ZOTERO_ITEM CSL_CITATION {"citationID":"8frohq5w","properties":{"formattedCitation":"[7]","plainCitation":"[7]","noteIndex":0},"citationItems":[{"id":4737,"uris":["http://zotero.org/users/6461684/items/N64J77LW"],"itemData":{"id":4737,"type":"article-journal","abstract":"A child born with severe combined immunodeficiency, who was immunoreconstituted by a fetal liver and thymus transplant, developed acute lymphoblastic leukaemia in the donor cell line. During remission she contracted acute Q fever, which gave rise to unexpected complications. Early treatment of the Q fever might have altered the subsequent events and prevented her death.","container-title":"Archives of Disease in Childhood","DOI":"10.1136/adc.63.2.207","ISSN":"1468-2044","issue":"2","journalAbbreviation":"Arch Dis Child","language":"eng","note":"PMID: 3279927\nPMCID: PMC1778757","page":"207-209","source":"PubMed","title":"Severe combined immunodeficiency syndrome, tissue transplant, leukaemia, and Q fever","volume":"63","author":[{"family":"Loudon","given":"M. M."},{"family":"Thompson","given":"E. N."}],"issued":{"date-parts":[["1988",2]]}}}],"schema":"https://github.com/citation-style-language/schema/raw/master/csl-citation.json"} </w:instrText>
            </w:r>
            <w:r w:rsidR="007573F8">
              <w:rPr>
                <w:sz w:val="13"/>
                <w:szCs w:val="15"/>
              </w:rPr>
              <w:fldChar w:fldCharType="separate"/>
            </w:r>
            <w:r w:rsidR="007573F8" w:rsidRPr="007573F8">
              <w:rPr>
                <w:rFonts w:cs="Times New Roman"/>
                <w:sz w:val="13"/>
              </w:rPr>
              <w:t>[7]</w:t>
            </w:r>
            <w:r w:rsidR="007573F8">
              <w:rPr>
                <w:sz w:val="13"/>
                <w:szCs w:val="15"/>
              </w:rPr>
              <w:fldChar w:fldCharType="end"/>
            </w:r>
          </w:p>
        </w:tc>
        <w:tc>
          <w:tcPr>
            <w:tcW w:w="693" w:type="dxa"/>
            <w:vAlign w:val="center"/>
          </w:tcPr>
          <w:p w14:paraId="28667974" w14:textId="2D4C1DD8"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1988</w:t>
            </w:r>
          </w:p>
        </w:tc>
        <w:tc>
          <w:tcPr>
            <w:tcW w:w="891" w:type="dxa"/>
            <w:vAlign w:val="center"/>
          </w:tcPr>
          <w:p w14:paraId="7E4E2D61" w14:textId="3C7DD6DF"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Liver, thymus</w:t>
            </w:r>
          </w:p>
        </w:tc>
        <w:tc>
          <w:tcPr>
            <w:tcW w:w="433" w:type="dxa"/>
            <w:vAlign w:val="center"/>
          </w:tcPr>
          <w:p w14:paraId="182FE511" w14:textId="32E78D4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5</w:t>
            </w:r>
          </w:p>
        </w:tc>
        <w:tc>
          <w:tcPr>
            <w:tcW w:w="599" w:type="dxa"/>
            <w:vAlign w:val="center"/>
          </w:tcPr>
          <w:p w14:paraId="0073765A" w14:textId="373D47EF"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Female</w:t>
            </w:r>
          </w:p>
        </w:tc>
        <w:tc>
          <w:tcPr>
            <w:tcW w:w="989" w:type="dxa"/>
            <w:vAlign w:val="center"/>
          </w:tcPr>
          <w:p w14:paraId="688FFE82" w14:textId="1C22943C" w:rsidR="00855A67" w:rsidRPr="00BD2ABF" w:rsidRDefault="006A0EE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4 years</w:t>
            </w:r>
          </w:p>
        </w:tc>
        <w:tc>
          <w:tcPr>
            <w:tcW w:w="1417" w:type="dxa"/>
            <w:vAlign w:val="center"/>
          </w:tcPr>
          <w:p w14:paraId="7723BAAF" w14:textId="559EED18" w:rsidR="00855A67" w:rsidRPr="00BD2ABF" w:rsidRDefault="004E511D" w:rsidP="007A0602">
            <w:pPr>
              <w:spacing w:before="100" w:beforeAutospacing="1" w:after="100" w:afterAutospacing="1" w:line="240" w:lineRule="auto"/>
              <w:ind w:firstLineChars="0" w:firstLine="0"/>
              <w:jc w:val="center"/>
              <w:rPr>
                <w:sz w:val="13"/>
                <w:szCs w:val="15"/>
              </w:rPr>
            </w:pPr>
            <w:r w:rsidRPr="00BD2ABF">
              <w:rPr>
                <w:sz w:val="13"/>
                <w:szCs w:val="15"/>
              </w:rPr>
              <w:t>High fever, severe headache, photophobia, neck and chest myalgia, sore throat, dry cough, irritability</w:t>
            </w:r>
          </w:p>
        </w:tc>
        <w:tc>
          <w:tcPr>
            <w:tcW w:w="866" w:type="dxa"/>
            <w:vAlign w:val="center"/>
          </w:tcPr>
          <w:p w14:paraId="30BDC1BD" w14:textId="12B0CC37" w:rsidR="00855A67" w:rsidRPr="00BD2ABF" w:rsidRDefault="000E238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None</w:t>
            </w:r>
          </w:p>
        </w:tc>
        <w:tc>
          <w:tcPr>
            <w:tcW w:w="989" w:type="dxa"/>
            <w:vAlign w:val="center"/>
          </w:tcPr>
          <w:p w14:paraId="7ABE345E" w14:textId="610E0521" w:rsidR="00855A67" w:rsidRPr="00BD2ABF" w:rsidRDefault="00524EC1"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Serology</w:t>
            </w:r>
          </w:p>
        </w:tc>
        <w:tc>
          <w:tcPr>
            <w:tcW w:w="989" w:type="dxa"/>
            <w:vAlign w:val="center"/>
          </w:tcPr>
          <w:p w14:paraId="6DEBE9A4" w14:textId="7E18FF8C" w:rsidR="00855A67" w:rsidRPr="00BD2ABF" w:rsidRDefault="004F72B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More than 6 weeks</w:t>
            </w:r>
          </w:p>
        </w:tc>
        <w:tc>
          <w:tcPr>
            <w:tcW w:w="1220" w:type="dxa"/>
            <w:vAlign w:val="center"/>
          </w:tcPr>
          <w:p w14:paraId="0E6F1D36" w14:textId="786DA45A"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rFonts w:hint="eastAsia"/>
                <w:sz w:val="13"/>
                <w:szCs w:val="15"/>
              </w:rPr>
              <w:t>Acute + Chronic</w:t>
            </w:r>
          </w:p>
        </w:tc>
        <w:tc>
          <w:tcPr>
            <w:tcW w:w="1025" w:type="dxa"/>
            <w:vAlign w:val="center"/>
          </w:tcPr>
          <w:p w14:paraId="57C051FE" w14:textId="7D1DF69B" w:rsidR="00855A67" w:rsidRPr="00BD2ABF" w:rsidRDefault="00656ECA" w:rsidP="007A0602">
            <w:pPr>
              <w:spacing w:before="100" w:beforeAutospacing="1" w:after="100" w:afterAutospacing="1" w:line="240" w:lineRule="auto"/>
              <w:ind w:firstLineChars="0" w:firstLine="0"/>
              <w:jc w:val="center"/>
              <w:rPr>
                <w:sz w:val="13"/>
                <w:szCs w:val="15"/>
              </w:rPr>
            </w:pPr>
            <w:r w:rsidRPr="00BD2ABF">
              <w:rPr>
                <w:rFonts w:hint="eastAsia"/>
                <w:sz w:val="13"/>
                <w:szCs w:val="15"/>
              </w:rPr>
              <w:t>None mentioned</w:t>
            </w:r>
          </w:p>
        </w:tc>
        <w:tc>
          <w:tcPr>
            <w:tcW w:w="1077" w:type="dxa"/>
            <w:vAlign w:val="center"/>
          </w:tcPr>
          <w:p w14:paraId="08167204" w14:textId="51B3CCA2"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71" w:type="dxa"/>
            <w:vAlign w:val="center"/>
          </w:tcPr>
          <w:p w14:paraId="6020B6C7" w14:textId="12A2C131" w:rsidR="00855A67" w:rsidRPr="00BD2ABF" w:rsidRDefault="00660F1C" w:rsidP="007A0602">
            <w:pPr>
              <w:spacing w:before="100" w:beforeAutospacing="1" w:after="100" w:afterAutospacing="1" w:line="240" w:lineRule="auto"/>
              <w:ind w:firstLineChars="0" w:firstLine="0"/>
              <w:jc w:val="center"/>
              <w:rPr>
                <w:sz w:val="13"/>
                <w:szCs w:val="15"/>
              </w:rPr>
            </w:pPr>
            <w:r w:rsidRPr="00BD2ABF">
              <w:rPr>
                <w:sz w:val="13"/>
                <w:szCs w:val="15"/>
              </w:rPr>
              <w:t xml:space="preserve">Tetracycline </w:t>
            </w:r>
            <w:r w:rsidRPr="00BD2ABF">
              <w:rPr>
                <w:rFonts w:hint="eastAsia"/>
                <w:sz w:val="13"/>
                <w:szCs w:val="15"/>
              </w:rPr>
              <w:t xml:space="preserve">for 4 </w:t>
            </w:r>
            <w:proofErr w:type="spellStart"/>
            <w:r w:rsidRPr="00BD2ABF">
              <w:rPr>
                <w:rFonts w:hint="eastAsia"/>
                <w:sz w:val="13"/>
                <w:szCs w:val="15"/>
              </w:rPr>
              <w:t>months</w:t>
            </w:r>
            <w:r w:rsidRPr="00BD2ABF">
              <w:rPr>
                <w:sz w:val="13"/>
                <w:szCs w:val="15"/>
              </w:rPr>
              <w:t>l</w:t>
            </w:r>
            <w:proofErr w:type="spellEnd"/>
          </w:p>
        </w:tc>
        <w:tc>
          <w:tcPr>
            <w:tcW w:w="729" w:type="dxa"/>
            <w:vAlign w:val="center"/>
          </w:tcPr>
          <w:p w14:paraId="6210DA64" w14:textId="5A7B9669"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Serology improves but leukemia bone marrow relapses and dies</w:t>
            </w:r>
          </w:p>
        </w:tc>
      </w:tr>
      <w:tr w:rsidR="00AD5449" w:rsidRPr="00BD2ABF" w14:paraId="68497E03" w14:textId="77777777" w:rsidTr="00AD5449">
        <w:tc>
          <w:tcPr>
            <w:tcW w:w="1162" w:type="dxa"/>
            <w:vAlign w:val="center"/>
          </w:tcPr>
          <w:p w14:paraId="78B13A5B" w14:textId="2D95BD4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Lindsay A. Petty</w:t>
            </w:r>
            <w:r w:rsidRPr="00BD2ABF">
              <w:rPr>
                <w:rFonts w:hint="eastAsia"/>
                <w:sz w:val="13"/>
                <w:szCs w:val="15"/>
              </w:rPr>
              <w:t xml:space="preserve"> et al.</w:t>
            </w:r>
            <w:r w:rsidR="007573F8">
              <w:rPr>
                <w:sz w:val="13"/>
                <w:szCs w:val="15"/>
              </w:rPr>
              <w:fldChar w:fldCharType="begin"/>
            </w:r>
            <w:r w:rsidR="007573F8">
              <w:rPr>
                <w:sz w:val="13"/>
                <w:szCs w:val="15"/>
              </w:rPr>
              <w:instrText xml:space="preserve"> ADDIN ZOTERO_ITEM CSL_CITATION {"citationID":"C9EizUI8","properties":{"formattedCitation":"[8]","plainCitation":"[8]","noteIndex":0},"citationItems":[{"id":4729,"uris":["http://zotero.org/users/6461684/items/KTPH4UBZ"],"itemData":{"id":4729,"type":"article-journal","abstract":"Coxiella burnetii, the causative agent of Q fever, is a zoonosis that causes both acute and chronic disease in humans. Few cases have been reported in solid organ transplant recipients, and this case highlights the need to include Q fever in the differential diagnosis for fever of unknown origin in solid organ transplant hosts.","container-title":"Transplant Infectious Disease: An Official Journal of the Transplantation Society","DOI":"10.1111/tid.12737","ISSN":"1399-3062","issue":"5","journalAbbreviation":"Transpl Infect Dis","language":"eng","note":"PMID: 28613410","source":"PubMed","title":"A case of Q fever after liver transplantation","volume":"19","author":[{"family":"Petty","given":"Lindsay A."},{"family":"Te","given":"Helen S."},{"family":"Pursell","given":"Kenneth"}],"issued":{"date-parts":[["2017",10]]}}}],"schema":"https://github.com/citation-style-language/schema/raw/master/csl-citation.json"} </w:instrText>
            </w:r>
            <w:r w:rsidR="007573F8">
              <w:rPr>
                <w:sz w:val="13"/>
                <w:szCs w:val="15"/>
              </w:rPr>
              <w:fldChar w:fldCharType="separate"/>
            </w:r>
            <w:r w:rsidR="007573F8" w:rsidRPr="007573F8">
              <w:rPr>
                <w:rFonts w:cs="Times New Roman"/>
                <w:sz w:val="13"/>
              </w:rPr>
              <w:t>[8]</w:t>
            </w:r>
            <w:r w:rsidR="007573F8">
              <w:rPr>
                <w:sz w:val="13"/>
                <w:szCs w:val="15"/>
              </w:rPr>
              <w:fldChar w:fldCharType="end"/>
            </w:r>
          </w:p>
        </w:tc>
        <w:tc>
          <w:tcPr>
            <w:tcW w:w="693" w:type="dxa"/>
            <w:vAlign w:val="center"/>
          </w:tcPr>
          <w:p w14:paraId="4218AED1" w14:textId="66741699"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2017</w:t>
            </w:r>
          </w:p>
        </w:tc>
        <w:tc>
          <w:tcPr>
            <w:tcW w:w="891" w:type="dxa"/>
            <w:vAlign w:val="center"/>
          </w:tcPr>
          <w:p w14:paraId="47F76835" w14:textId="0FDC7202"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Liver</w:t>
            </w:r>
          </w:p>
        </w:tc>
        <w:tc>
          <w:tcPr>
            <w:tcW w:w="433" w:type="dxa"/>
            <w:vAlign w:val="center"/>
          </w:tcPr>
          <w:p w14:paraId="7965A2C0" w14:textId="7822A571"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51</w:t>
            </w:r>
          </w:p>
        </w:tc>
        <w:tc>
          <w:tcPr>
            <w:tcW w:w="599" w:type="dxa"/>
            <w:vAlign w:val="center"/>
          </w:tcPr>
          <w:p w14:paraId="4B21965C" w14:textId="12786C66"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629235F0" w14:textId="2F4F723F" w:rsidR="00855A67" w:rsidRPr="00BD2ABF" w:rsidRDefault="006A0EE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7 years</w:t>
            </w:r>
          </w:p>
        </w:tc>
        <w:tc>
          <w:tcPr>
            <w:tcW w:w="1417" w:type="dxa"/>
            <w:vAlign w:val="center"/>
          </w:tcPr>
          <w:p w14:paraId="1E2C3552" w14:textId="390580C7" w:rsidR="00855A67" w:rsidRPr="00BD2ABF" w:rsidRDefault="00E665E8" w:rsidP="007A0602">
            <w:pPr>
              <w:spacing w:before="100" w:beforeAutospacing="1" w:after="100" w:afterAutospacing="1" w:line="240" w:lineRule="auto"/>
              <w:ind w:firstLineChars="0" w:firstLine="0"/>
              <w:jc w:val="center"/>
              <w:rPr>
                <w:sz w:val="13"/>
                <w:szCs w:val="15"/>
              </w:rPr>
            </w:pPr>
            <w:r w:rsidRPr="00BD2ABF">
              <w:rPr>
                <w:sz w:val="13"/>
                <w:szCs w:val="15"/>
              </w:rPr>
              <w:t>Fever, chills, stiffness, palpitations, fatigue, and myalgia</w:t>
            </w:r>
          </w:p>
        </w:tc>
        <w:tc>
          <w:tcPr>
            <w:tcW w:w="866" w:type="dxa"/>
            <w:vAlign w:val="center"/>
          </w:tcPr>
          <w:p w14:paraId="21064B4E" w14:textId="6444DFB4" w:rsidR="00855A67" w:rsidRPr="00BD2ABF" w:rsidRDefault="000E238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None</w:t>
            </w:r>
          </w:p>
        </w:tc>
        <w:tc>
          <w:tcPr>
            <w:tcW w:w="989" w:type="dxa"/>
            <w:vAlign w:val="center"/>
          </w:tcPr>
          <w:p w14:paraId="0983B1E0" w14:textId="3E5A4DE2" w:rsidR="00855A67" w:rsidRPr="00BD2ABF" w:rsidRDefault="00BC4DEE" w:rsidP="007A0602">
            <w:pPr>
              <w:spacing w:before="100" w:beforeAutospacing="1" w:after="100" w:afterAutospacing="1" w:line="240" w:lineRule="auto"/>
              <w:ind w:firstLineChars="0" w:firstLine="0"/>
              <w:jc w:val="center"/>
              <w:rPr>
                <w:sz w:val="13"/>
                <w:szCs w:val="15"/>
              </w:rPr>
            </w:pPr>
            <w:r w:rsidRPr="00BD2ABF">
              <w:rPr>
                <w:rFonts w:hint="eastAsia"/>
                <w:sz w:val="13"/>
                <w:szCs w:val="15"/>
              </w:rPr>
              <w:t>Serology</w:t>
            </w:r>
          </w:p>
        </w:tc>
        <w:tc>
          <w:tcPr>
            <w:tcW w:w="989" w:type="dxa"/>
            <w:vAlign w:val="center"/>
          </w:tcPr>
          <w:p w14:paraId="1C4B9D3E" w14:textId="35B83E26" w:rsidR="00855A67" w:rsidRPr="00BD2ABF" w:rsidRDefault="004F72B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20" w:type="dxa"/>
            <w:vAlign w:val="center"/>
          </w:tcPr>
          <w:p w14:paraId="1BDC1636" w14:textId="1E361CE1" w:rsidR="00855A67" w:rsidRPr="00BD2ABF" w:rsidRDefault="00515546" w:rsidP="007A0602">
            <w:pPr>
              <w:spacing w:before="100" w:beforeAutospacing="1" w:after="100" w:afterAutospacing="1" w:line="240" w:lineRule="auto"/>
              <w:ind w:firstLineChars="0" w:firstLine="0"/>
              <w:jc w:val="center"/>
              <w:rPr>
                <w:sz w:val="13"/>
                <w:szCs w:val="15"/>
              </w:rPr>
            </w:pPr>
            <w:r w:rsidRPr="00BD2ABF">
              <w:rPr>
                <w:rFonts w:hint="eastAsia"/>
                <w:sz w:val="13"/>
                <w:szCs w:val="15"/>
              </w:rPr>
              <w:t>Acute + potential chronic</w:t>
            </w:r>
          </w:p>
        </w:tc>
        <w:tc>
          <w:tcPr>
            <w:tcW w:w="1025" w:type="dxa"/>
            <w:vAlign w:val="center"/>
          </w:tcPr>
          <w:p w14:paraId="654CE26B" w14:textId="76C04AEB" w:rsidR="00855A67" w:rsidRPr="00BD2ABF" w:rsidRDefault="00724BDF" w:rsidP="007A0602">
            <w:pPr>
              <w:spacing w:before="100" w:beforeAutospacing="1" w:after="100" w:afterAutospacing="1" w:line="240" w:lineRule="auto"/>
              <w:ind w:firstLineChars="0" w:firstLine="0"/>
              <w:jc w:val="center"/>
              <w:rPr>
                <w:sz w:val="13"/>
                <w:szCs w:val="15"/>
              </w:rPr>
            </w:pPr>
            <w:r w:rsidRPr="00BD2ABF">
              <w:rPr>
                <w:sz w:val="13"/>
                <w:szCs w:val="15"/>
              </w:rPr>
              <w:t>Mycophenolate mofetil, tacrolimus</w:t>
            </w:r>
          </w:p>
        </w:tc>
        <w:tc>
          <w:tcPr>
            <w:tcW w:w="1077" w:type="dxa"/>
            <w:vAlign w:val="center"/>
          </w:tcPr>
          <w:p w14:paraId="519703AD" w14:textId="67062A5F"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w:t>
            </w:r>
          </w:p>
        </w:tc>
        <w:tc>
          <w:tcPr>
            <w:tcW w:w="1271" w:type="dxa"/>
            <w:vAlign w:val="center"/>
          </w:tcPr>
          <w:p w14:paraId="2974F7C3" w14:textId="5CB1DB0E" w:rsidR="00855A67" w:rsidRPr="00BD2ABF" w:rsidRDefault="005E4AE8" w:rsidP="007A0602">
            <w:pPr>
              <w:spacing w:before="100" w:beforeAutospacing="1" w:after="100" w:afterAutospacing="1" w:line="240" w:lineRule="auto"/>
              <w:ind w:firstLineChars="0" w:firstLine="0"/>
              <w:jc w:val="center"/>
              <w:rPr>
                <w:sz w:val="13"/>
                <w:szCs w:val="15"/>
              </w:rPr>
            </w:pPr>
            <w:r w:rsidRPr="00BD2ABF">
              <w:rPr>
                <w:sz w:val="13"/>
                <w:szCs w:val="15"/>
              </w:rPr>
              <w:t xml:space="preserve">Doxycycline for 4 weeks, 1 </w:t>
            </w:r>
            <w:r w:rsidR="000065C9" w:rsidRPr="00BD2ABF">
              <w:rPr>
                <w:rFonts w:hint="eastAsia"/>
                <w:sz w:val="13"/>
                <w:szCs w:val="15"/>
              </w:rPr>
              <w:t>year later</w:t>
            </w:r>
            <w:r w:rsidR="00057DFD" w:rsidRPr="00BD2ABF">
              <w:rPr>
                <w:rFonts w:hint="eastAsia"/>
                <w:sz w:val="13"/>
                <w:szCs w:val="15"/>
              </w:rPr>
              <w:t xml:space="preserve"> </w:t>
            </w:r>
            <w:r w:rsidRPr="00BD2ABF">
              <w:rPr>
                <w:sz w:val="13"/>
                <w:szCs w:val="15"/>
              </w:rPr>
              <w:t>doxycycline and hydroxychloroquine for 3 months to treat underlying chronic Q fever</w:t>
            </w:r>
          </w:p>
        </w:tc>
        <w:tc>
          <w:tcPr>
            <w:tcW w:w="729" w:type="dxa"/>
            <w:vAlign w:val="center"/>
          </w:tcPr>
          <w:p w14:paraId="0751CD9C" w14:textId="041AC037"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r w:rsidR="00AD5449" w:rsidRPr="00BD2ABF" w14:paraId="72837D5C" w14:textId="77777777" w:rsidTr="00AD5449">
        <w:tc>
          <w:tcPr>
            <w:tcW w:w="1162" w:type="dxa"/>
            <w:vAlign w:val="center"/>
          </w:tcPr>
          <w:p w14:paraId="2639A7D1" w14:textId="095E46AB" w:rsidR="00855A67" w:rsidRPr="00BD2ABF" w:rsidRDefault="00BE567A" w:rsidP="007A0602">
            <w:pPr>
              <w:spacing w:before="100" w:beforeAutospacing="1" w:after="100" w:afterAutospacing="1" w:line="240" w:lineRule="auto"/>
              <w:ind w:firstLineChars="0" w:firstLine="0"/>
              <w:jc w:val="center"/>
              <w:rPr>
                <w:sz w:val="13"/>
                <w:szCs w:val="15"/>
              </w:rPr>
            </w:pPr>
            <w:r w:rsidRPr="00BD2ABF">
              <w:rPr>
                <w:rFonts w:hint="eastAsia"/>
                <w:sz w:val="13"/>
                <w:szCs w:val="15"/>
              </w:rPr>
              <w:t>This case</w:t>
            </w:r>
          </w:p>
        </w:tc>
        <w:tc>
          <w:tcPr>
            <w:tcW w:w="693" w:type="dxa"/>
            <w:vAlign w:val="center"/>
          </w:tcPr>
          <w:p w14:paraId="0CE7C2FD" w14:textId="4BF2205F" w:rsidR="00855A67" w:rsidRPr="00BD2ABF" w:rsidRDefault="00BE567A" w:rsidP="007A0602">
            <w:pPr>
              <w:spacing w:before="100" w:beforeAutospacing="1" w:after="100" w:afterAutospacing="1" w:line="240" w:lineRule="auto"/>
              <w:ind w:firstLineChars="0" w:firstLine="0"/>
              <w:jc w:val="center"/>
              <w:rPr>
                <w:sz w:val="13"/>
                <w:szCs w:val="15"/>
              </w:rPr>
            </w:pPr>
            <w:r w:rsidRPr="00BD2ABF">
              <w:rPr>
                <w:rFonts w:hint="eastAsia"/>
                <w:sz w:val="13"/>
                <w:szCs w:val="15"/>
              </w:rPr>
              <w:t>202</w:t>
            </w:r>
            <w:r w:rsidR="00393AD8">
              <w:rPr>
                <w:rFonts w:hint="eastAsia"/>
                <w:sz w:val="13"/>
                <w:szCs w:val="15"/>
              </w:rPr>
              <w:t>4</w:t>
            </w:r>
          </w:p>
        </w:tc>
        <w:tc>
          <w:tcPr>
            <w:tcW w:w="891" w:type="dxa"/>
            <w:vAlign w:val="center"/>
          </w:tcPr>
          <w:p w14:paraId="32301105" w14:textId="3B3DDFB0"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Liver</w:t>
            </w:r>
          </w:p>
        </w:tc>
        <w:tc>
          <w:tcPr>
            <w:tcW w:w="433" w:type="dxa"/>
            <w:vAlign w:val="center"/>
          </w:tcPr>
          <w:p w14:paraId="7909ADA0" w14:textId="6431CE0B"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sz w:val="13"/>
                <w:szCs w:val="15"/>
              </w:rPr>
              <w:t>41</w:t>
            </w:r>
          </w:p>
        </w:tc>
        <w:tc>
          <w:tcPr>
            <w:tcW w:w="599" w:type="dxa"/>
            <w:vAlign w:val="center"/>
          </w:tcPr>
          <w:p w14:paraId="0356D7E7" w14:textId="1897C419"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Male</w:t>
            </w:r>
          </w:p>
        </w:tc>
        <w:tc>
          <w:tcPr>
            <w:tcW w:w="989" w:type="dxa"/>
            <w:vAlign w:val="center"/>
          </w:tcPr>
          <w:p w14:paraId="35A5674D" w14:textId="221BBD6D" w:rsidR="00855A67" w:rsidRPr="00BD2ABF" w:rsidRDefault="006A0EE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5 years</w:t>
            </w:r>
          </w:p>
        </w:tc>
        <w:tc>
          <w:tcPr>
            <w:tcW w:w="1417" w:type="dxa"/>
            <w:vAlign w:val="center"/>
          </w:tcPr>
          <w:p w14:paraId="2578B929" w14:textId="42F33390" w:rsidR="00855A67" w:rsidRPr="00BD2ABF" w:rsidRDefault="0066725C" w:rsidP="007A0602">
            <w:pPr>
              <w:spacing w:before="100" w:beforeAutospacing="1" w:after="100" w:afterAutospacing="1" w:line="240" w:lineRule="auto"/>
              <w:ind w:firstLineChars="0" w:firstLine="0"/>
              <w:jc w:val="center"/>
              <w:rPr>
                <w:sz w:val="13"/>
                <w:szCs w:val="15"/>
              </w:rPr>
            </w:pPr>
            <w:r w:rsidRPr="00BD2ABF">
              <w:rPr>
                <w:sz w:val="13"/>
                <w:szCs w:val="15"/>
              </w:rPr>
              <w:t>Fever, chills, chills, headache, neck and shoulder muscle pain</w:t>
            </w:r>
          </w:p>
        </w:tc>
        <w:tc>
          <w:tcPr>
            <w:tcW w:w="866" w:type="dxa"/>
            <w:vAlign w:val="center"/>
          </w:tcPr>
          <w:p w14:paraId="2364189D" w14:textId="4A8E82C1" w:rsidR="00855A67" w:rsidRPr="00BD2ABF" w:rsidRDefault="000E2388" w:rsidP="007A0602">
            <w:pPr>
              <w:spacing w:before="100" w:beforeAutospacing="1" w:after="100" w:afterAutospacing="1" w:line="240" w:lineRule="auto"/>
              <w:ind w:firstLineChars="0" w:firstLine="0"/>
              <w:jc w:val="center"/>
              <w:rPr>
                <w:sz w:val="13"/>
                <w:szCs w:val="15"/>
              </w:rPr>
            </w:pPr>
            <w:r w:rsidRPr="00BD2ABF">
              <w:rPr>
                <w:rFonts w:hint="eastAsia"/>
                <w:sz w:val="13"/>
                <w:szCs w:val="15"/>
              </w:rPr>
              <w:t>None</w:t>
            </w:r>
          </w:p>
        </w:tc>
        <w:tc>
          <w:tcPr>
            <w:tcW w:w="989" w:type="dxa"/>
            <w:vAlign w:val="center"/>
          </w:tcPr>
          <w:p w14:paraId="5210F3C9" w14:textId="709D6F80" w:rsidR="00855A67" w:rsidRPr="00BD2ABF" w:rsidRDefault="00BC4DEE" w:rsidP="007A0602">
            <w:pPr>
              <w:spacing w:before="100" w:beforeAutospacing="1" w:after="100" w:afterAutospacing="1" w:line="240" w:lineRule="auto"/>
              <w:ind w:firstLineChars="0" w:firstLine="0"/>
              <w:jc w:val="center"/>
              <w:rPr>
                <w:sz w:val="13"/>
                <w:szCs w:val="15"/>
              </w:rPr>
            </w:pPr>
            <w:r w:rsidRPr="00BD2ABF">
              <w:rPr>
                <w:rFonts w:hint="eastAsia"/>
                <w:sz w:val="13"/>
                <w:szCs w:val="15"/>
              </w:rPr>
              <w:t>mNGS</w:t>
            </w:r>
          </w:p>
        </w:tc>
        <w:tc>
          <w:tcPr>
            <w:tcW w:w="989" w:type="dxa"/>
            <w:vAlign w:val="center"/>
          </w:tcPr>
          <w:p w14:paraId="6F653B10" w14:textId="4F06EC75" w:rsidR="00855A67" w:rsidRPr="00BD2ABF" w:rsidRDefault="004F72B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2 days</w:t>
            </w:r>
          </w:p>
        </w:tc>
        <w:tc>
          <w:tcPr>
            <w:tcW w:w="1220" w:type="dxa"/>
            <w:vAlign w:val="center"/>
          </w:tcPr>
          <w:p w14:paraId="1997B4E0" w14:textId="2A1F4B28" w:rsidR="00855A67" w:rsidRPr="00BD2ABF" w:rsidRDefault="00C64D9C" w:rsidP="007A0602">
            <w:pPr>
              <w:spacing w:before="100" w:beforeAutospacing="1" w:after="100" w:afterAutospacing="1" w:line="240" w:lineRule="auto"/>
              <w:ind w:firstLineChars="0" w:firstLine="0"/>
              <w:jc w:val="center"/>
              <w:rPr>
                <w:sz w:val="13"/>
                <w:szCs w:val="15"/>
              </w:rPr>
            </w:pPr>
            <w:r w:rsidRPr="00BD2ABF">
              <w:rPr>
                <w:sz w:val="13"/>
                <w:szCs w:val="15"/>
              </w:rPr>
              <w:t>A</w:t>
            </w:r>
            <w:r w:rsidRPr="00BD2ABF">
              <w:rPr>
                <w:rFonts w:hint="eastAsia"/>
                <w:sz w:val="13"/>
                <w:szCs w:val="15"/>
              </w:rPr>
              <w:t>cute</w:t>
            </w:r>
          </w:p>
        </w:tc>
        <w:tc>
          <w:tcPr>
            <w:tcW w:w="1025" w:type="dxa"/>
            <w:vAlign w:val="center"/>
          </w:tcPr>
          <w:p w14:paraId="6C02A3C1" w14:textId="5D54C797" w:rsidR="00855A67" w:rsidRPr="00BD2ABF" w:rsidRDefault="00E16427" w:rsidP="007A0602">
            <w:pPr>
              <w:spacing w:before="100" w:beforeAutospacing="1" w:after="100" w:afterAutospacing="1" w:line="240" w:lineRule="auto"/>
              <w:ind w:firstLineChars="0" w:firstLine="0"/>
              <w:jc w:val="center"/>
              <w:rPr>
                <w:sz w:val="13"/>
                <w:szCs w:val="15"/>
              </w:rPr>
            </w:pPr>
            <w:r w:rsidRPr="00BD2ABF">
              <w:rPr>
                <w:sz w:val="13"/>
                <w:szCs w:val="15"/>
              </w:rPr>
              <w:t>Tacrolimus, mycophenolate mofetil</w:t>
            </w:r>
          </w:p>
        </w:tc>
        <w:tc>
          <w:tcPr>
            <w:tcW w:w="1077" w:type="dxa"/>
            <w:vAlign w:val="center"/>
          </w:tcPr>
          <w:p w14:paraId="3C510DA9" w14:textId="50507624" w:rsidR="00855A67" w:rsidRPr="00BD2ABF" w:rsidRDefault="00806CF3" w:rsidP="007A0602">
            <w:pPr>
              <w:spacing w:before="100" w:beforeAutospacing="1" w:after="100" w:afterAutospacing="1" w:line="240" w:lineRule="auto"/>
              <w:ind w:firstLineChars="0" w:firstLine="0"/>
              <w:jc w:val="center"/>
              <w:rPr>
                <w:sz w:val="13"/>
                <w:szCs w:val="15"/>
              </w:rPr>
            </w:pPr>
            <w:r w:rsidRPr="00BD2ABF">
              <w:rPr>
                <w:rFonts w:hint="eastAsia"/>
                <w:sz w:val="13"/>
                <w:szCs w:val="15"/>
              </w:rPr>
              <w:t>decrease</w:t>
            </w:r>
          </w:p>
        </w:tc>
        <w:tc>
          <w:tcPr>
            <w:tcW w:w="1271" w:type="dxa"/>
            <w:vAlign w:val="center"/>
          </w:tcPr>
          <w:p w14:paraId="0C85F1A0" w14:textId="76A91098" w:rsidR="00855A67" w:rsidRPr="00BD2ABF" w:rsidRDefault="00F25414" w:rsidP="007A0602">
            <w:pPr>
              <w:spacing w:before="100" w:beforeAutospacing="1" w:after="100" w:afterAutospacing="1" w:line="240" w:lineRule="auto"/>
              <w:ind w:firstLineChars="0" w:firstLine="0"/>
              <w:jc w:val="center"/>
              <w:rPr>
                <w:sz w:val="13"/>
                <w:szCs w:val="15"/>
              </w:rPr>
            </w:pPr>
            <w:r w:rsidRPr="00BD2ABF">
              <w:rPr>
                <w:sz w:val="13"/>
                <w:szCs w:val="15"/>
              </w:rPr>
              <w:t>Doxycycline for 18 days</w:t>
            </w:r>
          </w:p>
        </w:tc>
        <w:tc>
          <w:tcPr>
            <w:tcW w:w="729" w:type="dxa"/>
            <w:vAlign w:val="center"/>
          </w:tcPr>
          <w:p w14:paraId="099349D1" w14:textId="114CC025" w:rsidR="00855A67" w:rsidRPr="00BD2ABF" w:rsidRDefault="00855A67" w:rsidP="007A0602">
            <w:pPr>
              <w:spacing w:before="100" w:beforeAutospacing="1" w:after="100" w:afterAutospacing="1" w:line="240" w:lineRule="auto"/>
              <w:ind w:firstLineChars="0" w:firstLine="0"/>
              <w:jc w:val="center"/>
              <w:rPr>
                <w:sz w:val="13"/>
                <w:szCs w:val="15"/>
              </w:rPr>
            </w:pPr>
            <w:r w:rsidRPr="00BD2ABF">
              <w:rPr>
                <w:rFonts w:hint="eastAsia"/>
                <w:sz w:val="13"/>
                <w:szCs w:val="15"/>
              </w:rPr>
              <w:t>Live</w:t>
            </w:r>
          </w:p>
        </w:tc>
      </w:tr>
    </w:tbl>
    <w:p w14:paraId="5EA5D404" w14:textId="2483F26F" w:rsidR="007573F8" w:rsidRDefault="007573F8" w:rsidP="00730622">
      <w:pPr>
        <w:ind w:firstLineChars="0" w:firstLine="0"/>
      </w:pPr>
      <w:r>
        <w:rPr>
          <w:rFonts w:hint="eastAsia"/>
        </w:rPr>
        <w:lastRenderedPageBreak/>
        <w:t>Reference:</w:t>
      </w:r>
    </w:p>
    <w:p w14:paraId="0E753207" w14:textId="77777777" w:rsidR="007573F8" w:rsidRPr="007573F8" w:rsidRDefault="007573F8" w:rsidP="007573F8">
      <w:pPr>
        <w:pStyle w:val="a7"/>
        <w:ind w:firstLine="420"/>
        <w:rPr>
          <w:rFonts w:cs="Times New Roman"/>
        </w:rPr>
      </w:pPr>
      <w:r>
        <w:fldChar w:fldCharType="begin"/>
      </w:r>
      <w:r>
        <w:instrText xml:space="preserve"> ADDIN ZOTERO_BIBL {"uncited":[],"omitted":[],"custom":[]} CSL_BIBLIOGRAPHY </w:instrText>
      </w:r>
      <w:r>
        <w:fldChar w:fldCharType="separate"/>
      </w:r>
      <w:r w:rsidRPr="007573F8">
        <w:rPr>
          <w:rFonts w:cs="Times New Roman"/>
        </w:rPr>
        <w:t xml:space="preserve">1. </w:t>
      </w:r>
      <w:r w:rsidRPr="007573F8">
        <w:rPr>
          <w:rFonts w:cs="Times New Roman"/>
        </w:rPr>
        <w:tab/>
        <w:t xml:space="preserve">Larsen CP, Bell JM, Ketel BL, Walker PD. Infection in renal transplantation: a case of acute Q fever. Am J Kidney Dis </w:t>
      </w:r>
      <w:r w:rsidRPr="007573F8">
        <w:rPr>
          <w:rFonts w:cs="Times New Roman"/>
          <w:b/>
          <w:bCs/>
        </w:rPr>
        <w:t>2006</w:t>
      </w:r>
      <w:r w:rsidRPr="007573F8">
        <w:rPr>
          <w:rFonts w:cs="Times New Roman"/>
        </w:rPr>
        <w:t xml:space="preserve">; 48:321–326. </w:t>
      </w:r>
    </w:p>
    <w:p w14:paraId="410D024C" w14:textId="77777777" w:rsidR="007573F8" w:rsidRPr="007573F8" w:rsidRDefault="007573F8" w:rsidP="007573F8">
      <w:pPr>
        <w:pStyle w:val="a7"/>
        <w:ind w:firstLine="420"/>
        <w:rPr>
          <w:rFonts w:cs="Times New Roman"/>
        </w:rPr>
      </w:pPr>
      <w:r w:rsidRPr="007573F8">
        <w:rPr>
          <w:rFonts w:cs="Times New Roman"/>
        </w:rPr>
        <w:t xml:space="preserve">2. </w:t>
      </w:r>
      <w:r w:rsidRPr="007573F8">
        <w:rPr>
          <w:rFonts w:cs="Times New Roman"/>
        </w:rPr>
        <w:tab/>
        <w:t xml:space="preserve">Godinho I, Nogueira EL, Santos CM, et al. Chronic Q Fever in a renal transplant recipient: a case report. Transplant Proc </w:t>
      </w:r>
      <w:r w:rsidRPr="007573F8">
        <w:rPr>
          <w:rFonts w:cs="Times New Roman"/>
          <w:b/>
          <w:bCs/>
        </w:rPr>
        <w:t>2015</w:t>
      </w:r>
      <w:r w:rsidRPr="007573F8">
        <w:rPr>
          <w:rFonts w:cs="Times New Roman"/>
        </w:rPr>
        <w:t xml:space="preserve">; 47:1045–1047. </w:t>
      </w:r>
    </w:p>
    <w:p w14:paraId="2B1DE997" w14:textId="77777777" w:rsidR="007573F8" w:rsidRPr="007573F8" w:rsidRDefault="007573F8" w:rsidP="007573F8">
      <w:pPr>
        <w:pStyle w:val="a7"/>
        <w:ind w:firstLine="420"/>
        <w:rPr>
          <w:rFonts w:cs="Times New Roman"/>
        </w:rPr>
      </w:pPr>
      <w:r w:rsidRPr="007573F8">
        <w:rPr>
          <w:rFonts w:cs="Times New Roman"/>
        </w:rPr>
        <w:t xml:space="preserve">3. </w:t>
      </w:r>
      <w:r w:rsidRPr="007573F8">
        <w:rPr>
          <w:rFonts w:cs="Times New Roman"/>
        </w:rPr>
        <w:tab/>
        <w:t xml:space="preserve">Budgin AM, Abidi MZ, Bajrovic V, Miller MA, Johnson SC. Severe acute Q fever pneumonia complicated by presumed persistent localized Q fever endocarditis in a renal transplant recipient: A case report and review of the literature. Transpl Infect Dis </w:t>
      </w:r>
      <w:r w:rsidRPr="007573F8">
        <w:rPr>
          <w:rFonts w:cs="Times New Roman"/>
          <w:b/>
          <w:bCs/>
        </w:rPr>
        <w:t>2020</w:t>
      </w:r>
      <w:r w:rsidRPr="007573F8">
        <w:rPr>
          <w:rFonts w:cs="Times New Roman"/>
        </w:rPr>
        <w:t xml:space="preserve">; 22:e13230. </w:t>
      </w:r>
    </w:p>
    <w:p w14:paraId="35970060" w14:textId="77777777" w:rsidR="007573F8" w:rsidRPr="007573F8" w:rsidRDefault="007573F8" w:rsidP="007573F8">
      <w:pPr>
        <w:pStyle w:val="a7"/>
        <w:ind w:firstLine="420"/>
        <w:rPr>
          <w:rFonts w:cs="Times New Roman"/>
        </w:rPr>
      </w:pPr>
      <w:r w:rsidRPr="007573F8">
        <w:rPr>
          <w:rFonts w:cs="Times New Roman"/>
        </w:rPr>
        <w:t xml:space="preserve">4. </w:t>
      </w:r>
      <w:r w:rsidRPr="007573F8">
        <w:rPr>
          <w:rFonts w:cs="Times New Roman"/>
        </w:rPr>
        <w:tab/>
        <w:t xml:space="preserve">Sarrell BA, Laurenzano J, Freitas J, Concepcion BP. Q fever presenting with hepatic and splenic lesions in a kidney transplant recipient. Transpl Infect Dis </w:t>
      </w:r>
      <w:r w:rsidRPr="007573F8">
        <w:rPr>
          <w:rFonts w:cs="Times New Roman"/>
          <w:b/>
          <w:bCs/>
        </w:rPr>
        <w:t>2021</w:t>
      </w:r>
      <w:r w:rsidRPr="007573F8">
        <w:rPr>
          <w:rFonts w:cs="Times New Roman"/>
        </w:rPr>
        <w:t xml:space="preserve">; 23:e13699. </w:t>
      </w:r>
    </w:p>
    <w:p w14:paraId="7CF63764" w14:textId="77777777" w:rsidR="007573F8" w:rsidRPr="007573F8" w:rsidRDefault="007573F8" w:rsidP="007573F8">
      <w:pPr>
        <w:pStyle w:val="a7"/>
        <w:ind w:firstLine="420"/>
        <w:rPr>
          <w:rFonts w:cs="Times New Roman"/>
        </w:rPr>
      </w:pPr>
      <w:r w:rsidRPr="007573F8">
        <w:rPr>
          <w:rFonts w:cs="Times New Roman"/>
        </w:rPr>
        <w:t xml:space="preserve">5. </w:t>
      </w:r>
      <w:r w:rsidRPr="007573F8">
        <w:rPr>
          <w:rFonts w:cs="Times New Roman"/>
        </w:rPr>
        <w:tab/>
        <w:t xml:space="preserve">Poch J, Ince D, Thomas C, Dhakal R, Gajurel K. Unusual presentation of Q fever in a kidney-pancreas transplant recipient. Transpl Infect Dis </w:t>
      </w:r>
      <w:r w:rsidRPr="007573F8">
        <w:rPr>
          <w:rFonts w:cs="Times New Roman"/>
          <w:b/>
          <w:bCs/>
        </w:rPr>
        <w:t>2019</w:t>
      </w:r>
      <w:r w:rsidRPr="007573F8">
        <w:rPr>
          <w:rFonts w:cs="Times New Roman"/>
        </w:rPr>
        <w:t xml:space="preserve">; 21:e13037. </w:t>
      </w:r>
    </w:p>
    <w:p w14:paraId="0CB7F357" w14:textId="77777777" w:rsidR="007573F8" w:rsidRPr="007573F8" w:rsidRDefault="007573F8" w:rsidP="007573F8">
      <w:pPr>
        <w:pStyle w:val="a7"/>
        <w:ind w:firstLine="420"/>
        <w:rPr>
          <w:rFonts w:cs="Times New Roman"/>
        </w:rPr>
      </w:pPr>
      <w:r w:rsidRPr="007573F8">
        <w:rPr>
          <w:rFonts w:cs="Times New Roman"/>
        </w:rPr>
        <w:t xml:space="preserve">6. </w:t>
      </w:r>
      <w:r w:rsidRPr="007573F8">
        <w:rPr>
          <w:rFonts w:cs="Times New Roman"/>
        </w:rPr>
        <w:tab/>
        <w:t xml:space="preserve">Jandhyala D, Farid S, Mahmood M, et al. Unrecognized pre-transplant disseminated Coxiella burnetti infection diagnosed in a post-transplant heart-kidney recipient. Transpl Infect Dis </w:t>
      </w:r>
      <w:r w:rsidRPr="007573F8">
        <w:rPr>
          <w:rFonts w:cs="Times New Roman"/>
          <w:b/>
          <w:bCs/>
        </w:rPr>
        <w:t>2018</w:t>
      </w:r>
      <w:r w:rsidRPr="007573F8">
        <w:rPr>
          <w:rFonts w:cs="Times New Roman"/>
        </w:rPr>
        <w:t xml:space="preserve">; 20:e12962. </w:t>
      </w:r>
    </w:p>
    <w:p w14:paraId="07FEF566" w14:textId="77777777" w:rsidR="007573F8" w:rsidRPr="007573F8" w:rsidRDefault="007573F8" w:rsidP="007573F8">
      <w:pPr>
        <w:pStyle w:val="a7"/>
        <w:ind w:firstLine="420"/>
        <w:rPr>
          <w:rFonts w:cs="Times New Roman"/>
        </w:rPr>
      </w:pPr>
      <w:r w:rsidRPr="007573F8">
        <w:rPr>
          <w:rFonts w:cs="Times New Roman"/>
        </w:rPr>
        <w:t xml:space="preserve">7. </w:t>
      </w:r>
      <w:r w:rsidRPr="007573F8">
        <w:rPr>
          <w:rFonts w:cs="Times New Roman"/>
        </w:rPr>
        <w:tab/>
        <w:t xml:space="preserve">Loudon MM, Thompson EN. Severe combined immunodeficiency syndrome, tissue transplant, leukaemia, and Q fever. Arch Dis Child </w:t>
      </w:r>
      <w:r w:rsidRPr="007573F8">
        <w:rPr>
          <w:rFonts w:cs="Times New Roman"/>
          <w:b/>
          <w:bCs/>
        </w:rPr>
        <w:t>1988</w:t>
      </w:r>
      <w:r w:rsidRPr="007573F8">
        <w:rPr>
          <w:rFonts w:cs="Times New Roman"/>
        </w:rPr>
        <w:t xml:space="preserve">; 63:207–209. </w:t>
      </w:r>
    </w:p>
    <w:p w14:paraId="5B1904A6" w14:textId="77777777" w:rsidR="007573F8" w:rsidRPr="007573F8" w:rsidRDefault="007573F8" w:rsidP="007573F8">
      <w:pPr>
        <w:pStyle w:val="a7"/>
        <w:ind w:firstLine="420"/>
        <w:rPr>
          <w:rFonts w:cs="Times New Roman"/>
        </w:rPr>
      </w:pPr>
      <w:r w:rsidRPr="007573F8">
        <w:rPr>
          <w:rFonts w:cs="Times New Roman"/>
        </w:rPr>
        <w:t xml:space="preserve">8. </w:t>
      </w:r>
      <w:r w:rsidRPr="007573F8">
        <w:rPr>
          <w:rFonts w:cs="Times New Roman"/>
        </w:rPr>
        <w:tab/>
        <w:t xml:space="preserve">Petty LA, Te HS, Pursell K. A case of Q fever after liver transplantation. Transpl Infect Dis </w:t>
      </w:r>
      <w:r w:rsidRPr="007573F8">
        <w:rPr>
          <w:rFonts w:cs="Times New Roman"/>
          <w:b/>
          <w:bCs/>
        </w:rPr>
        <w:t>2017</w:t>
      </w:r>
      <w:r w:rsidRPr="007573F8">
        <w:rPr>
          <w:rFonts w:cs="Times New Roman"/>
        </w:rPr>
        <w:t xml:space="preserve">; 19. </w:t>
      </w:r>
    </w:p>
    <w:p w14:paraId="77911525" w14:textId="34263285" w:rsidR="007573F8" w:rsidRDefault="007573F8" w:rsidP="00730622">
      <w:pPr>
        <w:ind w:firstLineChars="0" w:firstLine="0"/>
      </w:pPr>
      <w:r>
        <w:fldChar w:fldCharType="end"/>
      </w:r>
    </w:p>
    <w:p w14:paraId="544846AB" w14:textId="77777777" w:rsidR="00CE2E3F" w:rsidRPr="00CF15FB" w:rsidRDefault="00CE2E3F" w:rsidP="00973B6F">
      <w:pPr>
        <w:ind w:firstLine="420"/>
      </w:pPr>
    </w:p>
    <w:sectPr w:rsidR="00CE2E3F" w:rsidRPr="00CF15FB" w:rsidSect="0054297D">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D1F77" w14:textId="77777777" w:rsidR="0054297D" w:rsidRDefault="0054297D" w:rsidP="00CF15FB">
      <w:pPr>
        <w:spacing w:line="240" w:lineRule="auto"/>
        <w:ind w:firstLine="420"/>
      </w:pPr>
      <w:r>
        <w:separator/>
      </w:r>
    </w:p>
  </w:endnote>
  <w:endnote w:type="continuationSeparator" w:id="0">
    <w:p w14:paraId="0A8B4ADE" w14:textId="77777777" w:rsidR="0054297D" w:rsidRDefault="0054297D" w:rsidP="00CF15F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D7F9A" w14:textId="77777777" w:rsidR="00CF54F3" w:rsidRDefault="00CF54F3">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B13F" w14:textId="77777777" w:rsidR="00CF54F3" w:rsidRDefault="00CF54F3">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4F3A" w14:textId="77777777" w:rsidR="00CF54F3" w:rsidRDefault="00CF54F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A227A" w14:textId="77777777" w:rsidR="0054297D" w:rsidRDefault="0054297D" w:rsidP="00CF15FB">
      <w:pPr>
        <w:spacing w:line="240" w:lineRule="auto"/>
        <w:ind w:firstLine="420"/>
      </w:pPr>
      <w:r>
        <w:separator/>
      </w:r>
    </w:p>
  </w:footnote>
  <w:footnote w:type="continuationSeparator" w:id="0">
    <w:p w14:paraId="5C8AFA58" w14:textId="77777777" w:rsidR="0054297D" w:rsidRDefault="0054297D" w:rsidP="00CF15F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5F9E" w14:textId="77777777" w:rsidR="00CF54F3" w:rsidRDefault="00CF54F3">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327EE" w14:textId="77777777" w:rsidR="00CF54F3" w:rsidRDefault="00CF54F3">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99C0" w14:textId="77777777" w:rsidR="00CF54F3" w:rsidRDefault="00CF54F3">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61A7F"/>
    <w:multiLevelType w:val="multilevel"/>
    <w:tmpl w:val="46E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76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B8"/>
    <w:rsid w:val="00005E3F"/>
    <w:rsid w:val="000065C9"/>
    <w:rsid w:val="000129DF"/>
    <w:rsid w:val="00043B16"/>
    <w:rsid w:val="00057DFD"/>
    <w:rsid w:val="000A1AD1"/>
    <w:rsid w:val="000C51E3"/>
    <w:rsid w:val="000E2388"/>
    <w:rsid w:val="00117D4E"/>
    <w:rsid w:val="0015187C"/>
    <w:rsid w:val="001965A2"/>
    <w:rsid w:val="001A3FC0"/>
    <w:rsid w:val="001A6F2A"/>
    <w:rsid w:val="001F576D"/>
    <w:rsid w:val="002048BF"/>
    <w:rsid w:val="00220994"/>
    <w:rsid w:val="00235FFC"/>
    <w:rsid w:val="002D51C6"/>
    <w:rsid w:val="00317957"/>
    <w:rsid w:val="00346422"/>
    <w:rsid w:val="00383C16"/>
    <w:rsid w:val="00393AD8"/>
    <w:rsid w:val="003A7FA6"/>
    <w:rsid w:val="003D6BB8"/>
    <w:rsid w:val="003F61A2"/>
    <w:rsid w:val="00422767"/>
    <w:rsid w:val="00446A65"/>
    <w:rsid w:val="00453D39"/>
    <w:rsid w:val="004618FF"/>
    <w:rsid w:val="00487C5E"/>
    <w:rsid w:val="004A06FD"/>
    <w:rsid w:val="004A5F60"/>
    <w:rsid w:val="004E511D"/>
    <w:rsid w:val="004E5AD0"/>
    <w:rsid w:val="004F72B3"/>
    <w:rsid w:val="00514132"/>
    <w:rsid w:val="00515546"/>
    <w:rsid w:val="00524EC1"/>
    <w:rsid w:val="00525E62"/>
    <w:rsid w:val="0054297D"/>
    <w:rsid w:val="00561EE1"/>
    <w:rsid w:val="00570102"/>
    <w:rsid w:val="005D23D3"/>
    <w:rsid w:val="005D3719"/>
    <w:rsid w:val="005E4AE8"/>
    <w:rsid w:val="006236B2"/>
    <w:rsid w:val="006442F9"/>
    <w:rsid w:val="006458F3"/>
    <w:rsid w:val="00656ECA"/>
    <w:rsid w:val="00660F1C"/>
    <w:rsid w:val="0066725C"/>
    <w:rsid w:val="00684BD4"/>
    <w:rsid w:val="0069200A"/>
    <w:rsid w:val="006A0EE8"/>
    <w:rsid w:val="006B295C"/>
    <w:rsid w:val="006D4B9A"/>
    <w:rsid w:val="006E30EE"/>
    <w:rsid w:val="006E73BF"/>
    <w:rsid w:val="007008BD"/>
    <w:rsid w:val="00702E4B"/>
    <w:rsid w:val="00721CE8"/>
    <w:rsid w:val="00724BDF"/>
    <w:rsid w:val="00730622"/>
    <w:rsid w:val="007573F8"/>
    <w:rsid w:val="00781AC1"/>
    <w:rsid w:val="00786FEA"/>
    <w:rsid w:val="007A0602"/>
    <w:rsid w:val="00806CF3"/>
    <w:rsid w:val="00855A67"/>
    <w:rsid w:val="00857050"/>
    <w:rsid w:val="008964D5"/>
    <w:rsid w:val="008B496E"/>
    <w:rsid w:val="008B75BA"/>
    <w:rsid w:val="00903633"/>
    <w:rsid w:val="00917E67"/>
    <w:rsid w:val="00973B6F"/>
    <w:rsid w:val="009B6063"/>
    <w:rsid w:val="009D5EB4"/>
    <w:rsid w:val="009E0972"/>
    <w:rsid w:val="009E376E"/>
    <w:rsid w:val="00A17A0D"/>
    <w:rsid w:val="00A40FD3"/>
    <w:rsid w:val="00A96BA1"/>
    <w:rsid w:val="00AB5140"/>
    <w:rsid w:val="00AB5EC6"/>
    <w:rsid w:val="00AC0C8B"/>
    <w:rsid w:val="00AD5449"/>
    <w:rsid w:val="00B35CEF"/>
    <w:rsid w:val="00BA3694"/>
    <w:rsid w:val="00BA4CC6"/>
    <w:rsid w:val="00BA77E5"/>
    <w:rsid w:val="00BC0839"/>
    <w:rsid w:val="00BC4DEE"/>
    <w:rsid w:val="00BD2ABF"/>
    <w:rsid w:val="00BE2CDB"/>
    <w:rsid w:val="00BE567A"/>
    <w:rsid w:val="00C06CC2"/>
    <w:rsid w:val="00C07BD7"/>
    <w:rsid w:val="00C54E26"/>
    <w:rsid w:val="00C64D9C"/>
    <w:rsid w:val="00C94C6D"/>
    <w:rsid w:val="00CA60D3"/>
    <w:rsid w:val="00CB154D"/>
    <w:rsid w:val="00CE2E3F"/>
    <w:rsid w:val="00CF15FB"/>
    <w:rsid w:val="00CF54F3"/>
    <w:rsid w:val="00D8769A"/>
    <w:rsid w:val="00E16427"/>
    <w:rsid w:val="00E42B65"/>
    <w:rsid w:val="00E60E23"/>
    <w:rsid w:val="00E665E8"/>
    <w:rsid w:val="00EA6C34"/>
    <w:rsid w:val="00EE07D3"/>
    <w:rsid w:val="00EE113F"/>
    <w:rsid w:val="00F25414"/>
    <w:rsid w:val="00F707B6"/>
    <w:rsid w:val="00F76F0D"/>
    <w:rsid w:val="00FE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AA168"/>
  <w15:chartTrackingRefBased/>
  <w15:docId w15:val="{128DCF56-A719-4A1E-9510-E15D655D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FB"/>
    <w:pPr>
      <w:widowControl w:val="0"/>
      <w:spacing w:line="360" w:lineRule="auto"/>
      <w:ind w:firstLineChars="200" w:firstLine="200"/>
      <w:jc w:val="both"/>
    </w:pPr>
    <w:rPr>
      <w:rFonts w:ascii="Times New Roman" w:eastAsia="宋体" w:hAnsi="Times New Roman"/>
    </w:rPr>
  </w:style>
  <w:style w:type="paragraph" w:styleId="1">
    <w:name w:val="heading 1"/>
    <w:basedOn w:val="a"/>
    <w:next w:val="a"/>
    <w:link w:val="10"/>
    <w:uiPriority w:val="9"/>
    <w:qFormat/>
    <w:rsid w:val="00973B6F"/>
    <w:pPr>
      <w:keepNext/>
      <w:keepLines/>
      <w:spacing w:before="340" w:after="330" w:line="578" w:lineRule="auto"/>
      <w:ind w:firstLineChars="0" w:firstLine="0"/>
      <w:outlineLvl w:val="0"/>
    </w:pPr>
    <w:rPr>
      <w:b/>
      <w:bCs/>
      <w:kern w:val="44"/>
      <w:sz w:val="44"/>
      <w:szCs w:val="44"/>
    </w:rPr>
  </w:style>
  <w:style w:type="paragraph" w:styleId="2">
    <w:name w:val="heading 2"/>
    <w:basedOn w:val="a"/>
    <w:next w:val="a"/>
    <w:link w:val="20"/>
    <w:uiPriority w:val="9"/>
    <w:unhideWhenUsed/>
    <w:qFormat/>
    <w:rsid w:val="00973B6F"/>
    <w:pPr>
      <w:keepNext/>
      <w:keepLines/>
      <w:spacing w:before="260" w:after="260" w:line="415" w:lineRule="auto"/>
      <w:ind w:firstLineChars="0" w:firstLine="0"/>
      <w:outlineLvl w:val="1"/>
    </w:pPr>
    <w:rPr>
      <w:rFonts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5FB"/>
    <w:pP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4">
    <w:name w:val="页眉 字符"/>
    <w:basedOn w:val="a0"/>
    <w:link w:val="a3"/>
    <w:uiPriority w:val="99"/>
    <w:rsid w:val="00CF15FB"/>
    <w:rPr>
      <w:sz w:val="18"/>
      <w:szCs w:val="18"/>
    </w:rPr>
  </w:style>
  <w:style w:type="paragraph" w:styleId="a5">
    <w:name w:val="footer"/>
    <w:basedOn w:val="a"/>
    <w:link w:val="a6"/>
    <w:uiPriority w:val="99"/>
    <w:unhideWhenUsed/>
    <w:rsid w:val="00CF15FB"/>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character" w:customStyle="1" w:styleId="a6">
    <w:name w:val="页脚 字符"/>
    <w:basedOn w:val="a0"/>
    <w:link w:val="a5"/>
    <w:uiPriority w:val="99"/>
    <w:rsid w:val="00CF15FB"/>
    <w:rPr>
      <w:sz w:val="18"/>
      <w:szCs w:val="18"/>
    </w:rPr>
  </w:style>
  <w:style w:type="paragraph" w:styleId="a7">
    <w:name w:val="Bibliography"/>
    <w:basedOn w:val="a"/>
    <w:next w:val="a"/>
    <w:uiPriority w:val="37"/>
    <w:unhideWhenUsed/>
    <w:rsid w:val="00BE2CDB"/>
    <w:pPr>
      <w:tabs>
        <w:tab w:val="left" w:pos="384"/>
      </w:tabs>
      <w:spacing w:after="240" w:line="240" w:lineRule="auto"/>
      <w:ind w:left="384" w:hanging="384"/>
    </w:pPr>
  </w:style>
  <w:style w:type="paragraph" w:styleId="a8">
    <w:name w:val="Title"/>
    <w:basedOn w:val="a"/>
    <w:next w:val="a"/>
    <w:link w:val="a9"/>
    <w:uiPriority w:val="10"/>
    <w:qFormat/>
    <w:rsid w:val="00973B6F"/>
    <w:pPr>
      <w:spacing w:before="240" w:after="60"/>
      <w:ind w:firstLineChars="0" w:firstLine="0"/>
      <w:jc w:val="center"/>
      <w:outlineLvl w:val="0"/>
    </w:pPr>
    <w:rPr>
      <w:rFonts w:cstheme="majorBidi"/>
      <w:b/>
      <w:bCs/>
      <w:sz w:val="32"/>
      <w:szCs w:val="32"/>
    </w:rPr>
  </w:style>
  <w:style w:type="character" w:customStyle="1" w:styleId="a9">
    <w:name w:val="标题 字符"/>
    <w:basedOn w:val="a0"/>
    <w:link w:val="a8"/>
    <w:uiPriority w:val="10"/>
    <w:rsid w:val="00973B6F"/>
    <w:rPr>
      <w:rFonts w:ascii="Times New Roman" w:eastAsia="宋体" w:hAnsi="Times New Roman" w:cstheme="majorBidi"/>
      <w:b/>
      <w:bCs/>
      <w:sz w:val="32"/>
      <w:szCs w:val="32"/>
    </w:rPr>
  </w:style>
  <w:style w:type="character" w:customStyle="1" w:styleId="10">
    <w:name w:val="标题 1 字符"/>
    <w:basedOn w:val="a0"/>
    <w:link w:val="1"/>
    <w:uiPriority w:val="9"/>
    <w:rsid w:val="00973B6F"/>
    <w:rPr>
      <w:rFonts w:ascii="Times New Roman" w:eastAsia="宋体" w:hAnsi="Times New Roman"/>
      <w:b/>
      <w:bCs/>
      <w:kern w:val="44"/>
      <w:sz w:val="44"/>
      <w:szCs w:val="44"/>
    </w:rPr>
  </w:style>
  <w:style w:type="character" w:customStyle="1" w:styleId="20">
    <w:name w:val="标题 2 字符"/>
    <w:basedOn w:val="a0"/>
    <w:link w:val="2"/>
    <w:uiPriority w:val="9"/>
    <w:rsid w:val="00973B6F"/>
    <w:rPr>
      <w:rFonts w:ascii="Times New Roman" w:eastAsia="宋体" w:hAnsi="Times New Roman" w:cstheme="majorBidi"/>
      <w:b/>
      <w:bCs/>
      <w:sz w:val="32"/>
      <w:szCs w:val="32"/>
    </w:rPr>
  </w:style>
  <w:style w:type="table" w:styleId="aa">
    <w:name w:val="Table Grid"/>
    <w:basedOn w:val="a1"/>
    <w:uiPriority w:val="39"/>
    <w:rsid w:val="0073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2560</Words>
  <Characters>14598</Characters>
  <Application>Microsoft Office Word</Application>
  <DocSecurity>0</DocSecurity>
  <Lines>121</Lines>
  <Paragraphs>34</Paragraphs>
  <ScaleCrop>false</ScaleCrop>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yf</dc:creator>
  <cp:keywords/>
  <dc:description/>
  <cp:lastModifiedBy>yf z</cp:lastModifiedBy>
  <cp:revision>105</cp:revision>
  <dcterms:created xsi:type="dcterms:W3CDTF">2023-06-12T07:37:00Z</dcterms:created>
  <dcterms:modified xsi:type="dcterms:W3CDTF">2024-11-07T03:15:00Z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id="HdUxaYqR"/&gt;&lt;style id="http://www.zotero.org/styles/clinical-infectious-diseases" hasBibliography="1" bibliographyStyleHasBeenSet="1"/&gt;&lt;prefs&gt;&lt;pref name="fieldType" value="Field"/&gt;&lt;/prefs&gt;&lt;/data&gt;</vt:lpwstr>
  </property>
</Properties>
</file>