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E80C0" w14:textId="706C4A89" w:rsidR="00667D92" w:rsidRPr="00EC796A" w:rsidRDefault="00667D92" w:rsidP="00667D92">
      <w:pPr>
        <w:rPr>
          <w:rFonts w:cs="Arial"/>
          <w:szCs w:val="20"/>
        </w:rPr>
      </w:pPr>
      <w:r w:rsidRPr="00EC796A">
        <w:rPr>
          <w:rFonts w:cs="Arial"/>
          <w:b/>
          <w:szCs w:val="20"/>
        </w:rPr>
        <w:t>Supplemental Table 1.</w:t>
      </w:r>
      <w:r w:rsidRPr="00EC796A">
        <w:rPr>
          <w:rFonts w:cs="Arial"/>
          <w:bCs/>
          <w:szCs w:val="20"/>
        </w:rPr>
        <w:t xml:space="preserve"> The Critical Appraisal Skills Program (CASP) checklist for cohort studies was used to assess bias and relevance of included </w:t>
      </w:r>
      <w:r w:rsidR="00EC796A" w:rsidRPr="00EC796A">
        <w:rPr>
          <w:rFonts w:cs="Arial"/>
          <w:bCs/>
          <w:szCs w:val="20"/>
        </w:rPr>
        <w:t>case reports, cohort studies, and case series.</w:t>
      </w:r>
    </w:p>
    <w:tbl>
      <w:tblPr>
        <w:tblStyle w:val="TableGrid"/>
        <w:tblW w:w="14490" w:type="dxa"/>
        <w:tblInd w:w="-815" w:type="dxa"/>
        <w:tblLook w:val="04A0" w:firstRow="1" w:lastRow="0" w:firstColumn="1" w:lastColumn="0" w:noHBand="0" w:noVBand="1"/>
      </w:tblPr>
      <w:tblGrid>
        <w:gridCol w:w="1713"/>
        <w:gridCol w:w="1373"/>
        <w:gridCol w:w="1291"/>
        <w:gridCol w:w="1322"/>
        <w:gridCol w:w="1325"/>
        <w:gridCol w:w="1439"/>
        <w:gridCol w:w="1219"/>
        <w:gridCol w:w="1322"/>
        <w:gridCol w:w="1484"/>
        <w:gridCol w:w="1101"/>
        <w:gridCol w:w="901"/>
      </w:tblGrid>
      <w:tr w:rsidR="007E48AF" w:rsidRPr="0038227C" w14:paraId="4D01C4D8" w14:textId="77777777" w:rsidTr="006F1BA4">
        <w:trPr>
          <w:trHeight w:val="935"/>
        </w:trPr>
        <w:tc>
          <w:tcPr>
            <w:tcW w:w="1728" w:type="dxa"/>
          </w:tcPr>
          <w:p w14:paraId="43DE12C7" w14:textId="77777777" w:rsidR="00667D92" w:rsidRPr="0038227C" w:rsidRDefault="00667D92" w:rsidP="006F1BA4">
            <w:pPr>
              <w:widowControl w:val="0"/>
              <w:autoSpaceDE w:val="0"/>
              <w:autoSpaceDN w:val="0"/>
              <w:adjustRightInd w:val="0"/>
              <w:spacing w:line="240" w:lineRule="auto"/>
              <w:rPr>
                <w:rFonts w:cs="Arial"/>
                <w:b/>
                <w:bCs/>
                <w:szCs w:val="20"/>
              </w:rPr>
            </w:pPr>
          </w:p>
        </w:tc>
        <w:tc>
          <w:tcPr>
            <w:tcW w:w="1373" w:type="dxa"/>
          </w:tcPr>
          <w:p w14:paraId="39832BA5" w14:textId="77777777" w:rsidR="00667D92" w:rsidRPr="00485397" w:rsidRDefault="00667D92" w:rsidP="006F1BA4">
            <w:pPr>
              <w:spacing w:line="240" w:lineRule="auto"/>
              <w:jc w:val="center"/>
              <w:rPr>
                <w:rFonts w:cs="Arial"/>
                <w:szCs w:val="20"/>
              </w:rPr>
            </w:pPr>
            <w:r w:rsidRPr="0038227C">
              <w:rPr>
                <w:rFonts w:cs="Arial"/>
                <w:szCs w:val="20"/>
              </w:rPr>
              <w:t>Buysschaert, 2012</w:t>
            </w:r>
            <w:r>
              <w:rPr>
                <w:rFonts w:cs="Arial"/>
                <w:szCs w:val="20"/>
              </w:rPr>
              <w:fldChar w:fldCharType="begin"/>
            </w:r>
            <w:r>
              <w:rPr>
                <w:rFonts w:cs="Arial"/>
                <w:szCs w:val="20"/>
              </w:rPr>
              <w:instrText xml:space="preserve"> ADDIN ZOTERO_ITEM CSL_CITATION {"citationID":"7FPAZB8U","properties":{"formattedCitation":"\\super 11\\nosupersub{}","plainCitation":"11","noteIndex":0},"citationItems":[{"id":98,"uris":["http://zotero.org/users/local/mqXhIH7c/items/WJCN9P3S"],"itemData":{"id":98,"type":"article-journal","abstract":"Context and aim. – Psoriasis is an immune-mediated skin disorder frequently associated with obesity and type 2 diabetes (T2D). This report is of a clinically signiﬁcant improvement in psoriasis lesions in a patient with T2D during treatment with a GLP-1 receptor agonist (exenatide). Observation. – A 61-year-old male patient (BMI: 25.5 kg/m2) with T2D treated with metformin and sulphonylureas had also complained, since 1980, of extensive psoriasis that required multiple steroid-based treatments [Psoriasis Area and Sensitivity Index (PASI) score: 11]. In September 2008, his diabetes treatment was intensiﬁed with exenatide (Byetta®) to improve poor glycaemic control. The patient, as expected, lost weight and reduced HbA1c levels from 65 mmol/mol to 56 mmol/mol. However, after just 1 month of treatment with exenatide, the patient also reported a dramatic improvement in psoriatic plaques that was conﬁrmed at the 1-year follow-up (PASI: estimated at 3–4). Withdrawal of exenatide was associated with weight gain, deterioration of glycaemic control and deterioration of psoriasis (PASI: &gt; 10). After reinstating exenatide treatment, the patient again reported a prompt improvement in psoriasis (PASI: 3.1).","container-title":"Diabetes &amp; Metabolism","DOI":"10.1016/j.diabet.2011.11.004","ISSN":"12623636","issue":"1","journalAbbreviation":"Diabetes &amp; Metabolism","language":"en","license":"https://www.elsevier.com/tdm/userlicense/1.0/","page":"86-88","source":"DOI.org (Crossref)","title":"Improvement of psoriasis during exenatide treatment in a patient with diabetes","volume":"38","author":[{"family":"Buysschaert","given":"M."},{"family":"Tennstedt","given":"D."},{"family":"Preumont","given":"V."}],"issued":{"date-parts":[["2012",2]]}}}],"schema":"https://github.com/citation-style-language/schema/raw/master/csl-citation.json"} </w:instrText>
            </w:r>
            <w:r>
              <w:rPr>
                <w:rFonts w:cs="Arial"/>
                <w:szCs w:val="20"/>
              </w:rPr>
              <w:fldChar w:fldCharType="separate"/>
            </w:r>
            <w:r w:rsidRPr="00485397">
              <w:rPr>
                <w:rFonts w:cs="Arial"/>
                <w:vertAlign w:val="superscript"/>
              </w:rPr>
              <w:t>11</w:t>
            </w:r>
            <w:r>
              <w:rPr>
                <w:rFonts w:cs="Arial"/>
                <w:szCs w:val="20"/>
              </w:rPr>
              <w:fldChar w:fldCharType="end"/>
            </w:r>
          </w:p>
        </w:tc>
        <w:tc>
          <w:tcPr>
            <w:tcW w:w="1301" w:type="dxa"/>
          </w:tcPr>
          <w:p w14:paraId="782E1A20" w14:textId="77777777" w:rsidR="00667D92" w:rsidRPr="00485397" w:rsidRDefault="00667D92" w:rsidP="006F1BA4">
            <w:pPr>
              <w:spacing w:line="240" w:lineRule="auto"/>
              <w:jc w:val="center"/>
              <w:rPr>
                <w:rFonts w:cs="Arial"/>
                <w:szCs w:val="20"/>
              </w:rPr>
            </w:pPr>
            <w:r w:rsidRPr="0038227C">
              <w:rPr>
                <w:rFonts w:cs="Arial"/>
                <w:szCs w:val="20"/>
              </w:rPr>
              <w:t>Costanzo, 2021</w:t>
            </w:r>
            <w:r>
              <w:rPr>
                <w:rFonts w:cs="Arial"/>
                <w:szCs w:val="20"/>
              </w:rPr>
              <w:fldChar w:fldCharType="begin"/>
            </w:r>
            <w:r>
              <w:rPr>
                <w:rFonts w:cs="Arial"/>
                <w:szCs w:val="20"/>
              </w:rPr>
              <w:instrText xml:space="preserve"> ADDIN ZOTERO_ITEM CSL_CITATION {"citationID":"P174eXi4","properties":{"formattedCitation":"\\super 12\\nosupersub{}","plainCitation":"12","noteIndex":0},"citationItems":[{"id":103,"uris":["http://zotero.org/users/local/mqXhIH7c/items/QUP4UNPY"],"itemData":{"id":103,"type":"article-journal","abstract":"Semaglutide is a glucagon-like peptide 1 (GLP-1) receptor agonist, approved for the treatment of type 2 diabetes mellitus (T2DM). GLP-1 analogs exert several biological activities connected not only with an insulinotropic effect but also with immunoregulation and reduction of inflammation. A 73-year-old male patient with class III obesity was referred to us for T2DM, which was not controlled with metformin therapy. He had suffered from plaque psoriasis for some years and was treated with topical therapy and adalimumab, without success. The psoriasis area and severity index (PASI) was 33.2 (indicating severe psoriasis), and the dermatology life quality index (DLQI) was 26.0 (indicating an extremely negative effect on the patient's life). Semaglutide (starting with 0.25 mg/week for 4 weeks, increased to 0.50 mg/week for 12 weeks, and then to 1 mg/week) was added to metformin. After 4 months, glycemic parameters had improved, and his body weight decreased. Unexpectedly, skin lesions of plaque psoriasis improved. PASI decreased by 19% compared with baseline and quality of life, assessed with the DLQI, markedly ameliorated. After 10 months, glycemic and obesity parameters, as well as psoriasis, improved further. HbA1c, BMI, and PASI were reduced by 32, 16.3, and 92%, respectively, compared with the baseline. DLQI declined to 0, meaning there was no effect of plaque psoriasis on the patient’s life.","container-title":"Endocrinology, Diabetes &amp; Metabolism Case Reports","DOI":"10.1530/EDM-21-0007","ISSN":"2052-0573","language":"en","source":"DOI.org (Crossref)","title":"Two birds one stone: semaglutide is highly effective against severe psoriasis in a type 2 diabetic patient","title-short":"Two birds one stone","URL":"https://edm.bioscientifica.com/view/journals/edm/2021/1/EDM21-0007.xml","volume":"2021","author":[{"family":"Costanzo","given":"Gabriele"},{"family":"Curatolo","given":"Salvatore"},{"family":"Busà","given":"Barbara"},{"family":"Belfiore","given":"Antonino"},{"family":"Gullo","given":"Damiano"}],"accessed":{"date-parts":[["2024",5,6]]},"issued":{"date-parts":[["2021",8,1]]}}}],"schema":"https://github.com/citation-style-language/schema/raw/master/csl-citation.json"} </w:instrText>
            </w:r>
            <w:r>
              <w:rPr>
                <w:rFonts w:cs="Arial"/>
                <w:szCs w:val="20"/>
              </w:rPr>
              <w:fldChar w:fldCharType="separate"/>
            </w:r>
            <w:r w:rsidRPr="00485397">
              <w:rPr>
                <w:rFonts w:cs="Arial"/>
                <w:vertAlign w:val="superscript"/>
              </w:rPr>
              <w:t>12</w:t>
            </w:r>
            <w:r>
              <w:rPr>
                <w:rFonts w:cs="Arial"/>
                <w:szCs w:val="20"/>
              </w:rPr>
              <w:fldChar w:fldCharType="end"/>
            </w:r>
          </w:p>
        </w:tc>
        <w:tc>
          <w:tcPr>
            <w:tcW w:w="1328" w:type="dxa"/>
          </w:tcPr>
          <w:p w14:paraId="1BAD3EE1" w14:textId="77777777" w:rsidR="00667D92" w:rsidRPr="0038227C" w:rsidRDefault="00667D92" w:rsidP="006F1BA4">
            <w:pPr>
              <w:spacing w:line="240" w:lineRule="auto"/>
              <w:jc w:val="center"/>
              <w:rPr>
                <w:rFonts w:cs="Arial"/>
                <w:szCs w:val="20"/>
              </w:rPr>
            </w:pPr>
            <w:r w:rsidRPr="0038227C">
              <w:rPr>
                <w:rFonts w:cs="Arial"/>
                <w:szCs w:val="20"/>
              </w:rPr>
              <w:t>Faurschou, 2014</w:t>
            </w:r>
            <w:r>
              <w:rPr>
                <w:rFonts w:cs="Arial"/>
                <w:szCs w:val="20"/>
              </w:rPr>
              <w:fldChar w:fldCharType="begin"/>
            </w:r>
            <w:r>
              <w:rPr>
                <w:rFonts w:cs="Arial"/>
                <w:szCs w:val="20"/>
              </w:rPr>
              <w:instrText xml:space="preserve"> ADDIN ZOTERO_ITEM CSL_CITATION {"citationID":"No387o3l","properties":{"formattedCitation":"\\super 16\\nosupersub{}","plainCitation":"16","noteIndex":0},"citationItems":[{"id":107,"uris":["http://zotero.org/users/local/mqXhIH7c/items/V5D698N3"],"itemData":{"id":107,"type":"article-journal","abstract":"A 59-year old man with moderate and stable psoriasis through 15 years was admitted to our Department with inadequately controlled type 2 diabetes. Treatment was initiated with the glucagon-like peptide-1 receptor (GLP1R) agonist liraglutide. The patient experienced marked improvement in his psoriasis immediately after the start of liraglutide treatment. Itching stopped within days, scaling was reduced and spots of normal skin emerged. After 3 months, psoriasis was still improving. Excellent glycaemic control and a weight loss of approximately 8 kg over 3 months were moreover obtained. The patient had previously been well controlled in his diabetes without improvement in psoriasis, and the effect of liraglutide on psoriasis started before weight loss occurred. We discuss the possibility of a direct anti-inﬂammatory effect of liraglutide in psoriasis as well as indirect effects through improvement in comorbidities such as overweight. Randomized clinical trials are needed to reveal whether GLP1R agonists represent a new therapeutic option for psoriasis.","container-title":"Acta Diabetologica","DOI":"10.1007/s00592-011-0359-9","ISSN":"0940-5429, 1432-5233","issue":"1","journalAbbreviation":"Acta Diabetol","language":"en","license":"http://www.springer.com/tdm","page":"147-150","source":"DOI.org (Crossref)","title":"Improvement in psoriasis after treatment with the glucagon-like peptide-1 receptor agonist liraglutide","volume":"51","author":[{"family":"Faurschou","given":"A."},{"family":"Knop","given":"F. K."},{"family":"Thyssen","given":"J. P."},{"family":"Zachariae","given":"C."},{"family":"Skov","given":"L."},{"family":"Vilsbøll","given":"T."}],"issued":{"date-parts":[["2014",2]]}}}],"schema":"https://github.com/citation-style-language/schema/raw/master/csl-citation.json"} </w:instrText>
            </w:r>
            <w:r>
              <w:rPr>
                <w:rFonts w:cs="Arial"/>
                <w:szCs w:val="20"/>
              </w:rPr>
              <w:fldChar w:fldCharType="separate"/>
            </w:r>
            <w:r w:rsidRPr="00485397">
              <w:rPr>
                <w:rFonts w:cs="Arial"/>
                <w:vertAlign w:val="superscript"/>
              </w:rPr>
              <w:t>16</w:t>
            </w:r>
            <w:r>
              <w:rPr>
                <w:rFonts w:cs="Arial"/>
                <w:szCs w:val="20"/>
              </w:rPr>
              <w:fldChar w:fldCharType="end"/>
            </w:r>
          </w:p>
        </w:tc>
        <w:tc>
          <w:tcPr>
            <w:tcW w:w="1330" w:type="dxa"/>
          </w:tcPr>
          <w:p w14:paraId="6051FDF3" w14:textId="5C0FEA1E" w:rsidR="00667D92" w:rsidRPr="00485397" w:rsidRDefault="00667D92" w:rsidP="006F1BA4">
            <w:pPr>
              <w:spacing w:line="240" w:lineRule="auto"/>
              <w:jc w:val="center"/>
              <w:rPr>
                <w:rFonts w:cs="Arial"/>
                <w:szCs w:val="20"/>
              </w:rPr>
            </w:pPr>
            <w:r w:rsidRPr="0038227C">
              <w:rPr>
                <w:rFonts w:cs="Arial"/>
                <w:szCs w:val="20"/>
              </w:rPr>
              <w:t>Mala</w:t>
            </w:r>
            <w:r w:rsidR="007E48AF">
              <w:rPr>
                <w:rFonts w:cs="Arial"/>
                <w:szCs w:val="20"/>
              </w:rPr>
              <w:t>vazos</w:t>
            </w:r>
            <w:r w:rsidRPr="0038227C">
              <w:rPr>
                <w:rFonts w:cs="Arial"/>
                <w:szCs w:val="20"/>
              </w:rPr>
              <w:t>, 2023</w:t>
            </w:r>
            <w:r>
              <w:rPr>
                <w:rFonts w:cs="Arial"/>
                <w:szCs w:val="20"/>
              </w:rPr>
              <w:fldChar w:fldCharType="begin"/>
            </w:r>
            <w:r>
              <w:rPr>
                <w:rFonts w:cs="Arial"/>
                <w:szCs w:val="20"/>
              </w:rPr>
              <w:instrText xml:space="preserve"> ADDIN ZOTERO_ITEM CSL_CITATION {"citationID":"KVJZaeTK","properties":{"formattedCitation":"\\super 13\\nosupersub{}","plainCitation":"13","noteIndex":0},"citationItems":[{"id":112,"uris":["http://zotero.org/users/local/mqXhIH7c/items/9785THFY"],"itemData":{"id":112,"type":"article-journal","abstract":"Psoriasis is often associated with abdominal obesity and type-2 diabetes (T2D). The inflammatory process in psoriasis can target adipose tissue depots, especially those surrounding the heart and coronary arteries, exposing to an increased risk of cardiovascular diseases. A 50-year-old female patient referred to us for abdominal obesity and T2D, which were not controlled with lifestyle modifications. She had suffered from psoriasis for some years and was treated with guselkumab, without success. Epicardial adipose tissue (EAT) attenuation and pericoronary adipose tissue (PCAT) attenuation for each coronary, defined as mean attenuation expressed in Hounsfield unit (HU), were assessed by routine coronary computed tomography angiography. At baseline, EAT attenuation was −80 HU and PCAT attenuation of the right coronary artery (RCA) was −68 HU, values associated with an increased cardiac mortality risk. Psoriasis area and severity index (PASI) was 12.0, indicating severe psoriasis, while dermatology life quality index (DLQI) was 20, indicating a negative effect on the patient’s life. Semaglutide (starting with 0.25 mg/week for 4 weeks, increased to 0.50 mg/week for 16 weeks, and then to 1 mg/week) was started. After 10 months, semaglutide treatment normalized glycated hemoglobin and induced weight loss, particularly at abdominal level, also followed by a reduction in computed tomography-measured EAT volume. EAT attenuation and PCAT attenuation of RCA decreased, showing an important reduction of 17.5 and 5.9% respectively, compared with baseline. PASI and DLQI decreased by 98.3 and 95% respectively, indicating an improvement in psoriasis skin lesions and an important amelioration of the patient’s quality of life, compared with baseline.","container-title":"Endocrinology, Diabetes &amp; Metabolism Case Reports","DOI":"10.1530/EDM-23-0017","ISSN":"2052-0573","issue":"3","language":"en","page":"23-0017","source":"DOI.org (Crossref)","title":"Semaglutide therapy decreases epicardial fat inflammation and improves psoriasis severity in patients affected by abdominal obesity and type-2 diabetes","volume":"2023","author":[{"family":"Malavazos","given":"Alexis Elias"},{"family":"Meregalli","given":"Chiara"},{"family":"Sorrentino","given":"Fabio"},{"family":"Vignati","given":"Andrea"},{"family":"Dubini","given":"Carola"},{"family":"Scravaglieri","given":"Valentina"},{"family":"Basilico","given":"Sara"},{"family":"Boniardi","given":"Federico"},{"family":"Spagnolo","given":"Pietro"},{"family":"Malagoli","given":"Piergiorgio"},{"family":"Romanelli","given":"Paolo"},{"family":"Secchi","given":"Francesco"},{"family":"Iacobellis","given":"Gianluca"}],"issued":{"date-parts":[["2023",7,1]]}}}],"schema":"https://github.com/citation-style-language/schema/raw/master/csl-citation.json"} </w:instrText>
            </w:r>
            <w:r>
              <w:rPr>
                <w:rFonts w:cs="Arial"/>
                <w:szCs w:val="20"/>
              </w:rPr>
              <w:fldChar w:fldCharType="separate"/>
            </w:r>
            <w:r w:rsidRPr="00485397">
              <w:rPr>
                <w:rFonts w:cs="Arial"/>
                <w:vertAlign w:val="superscript"/>
              </w:rPr>
              <w:t>13</w:t>
            </w:r>
            <w:r>
              <w:rPr>
                <w:rFonts w:cs="Arial"/>
                <w:szCs w:val="20"/>
              </w:rPr>
              <w:fldChar w:fldCharType="end"/>
            </w:r>
          </w:p>
        </w:tc>
        <w:tc>
          <w:tcPr>
            <w:tcW w:w="1328" w:type="dxa"/>
          </w:tcPr>
          <w:p w14:paraId="448846AB" w14:textId="10943C95" w:rsidR="00667D92" w:rsidRPr="00485397" w:rsidRDefault="00667D92" w:rsidP="006F1BA4">
            <w:pPr>
              <w:widowControl w:val="0"/>
              <w:autoSpaceDE w:val="0"/>
              <w:autoSpaceDN w:val="0"/>
              <w:adjustRightInd w:val="0"/>
              <w:spacing w:line="240" w:lineRule="auto"/>
              <w:jc w:val="center"/>
              <w:rPr>
                <w:rFonts w:cs="Arial"/>
                <w:szCs w:val="20"/>
              </w:rPr>
            </w:pPr>
            <w:r w:rsidRPr="0038227C">
              <w:rPr>
                <w:rFonts w:cs="Arial"/>
                <w:szCs w:val="20"/>
              </w:rPr>
              <w:t>Nowowiejsk</w:t>
            </w:r>
            <w:r w:rsidR="00113F26">
              <w:rPr>
                <w:rFonts w:cs="Arial"/>
                <w:szCs w:val="20"/>
              </w:rPr>
              <w:t>a</w:t>
            </w:r>
            <w:r w:rsidRPr="0038227C">
              <w:rPr>
                <w:rFonts w:cs="Arial"/>
                <w:szCs w:val="20"/>
              </w:rPr>
              <w:t>, 2023</w:t>
            </w:r>
            <w:r>
              <w:rPr>
                <w:rFonts w:cs="Arial"/>
                <w:szCs w:val="20"/>
              </w:rPr>
              <w:fldChar w:fldCharType="begin"/>
            </w:r>
            <w:r>
              <w:rPr>
                <w:rFonts w:cs="Arial"/>
                <w:szCs w:val="20"/>
              </w:rPr>
              <w:instrText xml:space="preserve"> ADDIN ZOTERO_ITEM CSL_CITATION {"citationID":"qKAmGefl","properties":{"formattedCitation":"\\super 14\\nosupersub{}","plainCitation":"14","noteIndex":0},"citationItems":[{"id":115,"uris":["http://zotero.org/users/local/mqXhIH7c/items/7IRW4U6E"],"itemData":{"id":115,"type":"article-journal","container-title":"Polish Archives of Internal Medicine","DOI":"10.20452/pamw.16527","ISSN":"1897-9483","language":"en","source":"DOI.org (Crossref)","title":"The first case of the exacerbation of psoriatic skin lesions after liraglutide","URL":"https://www.mp.pl/paim/issue/article/16527","author":[{"family":"Nowowiejska","given":"Julia"},{"family":"Baran","given":"Anna"},{"family":"Flisiak","given":"Iwona"}],"accessed":{"date-parts":[["2024",5,6]]},"issued":{"date-parts":[["2023",7,6]]}}}],"schema":"https://github.com/citation-style-language/schema/raw/master/csl-citation.json"} </w:instrText>
            </w:r>
            <w:r>
              <w:rPr>
                <w:rFonts w:cs="Arial"/>
                <w:szCs w:val="20"/>
              </w:rPr>
              <w:fldChar w:fldCharType="separate"/>
            </w:r>
            <w:r w:rsidRPr="00485397">
              <w:rPr>
                <w:rFonts w:cs="Arial"/>
                <w:vertAlign w:val="superscript"/>
              </w:rPr>
              <w:t>14</w:t>
            </w:r>
            <w:r>
              <w:rPr>
                <w:rFonts w:cs="Arial"/>
                <w:szCs w:val="20"/>
              </w:rPr>
              <w:fldChar w:fldCharType="end"/>
            </w:r>
          </w:p>
        </w:tc>
        <w:tc>
          <w:tcPr>
            <w:tcW w:w="1242" w:type="dxa"/>
          </w:tcPr>
          <w:p w14:paraId="3B0BDD79" w14:textId="77777777" w:rsidR="00667D92" w:rsidRPr="000F3C0A" w:rsidRDefault="00667D92" w:rsidP="006F1BA4">
            <w:pPr>
              <w:widowControl w:val="0"/>
              <w:autoSpaceDE w:val="0"/>
              <w:autoSpaceDN w:val="0"/>
              <w:adjustRightInd w:val="0"/>
              <w:spacing w:line="240" w:lineRule="auto"/>
              <w:jc w:val="center"/>
              <w:rPr>
                <w:rFonts w:cs="Arial"/>
                <w:szCs w:val="20"/>
              </w:rPr>
            </w:pPr>
            <w:r w:rsidRPr="0038227C">
              <w:rPr>
                <w:rFonts w:cs="Arial"/>
                <w:szCs w:val="20"/>
              </w:rPr>
              <w:t>Reid, 2013</w:t>
            </w:r>
            <w:r>
              <w:rPr>
                <w:rFonts w:cs="Arial"/>
                <w:szCs w:val="20"/>
              </w:rPr>
              <w:fldChar w:fldCharType="begin"/>
            </w:r>
            <w:r>
              <w:rPr>
                <w:rFonts w:cs="Arial"/>
                <w:szCs w:val="20"/>
              </w:rPr>
              <w:instrText xml:space="preserve"> ADDIN ZOTERO_ITEM CSL_CITATION {"citationID":"jrymIqOl","properties":{"formattedCitation":"\\super 15\\nosupersub{}","plainCitation":"15","noteIndex":0},"citationItems":[{"id":116,"uris":["http://zotero.org/users/local/mqXhIH7c/items/YZRF4GME"],"itemData":{"id":116,"type":"article-journal","container-title":"British Journal of Dermatology","DOI":"10.1111/bjd.12380","ISSN":"00070963","issue":"1","journalAbbreviation":"Br J Dermatol","language":"en","license":"http://doi.wiley.com/10.1002/tdm_license_1.1","page":"230-231","source":"DOI.org (Crossref)","title":"Liraglutide in combination with acitretin for severe recalcitrant psoriasis","volume":"169","author":[{"family":"Reid","given":"C.T."},{"family":"Tobin","given":"A.M."},{"family":"Ahern","given":"T."},{"family":"O'Shea","given":"D."},{"family":"Kirby","given":"B."}],"issued":{"date-parts":[["2013",7]]}}}],"schema":"https://github.com/citation-style-language/schema/raw/master/csl-citation.json"} </w:instrText>
            </w:r>
            <w:r>
              <w:rPr>
                <w:rFonts w:cs="Arial"/>
                <w:szCs w:val="20"/>
              </w:rPr>
              <w:fldChar w:fldCharType="separate"/>
            </w:r>
            <w:r w:rsidRPr="000F3C0A">
              <w:rPr>
                <w:rFonts w:cs="Arial"/>
                <w:vertAlign w:val="superscript"/>
              </w:rPr>
              <w:t>15</w:t>
            </w:r>
            <w:r>
              <w:rPr>
                <w:rFonts w:cs="Arial"/>
                <w:szCs w:val="20"/>
              </w:rPr>
              <w:fldChar w:fldCharType="end"/>
            </w:r>
          </w:p>
        </w:tc>
        <w:tc>
          <w:tcPr>
            <w:tcW w:w="1350" w:type="dxa"/>
          </w:tcPr>
          <w:p w14:paraId="513C2C25" w14:textId="00694AD6" w:rsidR="00667D92" w:rsidRPr="000F3C0A" w:rsidRDefault="00667D92" w:rsidP="006F1BA4">
            <w:pPr>
              <w:widowControl w:val="0"/>
              <w:autoSpaceDE w:val="0"/>
              <w:autoSpaceDN w:val="0"/>
              <w:adjustRightInd w:val="0"/>
              <w:spacing w:line="240" w:lineRule="auto"/>
              <w:jc w:val="center"/>
              <w:rPr>
                <w:rFonts w:cs="Arial"/>
                <w:szCs w:val="20"/>
              </w:rPr>
            </w:pPr>
            <w:r w:rsidRPr="0038227C">
              <w:rPr>
                <w:rFonts w:cs="Arial"/>
                <w:szCs w:val="20"/>
              </w:rPr>
              <w:t>Ahern, 201</w:t>
            </w:r>
            <w:r w:rsidR="00617599">
              <w:rPr>
                <w:rFonts w:cs="Arial"/>
                <w:szCs w:val="20"/>
              </w:rPr>
              <w:t>3</w:t>
            </w:r>
            <w:r>
              <w:rPr>
                <w:rFonts w:cs="Arial"/>
                <w:szCs w:val="20"/>
              </w:rPr>
              <w:fldChar w:fldCharType="begin"/>
            </w:r>
            <w:r>
              <w:rPr>
                <w:rFonts w:cs="Arial"/>
                <w:szCs w:val="20"/>
              </w:rPr>
              <w:instrText xml:space="preserve"> ADDIN ZOTERO_ITEM CSL_CITATION {"citationID":"PMRHPUpv","properties":{"formattedCitation":"\\super 17\\nosupersub{}","plainCitation":"17","noteIndex":0},"citationItems":[{"id":96,"uris":["http://zotero.org/users/local/mqXhIH7c/items/NV5ERNEZ"],"itemData":{"id":96,"type":"article-journal","abstract":"Background Diabetes and obesity are more prevalent amongst psoriasis patients as is disturbance of the innate immune system. GLP-1 analogue therapy considerably improves weight and glycaemic control in people with type 2 diabetes and its receptor is present on innate immune cells.\nObjective We aimed to determine the effect of liraglutide, a GLP-1 analogue, on psoriasis severity.\nMethods Before and after 10 weeks of liraglutide therapy (1.2 mg subcutaneously daily) we determined the psoriasis area and severity index (PASI) and the dermatology life quality index (DLQI) in seven people with both psoriasis and diabetes (median age 48 years, median body mass index 48.2 kg ⁄ m2). We also evaluated the immunomodulatory properties of liraglutide by measuring circulating lymphocyte subset numbers and monocyte cytokine production.\nResults Liraglutide therapy decreased the median PASI from 4.8 to 3.0 (P = 0.03) and the median DLQI from 6.0 to 2.0 (P = 0.03). Weight and glycaemic control improved signiﬁcantly. Circulating invariant natural killer T (iNKT) cells increased from 0.13% of T lymphocytes to 0.40% (P = 0.03). Liraglutide therapy also effected a non-signiﬁcant 54% decrease in the proportion of circulating monocytes that produced tumour necrosis factor alpha (P = 0.07).\nConclusion GLP-1 analogue therapy improves psoriasis severity, increases circulating iNKT cell number and modulates monocyte cytokine secretion. These effects may result from improvements in weight and glycaemic control as well as from direct immune effects of GLP-1 receptor activation. Prospective controlled trials of GLP-1 therapies are warranted, across all weight groups, in psoriasis patients with and without type 2 diabetes.","container-title":"Journal of the European Academy of Dermatology and Venereology","DOI":"10.1111/j.1468-3083.2012.04609.x","ISSN":"0926-9959, 1468-3083","issue":"11","journalAbbreviation":"Acad Dermatol Venereol","language":"en","license":"http://onlinelibrary.wiley.com/termsAndConditions#vor","page":"1440-1443","source":"DOI.org (Crossref)","title":"Glucagon</w:instrText>
            </w:r>
            <w:r>
              <w:rPr>
                <w:rFonts w:ascii="Cambria Math" w:hAnsi="Cambria Math" w:cs="Cambria Math"/>
                <w:szCs w:val="20"/>
              </w:rPr>
              <w:instrText>‐</w:instrText>
            </w:r>
            <w:r>
              <w:rPr>
                <w:rFonts w:cs="Arial"/>
                <w:szCs w:val="20"/>
              </w:rPr>
              <w:instrText>like peptide</w:instrText>
            </w:r>
            <w:r>
              <w:rPr>
                <w:rFonts w:ascii="Cambria Math" w:hAnsi="Cambria Math" w:cs="Cambria Math"/>
                <w:szCs w:val="20"/>
              </w:rPr>
              <w:instrText>‐</w:instrText>
            </w:r>
            <w:r>
              <w:rPr>
                <w:rFonts w:cs="Arial"/>
                <w:szCs w:val="20"/>
              </w:rPr>
              <w:instrText>1 analogue therapy for psoriasis patients with obesity and type 2 diabetes: a prospective cohort study","title-short":"Glucagon</w:instrText>
            </w:r>
            <w:r>
              <w:rPr>
                <w:rFonts w:ascii="Cambria Math" w:hAnsi="Cambria Math" w:cs="Cambria Math"/>
                <w:szCs w:val="20"/>
              </w:rPr>
              <w:instrText>‐</w:instrText>
            </w:r>
            <w:r>
              <w:rPr>
                <w:rFonts w:cs="Arial"/>
                <w:szCs w:val="20"/>
              </w:rPr>
              <w:instrText>like peptide</w:instrText>
            </w:r>
            <w:r>
              <w:rPr>
                <w:rFonts w:ascii="Cambria Math" w:hAnsi="Cambria Math" w:cs="Cambria Math"/>
                <w:szCs w:val="20"/>
              </w:rPr>
              <w:instrText>‐</w:instrText>
            </w:r>
            <w:r>
              <w:rPr>
                <w:rFonts w:cs="Arial"/>
                <w:szCs w:val="20"/>
              </w:rPr>
              <w:instrText>1 analogue therapy for psoriasis patients with obesity and type 2 diabetes","volume":"27","author":[{"family":"Ahern","given":"T."},{"family":"Tobin","given":"A.</w:instrText>
            </w:r>
            <w:r>
              <w:rPr>
                <w:rFonts w:ascii="Cambria Math" w:hAnsi="Cambria Math" w:cs="Cambria Math"/>
                <w:szCs w:val="20"/>
              </w:rPr>
              <w:instrText>‐</w:instrText>
            </w:r>
            <w:r>
              <w:rPr>
                <w:rFonts w:cs="Arial"/>
                <w:szCs w:val="20"/>
              </w:rPr>
              <w:instrText xml:space="preserve">M."},{"family":"Corrigan","given":"M."},{"family":"Hogan","given":"A."},{"family":"Sweeney","given":"C."},{"family":"Kirby","given":"B."},{"family":"O’Shea","given":"D."}],"issued":{"date-parts":[["2013",11]]}}}],"schema":"https://github.com/citation-style-language/schema/raw/master/csl-citation.json"} </w:instrText>
            </w:r>
            <w:r>
              <w:rPr>
                <w:rFonts w:cs="Arial"/>
                <w:szCs w:val="20"/>
              </w:rPr>
              <w:fldChar w:fldCharType="separate"/>
            </w:r>
            <w:r w:rsidRPr="000F3C0A">
              <w:rPr>
                <w:rFonts w:cs="Arial"/>
                <w:vertAlign w:val="superscript"/>
              </w:rPr>
              <w:t>17</w:t>
            </w:r>
            <w:r>
              <w:rPr>
                <w:rFonts w:cs="Arial"/>
                <w:szCs w:val="20"/>
              </w:rPr>
              <w:fldChar w:fldCharType="end"/>
            </w:r>
          </w:p>
        </w:tc>
        <w:tc>
          <w:tcPr>
            <w:tcW w:w="1490" w:type="dxa"/>
          </w:tcPr>
          <w:p w14:paraId="0C766255" w14:textId="77777777" w:rsidR="00667D92" w:rsidRPr="0038227C" w:rsidRDefault="00667D92" w:rsidP="006F1BA4">
            <w:pPr>
              <w:widowControl w:val="0"/>
              <w:autoSpaceDE w:val="0"/>
              <w:autoSpaceDN w:val="0"/>
              <w:adjustRightInd w:val="0"/>
              <w:spacing w:line="240" w:lineRule="auto"/>
              <w:jc w:val="center"/>
              <w:rPr>
                <w:rFonts w:cs="Arial"/>
                <w:b/>
                <w:bCs/>
                <w:szCs w:val="20"/>
              </w:rPr>
            </w:pPr>
            <w:r w:rsidRPr="0038227C">
              <w:rPr>
                <w:rFonts w:cs="Arial"/>
                <w:szCs w:val="20"/>
              </w:rPr>
              <w:t>Buysschaert, 2014</w:t>
            </w:r>
            <w:r>
              <w:rPr>
                <w:rFonts w:cs="Arial"/>
                <w:szCs w:val="20"/>
              </w:rPr>
              <w:fldChar w:fldCharType="begin"/>
            </w:r>
            <w:r>
              <w:rPr>
                <w:rFonts w:cs="Arial"/>
                <w:szCs w:val="20"/>
              </w:rPr>
              <w:instrText xml:space="preserve"> ADDIN ZOTERO_ITEM CSL_CITATION {"citationID":"OsIFDh8n","properties":{"formattedCitation":"\\super 18\\nosupersub{}","plainCitation":"18","noteIndex":0},"citationItems":[{"id":99,"uris":["http://zotero.org/users/local/mqXhIH7c/items/9HGNWY7T"],"itemData":{"id":99,"type":"article-journal","abstract":"Background A few case reports suggest that incretin-based therapies could improve psoriasis in patients with type 2 diabetes, the mechanism(s) of which remain unclear.\nObjectives To determine the effects after 16–20 weeks of treatment with a glucagon-like peptide (GLP)-1 analogue on clinical severity and histopathological aspects of psoriasis in patients with type 2 diabetes, and to examine the presence of cd T cells and the expression of interleukin (IL)-17 in psoriasis before and after treatment.\nMethods Seven patients with type 2 diabetes and psoriasis were followed. Psoriasis Area and Severity Index (PASI) was measured at baseline (T0) and after 7 Æ 1 (T1) and 18 Æ 2 (T2) weeks’ treatment with exenatide/liraglutide. The histopathological pattern of psoriasis, and ﬂow cytometry and immunological data (cd T-cell percentage and IL-17 expression) were obtained from psoriatic and control sites.\nResults The mean PASI decreased from 12Á0 Æ 5Á9 to 9Á2 Æ 6Á4 (P = 0Á04). Histological analysis showed a reduction in epidermal thickness after treatment. The dermal cd T-cell percentage was higher in psoriatic lesions than in control specimens (P = 0Á03), as was IL-17 expression (P = 0Á018). A reduction of cd T cells from 6Á7 Æ 4Á5% to 2Á7 Æ 3Á8% (P = 0Á05) was demonstrated in the six patients with improved/unchanged PASI. A correlation between PASI and cd T-cell percentage evolution during therapy (T2ÀT0) was noted (r = 0Á894, P = 0Á007). IL-17 was reduced in the four patients with the highest PASI reductions.\nConclusions The administration of a GLP-1 analogue improved clinical psoriasis severity in patients with type 2 diabetes. This favourable outcome was associated with a decrease of dermal cd T-cell number and IL-17 expression. Further studies are needed to establish long-term efﬁcacy in (diabetic) patients with psoriasis.","container-title":"British Journal of Dermatology","DOI":"10.1111/bjd.12886","ISSN":"00070963","issue":"1","journalAbbreviation":"Br J Dermatol","language":"en","license":"http://doi.wiley.com/10.1002/tdm_license_1.1","page":"155-161","source":"DOI.org (Crossref)","title":"Improvement of psoriasis during glucagon-like peptide-1 analogue therapy in type 2 diabetes is associated with decreasing dermal γδ T-cell number: a prospective case-series study","title-short":"Improvement of psoriasis during glucagon-like peptide-1 analogue therapy in type 2 diabetes is associated with decreasing dermal γδ T-cell number","volume":"171","author":[{"family":"Buysschaert","given":"M."},{"family":"Baeck","given":"M."},{"family":"Preumont","given":"V."},{"family":"Marot","given":"L."},{"family":"Hendrickx","given":"E."},{"family":"Van Belle","given":"A."},{"family":"Dumoutier","given":"L."}],"issued":{"date-parts":[["2014",7]]}}}],"schema":"https://github.com/citation-style-language/schema/raw/master/csl-citation.json"} </w:instrText>
            </w:r>
            <w:r>
              <w:rPr>
                <w:rFonts w:cs="Arial"/>
                <w:szCs w:val="20"/>
              </w:rPr>
              <w:fldChar w:fldCharType="separate"/>
            </w:r>
            <w:r w:rsidRPr="000F3C0A">
              <w:rPr>
                <w:rFonts w:cs="Arial"/>
                <w:vertAlign w:val="superscript"/>
              </w:rPr>
              <w:t>18</w:t>
            </w:r>
            <w:r>
              <w:rPr>
                <w:rFonts w:cs="Arial"/>
                <w:szCs w:val="20"/>
              </w:rPr>
              <w:fldChar w:fldCharType="end"/>
            </w:r>
          </w:p>
        </w:tc>
        <w:tc>
          <w:tcPr>
            <w:tcW w:w="1114" w:type="dxa"/>
          </w:tcPr>
          <w:p w14:paraId="34A71705" w14:textId="7BDCD06E" w:rsidR="00667D92" w:rsidRPr="000F3C0A" w:rsidRDefault="00667D92" w:rsidP="006F1BA4">
            <w:pPr>
              <w:widowControl w:val="0"/>
              <w:autoSpaceDE w:val="0"/>
              <w:autoSpaceDN w:val="0"/>
              <w:adjustRightInd w:val="0"/>
              <w:spacing w:line="240" w:lineRule="auto"/>
              <w:jc w:val="center"/>
              <w:rPr>
                <w:rFonts w:cs="Arial"/>
                <w:szCs w:val="20"/>
              </w:rPr>
            </w:pPr>
            <w:r w:rsidRPr="0038227C">
              <w:rPr>
                <w:rFonts w:cs="Arial"/>
                <w:color w:val="000000"/>
                <w:szCs w:val="20"/>
              </w:rPr>
              <w:t>Hogan, 2011</w:t>
            </w:r>
            <w:r w:rsidR="00BF114E" w:rsidRPr="00BF114E">
              <w:rPr>
                <w:rFonts w:cs="Arial"/>
                <w:color w:val="000000"/>
                <w:szCs w:val="20"/>
                <w:vertAlign w:val="superscript"/>
              </w:rPr>
              <w:t>19</w:t>
            </w:r>
          </w:p>
        </w:tc>
        <w:tc>
          <w:tcPr>
            <w:tcW w:w="906" w:type="dxa"/>
          </w:tcPr>
          <w:p w14:paraId="092AE0E1" w14:textId="4E4385F8" w:rsidR="00667D92" w:rsidRPr="0038227C" w:rsidRDefault="00667D92" w:rsidP="006F1BA4">
            <w:pPr>
              <w:widowControl w:val="0"/>
              <w:autoSpaceDE w:val="0"/>
              <w:autoSpaceDN w:val="0"/>
              <w:adjustRightInd w:val="0"/>
              <w:spacing w:line="240" w:lineRule="auto"/>
              <w:jc w:val="center"/>
              <w:rPr>
                <w:rFonts w:cs="Arial"/>
                <w:color w:val="000000"/>
                <w:szCs w:val="20"/>
              </w:rPr>
            </w:pPr>
            <w:r w:rsidRPr="0038227C">
              <w:rPr>
                <w:rFonts w:cs="Arial"/>
                <w:color w:val="000000"/>
                <w:szCs w:val="20"/>
              </w:rPr>
              <w:t>Xu, 2019</w:t>
            </w:r>
            <w:r w:rsidR="00BF114E" w:rsidRPr="00BF114E">
              <w:rPr>
                <w:rFonts w:cs="Arial"/>
                <w:color w:val="000000"/>
                <w:szCs w:val="20"/>
                <w:vertAlign w:val="superscript"/>
              </w:rPr>
              <w:t>20</w:t>
            </w:r>
          </w:p>
        </w:tc>
      </w:tr>
      <w:tr w:rsidR="007E48AF" w:rsidRPr="0038227C" w14:paraId="0D20909D" w14:textId="77777777" w:rsidTr="006F1BA4">
        <w:trPr>
          <w:trHeight w:val="575"/>
        </w:trPr>
        <w:tc>
          <w:tcPr>
            <w:tcW w:w="1728" w:type="dxa"/>
          </w:tcPr>
          <w:p w14:paraId="57E979A5"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1. Did the study address a clearly focused issue?</w:t>
            </w:r>
          </w:p>
        </w:tc>
        <w:tc>
          <w:tcPr>
            <w:tcW w:w="1373" w:type="dxa"/>
          </w:tcPr>
          <w:p w14:paraId="32EC8D5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01" w:type="dxa"/>
          </w:tcPr>
          <w:p w14:paraId="37F78A7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2E86D53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30" w:type="dxa"/>
          </w:tcPr>
          <w:p w14:paraId="05AF43E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2FCBC37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242" w:type="dxa"/>
          </w:tcPr>
          <w:p w14:paraId="3717677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50" w:type="dxa"/>
          </w:tcPr>
          <w:p w14:paraId="17E8AD3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5449521F"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1BE04BE0"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06CB9756"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p w14:paraId="4B79723E" w14:textId="77777777" w:rsidR="00667D92" w:rsidRPr="0038227C" w:rsidRDefault="00667D92" w:rsidP="006F1BA4">
            <w:pPr>
              <w:widowControl w:val="0"/>
              <w:autoSpaceDE w:val="0"/>
              <w:autoSpaceDN w:val="0"/>
              <w:adjustRightInd w:val="0"/>
              <w:spacing w:line="240" w:lineRule="auto"/>
              <w:jc w:val="center"/>
              <w:rPr>
                <w:rFonts w:cs="Arial"/>
                <w:szCs w:val="20"/>
              </w:rPr>
            </w:pPr>
          </w:p>
        </w:tc>
      </w:tr>
      <w:tr w:rsidR="007E48AF" w:rsidRPr="0038227C" w14:paraId="24B610AD" w14:textId="77777777" w:rsidTr="006F1BA4">
        <w:tc>
          <w:tcPr>
            <w:tcW w:w="1728" w:type="dxa"/>
          </w:tcPr>
          <w:p w14:paraId="35589394" w14:textId="77777777" w:rsidR="00667D92" w:rsidRPr="0038227C" w:rsidRDefault="00667D92" w:rsidP="006F1BA4">
            <w:pPr>
              <w:widowControl w:val="0"/>
              <w:autoSpaceDE w:val="0"/>
              <w:autoSpaceDN w:val="0"/>
              <w:adjustRightInd w:val="0"/>
              <w:spacing w:line="240" w:lineRule="auto"/>
              <w:rPr>
                <w:rFonts w:cs="Arial"/>
                <w:szCs w:val="20"/>
              </w:rPr>
            </w:pPr>
            <w:r w:rsidRPr="0038227C">
              <w:rPr>
                <w:rFonts w:cs="Arial"/>
                <w:b/>
                <w:bCs/>
                <w:szCs w:val="20"/>
              </w:rPr>
              <w:t>2. Was the cohort recruited in an acceptable way?</w:t>
            </w:r>
          </w:p>
        </w:tc>
        <w:tc>
          <w:tcPr>
            <w:tcW w:w="1373" w:type="dxa"/>
          </w:tcPr>
          <w:p w14:paraId="2222659E"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01" w:type="dxa"/>
          </w:tcPr>
          <w:p w14:paraId="1CA11181"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6A2930B1"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30" w:type="dxa"/>
          </w:tcPr>
          <w:p w14:paraId="493DE44C"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666C03F6"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242" w:type="dxa"/>
          </w:tcPr>
          <w:p w14:paraId="58E0D1BA"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50" w:type="dxa"/>
          </w:tcPr>
          <w:p w14:paraId="43DAB2D9"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380C0659"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405C642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337B8550"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7520A7B4" w14:textId="77777777" w:rsidTr="006F1BA4">
        <w:tc>
          <w:tcPr>
            <w:tcW w:w="1728" w:type="dxa"/>
          </w:tcPr>
          <w:p w14:paraId="77AA82AE" w14:textId="77777777" w:rsidR="00667D92" w:rsidRPr="0038227C" w:rsidRDefault="00667D92" w:rsidP="006F1BA4">
            <w:pPr>
              <w:widowControl w:val="0"/>
              <w:autoSpaceDE w:val="0"/>
              <w:autoSpaceDN w:val="0"/>
              <w:adjustRightInd w:val="0"/>
              <w:spacing w:line="240" w:lineRule="auto"/>
              <w:rPr>
                <w:rFonts w:cs="Arial"/>
                <w:szCs w:val="20"/>
              </w:rPr>
            </w:pPr>
            <w:r w:rsidRPr="0038227C">
              <w:rPr>
                <w:rFonts w:cs="Arial"/>
                <w:b/>
                <w:bCs/>
                <w:szCs w:val="20"/>
              </w:rPr>
              <w:t>3. Was the exposure accurately measured to minimize bias?</w:t>
            </w:r>
          </w:p>
        </w:tc>
        <w:tc>
          <w:tcPr>
            <w:tcW w:w="1373" w:type="dxa"/>
          </w:tcPr>
          <w:p w14:paraId="63643223"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01" w:type="dxa"/>
          </w:tcPr>
          <w:p w14:paraId="15E45C55"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74B6E6C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30" w:type="dxa"/>
          </w:tcPr>
          <w:p w14:paraId="27BFEEC2"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09373E3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242" w:type="dxa"/>
          </w:tcPr>
          <w:p w14:paraId="275A0D6F"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50" w:type="dxa"/>
          </w:tcPr>
          <w:p w14:paraId="44C22C2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68256D72"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7EE4A9F8"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25597D17"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578AFEA6" w14:textId="77777777" w:rsidTr="006F1BA4">
        <w:tc>
          <w:tcPr>
            <w:tcW w:w="1728" w:type="dxa"/>
          </w:tcPr>
          <w:p w14:paraId="00CEA81E" w14:textId="77777777" w:rsidR="00667D92" w:rsidRPr="0038227C" w:rsidRDefault="00667D92" w:rsidP="006F1BA4">
            <w:pPr>
              <w:widowControl w:val="0"/>
              <w:autoSpaceDE w:val="0"/>
              <w:autoSpaceDN w:val="0"/>
              <w:adjustRightInd w:val="0"/>
              <w:spacing w:line="240" w:lineRule="auto"/>
              <w:rPr>
                <w:rFonts w:cs="Arial"/>
                <w:szCs w:val="20"/>
              </w:rPr>
            </w:pPr>
            <w:r w:rsidRPr="0038227C">
              <w:rPr>
                <w:rFonts w:cs="Arial"/>
                <w:b/>
                <w:bCs/>
                <w:szCs w:val="20"/>
              </w:rPr>
              <w:t>4. Was the outcome accurately measured to minimize bias?</w:t>
            </w:r>
          </w:p>
        </w:tc>
        <w:tc>
          <w:tcPr>
            <w:tcW w:w="1373" w:type="dxa"/>
          </w:tcPr>
          <w:p w14:paraId="131446D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01" w:type="dxa"/>
          </w:tcPr>
          <w:p w14:paraId="0BED7115"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2F17F79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30" w:type="dxa"/>
          </w:tcPr>
          <w:p w14:paraId="45829D48"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3ED8BC8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242" w:type="dxa"/>
          </w:tcPr>
          <w:p w14:paraId="1BC5F983"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50" w:type="dxa"/>
          </w:tcPr>
          <w:p w14:paraId="1501E857"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053B0B9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4538DD0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318507D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70682BB6" w14:textId="77777777" w:rsidTr="006F1BA4">
        <w:tc>
          <w:tcPr>
            <w:tcW w:w="1728" w:type="dxa"/>
          </w:tcPr>
          <w:p w14:paraId="0A5818F3" w14:textId="77777777" w:rsidR="00667D92" w:rsidRPr="0038227C" w:rsidRDefault="00667D92" w:rsidP="006F1BA4">
            <w:pPr>
              <w:widowControl w:val="0"/>
              <w:autoSpaceDE w:val="0"/>
              <w:autoSpaceDN w:val="0"/>
              <w:adjustRightInd w:val="0"/>
              <w:spacing w:line="240" w:lineRule="auto"/>
              <w:rPr>
                <w:rFonts w:cs="Arial"/>
                <w:szCs w:val="20"/>
              </w:rPr>
            </w:pPr>
            <w:r w:rsidRPr="00862641">
              <w:rPr>
                <w:rFonts w:cs="Arial"/>
                <w:b/>
                <w:bCs/>
                <w:szCs w:val="20"/>
              </w:rPr>
              <w:t>5</w:t>
            </w:r>
            <w:r w:rsidRPr="0038227C">
              <w:rPr>
                <w:rFonts w:cs="Arial"/>
                <w:b/>
                <w:bCs/>
                <w:szCs w:val="20"/>
              </w:rPr>
              <w:t xml:space="preserve"> (a). Have the authors identified all important confounding factors?</w:t>
            </w:r>
          </w:p>
        </w:tc>
        <w:tc>
          <w:tcPr>
            <w:tcW w:w="1373" w:type="dxa"/>
          </w:tcPr>
          <w:p w14:paraId="70C1D24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01" w:type="dxa"/>
          </w:tcPr>
          <w:p w14:paraId="56ADE4B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682CD770"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30" w:type="dxa"/>
          </w:tcPr>
          <w:p w14:paraId="1B51C70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2B4DC54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242" w:type="dxa"/>
          </w:tcPr>
          <w:p w14:paraId="61968EF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50" w:type="dxa"/>
          </w:tcPr>
          <w:p w14:paraId="67F830F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377C32C7"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32B4C01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5B3A8E0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525CB111" w14:textId="77777777" w:rsidTr="006F1BA4">
        <w:trPr>
          <w:trHeight w:val="1493"/>
        </w:trPr>
        <w:tc>
          <w:tcPr>
            <w:tcW w:w="1728" w:type="dxa"/>
          </w:tcPr>
          <w:p w14:paraId="6761DEA6" w14:textId="77777777" w:rsidR="00667D92" w:rsidRPr="0038227C" w:rsidRDefault="00667D92" w:rsidP="006F1BA4">
            <w:pPr>
              <w:widowControl w:val="0"/>
              <w:autoSpaceDE w:val="0"/>
              <w:autoSpaceDN w:val="0"/>
              <w:adjustRightInd w:val="0"/>
              <w:spacing w:line="240" w:lineRule="auto"/>
              <w:rPr>
                <w:rFonts w:cs="Arial"/>
                <w:szCs w:val="20"/>
              </w:rPr>
            </w:pPr>
            <w:r w:rsidRPr="00453D60">
              <w:rPr>
                <w:rFonts w:cs="Arial"/>
                <w:b/>
                <w:bCs/>
                <w:szCs w:val="20"/>
              </w:rPr>
              <w:lastRenderedPageBreak/>
              <w:t>5</w:t>
            </w:r>
            <w:r w:rsidRPr="0038227C">
              <w:rPr>
                <w:rFonts w:cs="Arial"/>
                <w:b/>
                <w:bCs/>
                <w:szCs w:val="20"/>
              </w:rPr>
              <w:t xml:space="preserve"> (b). Have the authors taken account of the confounding factors in the design and/or analysis?</w:t>
            </w:r>
          </w:p>
        </w:tc>
        <w:tc>
          <w:tcPr>
            <w:tcW w:w="1373" w:type="dxa"/>
          </w:tcPr>
          <w:p w14:paraId="30A777F9"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01" w:type="dxa"/>
          </w:tcPr>
          <w:p w14:paraId="23B253FD"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0B4CE429"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30" w:type="dxa"/>
          </w:tcPr>
          <w:p w14:paraId="1FD9A4CE"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7B94373E"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242" w:type="dxa"/>
          </w:tcPr>
          <w:p w14:paraId="00183F83"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50" w:type="dxa"/>
          </w:tcPr>
          <w:p w14:paraId="3D492CFA"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490" w:type="dxa"/>
          </w:tcPr>
          <w:p w14:paraId="3B4F48FD"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114" w:type="dxa"/>
          </w:tcPr>
          <w:p w14:paraId="6BAFF50A"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906" w:type="dxa"/>
          </w:tcPr>
          <w:p w14:paraId="58586662"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r>
      <w:tr w:rsidR="007E48AF" w:rsidRPr="0038227C" w14:paraId="5E5353EC" w14:textId="77777777" w:rsidTr="006F1BA4">
        <w:tc>
          <w:tcPr>
            <w:tcW w:w="1728" w:type="dxa"/>
          </w:tcPr>
          <w:p w14:paraId="4901AF7E" w14:textId="77777777" w:rsidR="00667D92" w:rsidRPr="0038227C" w:rsidRDefault="00667D92" w:rsidP="006F1BA4">
            <w:pPr>
              <w:widowControl w:val="0"/>
              <w:autoSpaceDE w:val="0"/>
              <w:autoSpaceDN w:val="0"/>
              <w:adjustRightInd w:val="0"/>
              <w:spacing w:line="240" w:lineRule="auto"/>
              <w:rPr>
                <w:rFonts w:cs="Arial"/>
                <w:szCs w:val="20"/>
              </w:rPr>
            </w:pPr>
            <w:r w:rsidRPr="0038227C">
              <w:rPr>
                <w:rFonts w:cs="Arial"/>
                <w:b/>
                <w:bCs/>
                <w:szCs w:val="20"/>
              </w:rPr>
              <w:t>6 (a). Was the follow up of subjects complete enough?</w:t>
            </w:r>
          </w:p>
        </w:tc>
        <w:tc>
          <w:tcPr>
            <w:tcW w:w="1373" w:type="dxa"/>
          </w:tcPr>
          <w:p w14:paraId="60B6583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01" w:type="dxa"/>
          </w:tcPr>
          <w:p w14:paraId="4E629E27"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385A2126"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30" w:type="dxa"/>
          </w:tcPr>
          <w:p w14:paraId="74B6869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1957571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242" w:type="dxa"/>
          </w:tcPr>
          <w:p w14:paraId="46B57C7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50" w:type="dxa"/>
          </w:tcPr>
          <w:p w14:paraId="3B743938"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490" w:type="dxa"/>
          </w:tcPr>
          <w:p w14:paraId="74C3F35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1C5AE37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65D6038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06ADC693" w14:textId="77777777" w:rsidTr="006F1BA4">
        <w:tc>
          <w:tcPr>
            <w:tcW w:w="1728" w:type="dxa"/>
          </w:tcPr>
          <w:p w14:paraId="3DC76FCF" w14:textId="77777777" w:rsidR="00667D92" w:rsidRPr="0038227C" w:rsidRDefault="00667D92" w:rsidP="006F1BA4">
            <w:pPr>
              <w:widowControl w:val="0"/>
              <w:autoSpaceDE w:val="0"/>
              <w:autoSpaceDN w:val="0"/>
              <w:adjustRightInd w:val="0"/>
              <w:spacing w:line="240" w:lineRule="auto"/>
              <w:rPr>
                <w:rFonts w:cs="Arial"/>
                <w:szCs w:val="20"/>
              </w:rPr>
            </w:pPr>
            <w:r w:rsidRPr="0038227C">
              <w:rPr>
                <w:rFonts w:cs="Arial"/>
                <w:b/>
                <w:bCs/>
                <w:szCs w:val="20"/>
              </w:rPr>
              <w:t>6 (b). Was the follow up of subjects long enough</w:t>
            </w:r>
          </w:p>
        </w:tc>
        <w:tc>
          <w:tcPr>
            <w:tcW w:w="1373" w:type="dxa"/>
          </w:tcPr>
          <w:p w14:paraId="27192155"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01" w:type="dxa"/>
          </w:tcPr>
          <w:p w14:paraId="0A207826"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1AADFB1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30" w:type="dxa"/>
          </w:tcPr>
          <w:p w14:paraId="1F872895"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1F2C939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242" w:type="dxa"/>
          </w:tcPr>
          <w:p w14:paraId="0C26582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50" w:type="dxa"/>
          </w:tcPr>
          <w:p w14:paraId="360FA8C7"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11CABC6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29A97FC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6698958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056760DB" w14:textId="77777777" w:rsidTr="006F1BA4">
        <w:tc>
          <w:tcPr>
            <w:tcW w:w="1728" w:type="dxa"/>
          </w:tcPr>
          <w:p w14:paraId="53A7970B" w14:textId="77777777" w:rsidR="00667D92" w:rsidRPr="0038227C" w:rsidRDefault="00667D92" w:rsidP="006F1BA4">
            <w:pPr>
              <w:widowControl w:val="0"/>
              <w:autoSpaceDE w:val="0"/>
              <w:autoSpaceDN w:val="0"/>
              <w:adjustRightInd w:val="0"/>
              <w:spacing w:line="240" w:lineRule="auto"/>
              <w:rPr>
                <w:rFonts w:cs="Arial"/>
                <w:szCs w:val="20"/>
              </w:rPr>
            </w:pPr>
            <w:r w:rsidRPr="0038227C">
              <w:rPr>
                <w:rFonts w:cs="Arial"/>
                <w:b/>
                <w:bCs/>
                <w:szCs w:val="20"/>
              </w:rPr>
              <w:t>7. What are the results of this study?</w:t>
            </w:r>
          </w:p>
        </w:tc>
        <w:tc>
          <w:tcPr>
            <w:tcW w:w="1373" w:type="dxa"/>
          </w:tcPr>
          <w:p w14:paraId="5F5A7030" w14:textId="77777777" w:rsidR="00667D92" w:rsidRDefault="00667D92" w:rsidP="006F1BA4">
            <w:pPr>
              <w:widowControl w:val="0"/>
              <w:autoSpaceDE w:val="0"/>
              <w:autoSpaceDN w:val="0"/>
              <w:adjustRightInd w:val="0"/>
              <w:spacing w:line="240" w:lineRule="auto"/>
              <w:jc w:val="center"/>
              <w:rPr>
                <w:rFonts w:cs="Arial"/>
                <w:szCs w:val="20"/>
              </w:rPr>
            </w:pPr>
            <w:r>
              <w:rPr>
                <w:rFonts w:cs="Arial"/>
                <w:szCs w:val="20"/>
              </w:rPr>
              <w:t xml:space="preserve">See </w:t>
            </w:r>
          </w:p>
          <w:p w14:paraId="2B8ED08F"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Table 1</w:t>
            </w:r>
          </w:p>
        </w:tc>
        <w:tc>
          <w:tcPr>
            <w:tcW w:w="1301" w:type="dxa"/>
          </w:tcPr>
          <w:p w14:paraId="20E3BFBD" w14:textId="77777777" w:rsidR="00667D92" w:rsidRDefault="00667D92" w:rsidP="006F1BA4">
            <w:pPr>
              <w:widowControl w:val="0"/>
              <w:autoSpaceDE w:val="0"/>
              <w:autoSpaceDN w:val="0"/>
              <w:adjustRightInd w:val="0"/>
              <w:spacing w:line="240" w:lineRule="auto"/>
              <w:jc w:val="center"/>
              <w:rPr>
                <w:rFonts w:cs="Arial"/>
                <w:szCs w:val="20"/>
              </w:rPr>
            </w:pPr>
            <w:r>
              <w:rPr>
                <w:rFonts w:cs="Arial"/>
                <w:szCs w:val="20"/>
              </w:rPr>
              <w:t xml:space="preserve">See </w:t>
            </w:r>
          </w:p>
          <w:p w14:paraId="5C3F7B91"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Table 1</w:t>
            </w:r>
          </w:p>
        </w:tc>
        <w:tc>
          <w:tcPr>
            <w:tcW w:w="1328" w:type="dxa"/>
          </w:tcPr>
          <w:p w14:paraId="0A745593" w14:textId="77777777" w:rsidR="00667D92" w:rsidRDefault="00667D92" w:rsidP="006F1BA4">
            <w:pPr>
              <w:widowControl w:val="0"/>
              <w:autoSpaceDE w:val="0"/>
              <w:autoSpaceDN w:val="0"/>
              <w:adjustRightInd w:val="0"/>
              <w:spacing w:line="240" w:lineRule="auto"/>
              <w:jc w:val="center"/>
              <w:rPr>
                <w:rFonts w:cs="Arial"/>
                <w:szCs w:val="20"/>
              </w:rPr>
            </w:pPr>
            <w:r>
              <w:rPr>
                <w:rFonts w:cs="Arial"/>
                <w:szCs w:val="20"/>
              </w:rPr>
              <w:t xml:space="preserve">See </w:t>
            </w:r>
          </w:p>
          <w:p w14:paraId="2C03B175"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Table 1</w:t>
            </w:r>
          </w:p>
        </w:tc>
        <w:tc>
          <w:tcPr>
            <w:tcW w:w="1330" w:type="dxa"/>
          </w:tcPr>
          <w:p w14:paraId="24BBB32B" w14:textId="77777777" w:rsidR="00667D92" w:rsidRDefault="00667D92" w:rsidP="006F1BA4">
            <w:pPr>
              <w:widowControl w:val="0"/>
              <w:autoSpaceDE w:val="0"/>
              <w:autoSpaceDN w:val="0"/>
              <w:adjustRightInd w:val="0"/>
              <w:spacing w:line="240" w:lineRule="auto"/>
              <w:jc w:val="center"/>
              <w:rPr>
                <w:rFonts w:cs="Arial"/>
                <w:szCs w:val="20"/>
              </w:rPr>
            </w:pPr>
            <w:r>
              <w:rPr>
                <w:rFonts w:cs="Arial"/>
                <w:szCs w:val="20"/>
              </w:rPr>
              <w:t xml:space="preserve">See </w:t>
            </w:r>
          </w:p>
          <w:p w14:paraId="4FD52E0B"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Table 1</w:t>
            </w:r>
          </w:p>
        </w:tc>
        <w:tc>
          <w:tcPr>
            <w:tcW w:w="1328" w:type="dxa"/>
          </w:tcPr>
          <w:p w14:paraId="40544964" w14:textId="77777777" w:rsidR="00667D92" w:rsidRDefault="00667D92" w:rsidP="006F1BA4">
            <w:pPr>
              <w:widowControl w:val="0"/>
              <w:autoSpaceDE w:val="0"/>
              <w:autoSpaceDN w:val="0"/>
              <w:adjustRightInd w:val="0"/>
              <w:spacing w:line="240" w:lineRule="auto"/>
              <w:jc w:val="center"/>
              <w:rPr>
                <w:rFonts w:cs="Arial"/>
                <w:szCs w:val="20"/>
              </w:rPr>
            </w:pPr>
            <w:r>
              <w:rPr>
                <w:rFonts w:cs="Arial"/>
                <w:szCs w:val="20"/>
              </w:rPr>
              <w:t xml:space="preserve">See </w:t>
            </w:r>
          </w:p>
          <w:p w14:paraId="7C9062A8"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Table 1</w:t>
            </w:r>
          </w:p>
        </w:tc>
        <w:tc>
          <w:tcPr>
            <w:tcW w:w="1242" w:type="dxa"/>
          </w:tcPr>
          <w:p w14:paraId="4A25C55C" w14:textId="77777777" w:rsidR="00667D92" w:rsidRDefault="00667D92" w:rsidP="006F1BA4">
            <w:pPr>
              <w:widowControl w:val="0"/>
              <w:autoSpaceDE w:val="0"/>
              <w:autoSpaceDN w:val="0"/>
              <w:adjustRightInd w:val="0"/>
              <w:spacing w:line="240" w:lineRule="auto"/>
              <w:jc w:val="center"/>
              <w:rPr>
                <w:rFonts w:cs="Arial"/>
                <w:szCs w:val="20"/>
              </w:rPr>
            </w:pPr>
            <w:r>
              <w:rPr>
                <w:rFonts w:cs="Arial"/>
                <w:szCs w:val="20"/>
              </w:rPr>
              <w:t xml:space="preserve">See </w:t>
            </w:r>
          </w:p>
          <w:p w14:paraId="26113DB4"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Table 1</w:t>
            </w:r>
          </w:p>
        </w:tc>
        <w:tc>
          <w:tcPr>
            <w:tcW w:w="1350" w:type="dxa"/>
          </w:tcPr>
          <w:p w14:paraId="7E78EFB7" w14:textId="77777777" w:rsidR="00667D92" w:rsidRDefault="00667D92" w:rsidP="006F1BA4">
            <w:pPr>
              <w:widowControl w:val="0"/>
              <w:autoSpaceDE w:val="0"/>
              <w:autoSpaceDN w:val="0"/>
              <w:adjustRightInd w:val="0"/>
              <w:spacing w:line="240" w:lineRule="auto"/>
              <w:jc w:val="center"/>
              <w:rPr>
                <w:rFonts w:cs="Arial"/>
                <w:szCs w:val="20"/>
              </w:rPr>
            </w:pPr>
            <w:r>
              <w:rPr>
                <w:rFonts w:cs="Arial"/>
                <w:szCs w:val="20"/>
              </w:rPr>
              <w:t xml:space="preserve">See </w:t>
            </w:r>
          </w:p>
          <w:p w14:paraId="00912AB5"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Table 1</w:t>
            </w:r>
          </w:p>
        </w:tc>
        <w:tc>
          <w:tcPr>
            <w:tcW w:w="1490" w:type="dxa"/>
          </w:tcPr>
          <w:p w14:paraId="5C201288" w14:textId="77777777" w:rsidR="00667D92" w:rsidRDefault="00667D92" w:rsidP="006F1BA4">
            <w:pPr>
              <w:widowControl w:val="0"/>
              <w:autoSpaceDE w:val="0"/>
              <w:autoSpaceDN w:val="0"/>
              <w:adjustRightInd w:val="0"/>
              <w:spacing w:line="240" w:lineRule="auto"/>
              <w:jc w:val="center"/>
              <w:rPr>
                <w:rFonts w:cs="Arial"/>
                <w:szCs w:val="20"/>
              </w:rPr>
            </w:pPr>
            <w:r>
              <w:rPr>
                <w:rFonts w:cs="Arial"/>
                <w:szCs w:val="20"/>
              </w:rPr>
              <w:t xml:space="preserve">See </w:t>
            </w:r>
          </w:p>
          <w:p w14:paraId="5573CEC3"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Table 1</w:t>
            </w:r>
          </w:p>
        </w:tc>
        <w:tc>
          <w:tcPr>
            <w:tcW w:w="1114" w:type="dxa"/>
          </w:tcPr>
          <w:p w14:paraId="56CFEE99"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See Table 1</w:t>
            </w:r>
          </w:p>
        </w:tc>
        <w:tc>
          <w:tcPr>
            <w:tcW w:w="906" w:type="dxa"/>
          </w:tcPr>
          <w:p w14:paraId="020142AC"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See Table 1</w:t>
            </w:r>
          </w:p>
        </w:tc>
      </w:tr>
      <w:tr w:rsidR="007E48AF" w:rsidRPr="0038227C" w14:paraId="796B0FEC" w14:textId="77777777" w:rsidTr="006F1BA4">
        <w:tc>
          <w:tcPr>
            <w:tcW w:w="1728" w:type="dxa"/>
          </w:tcPr>
          <w:p w14:paraId="69FB7704"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8. Was the precision of results acceptable?</w:t>
            </w:r>
          </w:p>
        </w:tc>
        <w:tc>
          <w:tcPr>
            <w:tcW w:w="1373" w:type="dxa"/>
          </w:tcPr>
          <w:p w14:paraId="6F11D3E6"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01" w:type="dxa"/>
          </w:tcPr>
          <w:p w14:paraId="19FB15FE"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50877947"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30" w:type="dxa"/>
          </w:tcPr>
          <w:p w14:paraId="784487FC"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7821BDAA"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242" w:type="dxa"/>
          </w:tcPr>
          <w:p w14:paraId="41760AFC"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50" w:type="dxa"/>
          </w:tcPr>
          <w:p w14:paraId="6890327F"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7EEE20E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1070436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3DD6EDB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76503515" w14:textId="77777777" w:rsidTr="006F1BA4">
        <w:tc>
          <w:tcPr>
            <w:tcW w:w="1728" w:type="dxa"/>
          </w:tcPr>
          <w:p w14:paraId="1B4ECDA4"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9. Do you believe the results?</w:t>
            </w:r>
          </w:p>
        </w:tc>
        <w:tc>
          <w:tcPr>
            <w:tcW w:w="1373" w:type="dxa"/>
          </w:tcPr>
          <w:p w14:paraId="3933DEA0"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01" w:type="dxa"/>
          </w:tcPr>
          <w:p w14:paraId="15F075FF"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44EB7142"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30" w:type="dxa"/>
          </w:tcPr>
          <w:p w14:paraId="1764BE9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0EF0FAA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242" w:type="dxa"/>
          </w:tcPr>
          <w:p w14:paraId="4DCDABC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50" w:type="dxa"/>
          </w:tcPr>
          <w:p w14:paraId="664468A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696ED92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5C8E9AB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65D34D7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7BBC6800" w14:textId="77777777" w:rsidTr="006F1BA4">
        <w:tc>
          <w:tcPr>
            <w:tcW w:w="1728" w:type="dxa"/>
          </w:tcPr>
          <w:p w14:paraId="7E1158D1" w14:textId="77777777" w:rsidR="00667D92" w:rsidRPr="0038227C" w:rsidRDefault="00667D92" w:rsidP="006F1BA4">
            <w:pPr>
              <w:widowControl w:val="0"/>
              <w:autoSpaceDE w:val="0"/>
              <w:autoSpaceDN w:val="0"/>
              <w:adjustRightInd w:val="0"/>
              <w:spacing w:line="240" w:lineRule="auto"/>
              <w:rPr>
                <w:rFonts w:cs="Arial"/>
                <w:b/>
                <w:bCs/>
                <w:szCs w:val="20"/>
              </w:rPr>
            </w:pPr>
            <w:r w:rsidRPr="00A669EF">
              <w:rPr>
                <w:rFonts w:cs="Arial"/>
                <w:b/>
                <w:bCs/>
                <w:szCs w:val="20"/>
              </w:rPr>
              <w:t>10. Can the results be applied to the local population?</w:t>
            </w:r>
          </w:p>
        </w:tc>
        <w:tc>
          <w:tcPr>
            <w:tcW w:w="1373" w:type="dxa"/>
          </w:tcPr>
          <w:p w14:paraId="7A89433B"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01" w:type="dxa"/>
          </w:tcPr>
          <w:p w14:paraId="7EE531A1"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39ADEFCA"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30" w:type="dxa"/>
          </w:tcPr>
          <w:p w14:paraId="60D4ED6D"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63A54EA7"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242" w:type="dxa"/>
          </w:tcPr>
          <w:p w14:paraId="57C757A0"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50" w:type="dxa"/>
          </w:tcPr>
          <w:p w14:paraId="157971B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6F0D269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668F55C3" w14:textId="77777777" w:rsidR="00667D92" w:rsidRPr="0038227C" w:rsidRDefault="00667D92" w:rsidP="006F1BA4">
            <w:pPr>
              <w:widowControl w:val="0"/>
              <w:autoSpaceDE w:val="0"/>
              <w:autoSpaceDN w:val="0"/>
              <w:adjustRightInd w:val="0"/>
              <w:spacing w:line="240" w:lineRule="auto"/>
              <w:jc w:val="center"/>
              <w:rPr>
                <w:rFonts w:cs="Arial"/>
                <w:szCs w:val="20"/>
              </w:rPr>
            </w:pPr>
            <w:r w:rsidRPr="00C50149">
              <w:rPr>
                <w:rFonts w:cs="Arial"/>
                <w:szCs w:val="20"/>
              </w:rPr>
              <w:t>-</w:t>
            </w:r>
          </w:p>
        </w:tc>
        <w:tc>
          <w:tcPr>
            <w:tcW w:w="906" w:type="dxa"/>
          </w:tcPr>
          <w:p w14:paraId="23D9F5E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7DE546B8" w14:textId="77777777" w:rsidTr="006F1BA4">
        <w:tc>
          <w:tcPr>
            <w:tcW w:w="1728" w:type="dxa"/>
          </w:tcPr>
          <w:p w14:paraId="05EEBF37"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11. Do the results of this study fit with other available evidence?</w:t>
            </w:r>
          </w:p>
        </w:tc>
        <w:tc>
          <w:tcPr>
            <w:tcW w:w="1373" w:type="dxa"/>
          </w:tcPr>
          <w:p w14:paraId="332A5428"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01" w:type="dxa"/>
          </w:tcPr>
          <w:p w14:paraId="79EB5EB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559C962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30" w:type="dxa"/>
          </w:tcPr>
          <w:p w14:paraId="733A0925"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28" w:type="dxa"/>
          </w:tcPr>
          <w:p w14:paraId="147DD79D" w14:textId="77777777" w:rsidR="00667D92" w:rsidRPr="0038227C" w:rsidRDefault="00667D92" w:rsidP="006F1BA4">
            <w:pPr>
              <w:widowControl w:val="0"/>
              <w:autoSpaceDE w:val="0"/>
              <w:autoSpaceDN w:val="0"/>
              <w:adjustRightInd w:val="0"/>
              <w:spacing w:line="240" w:lineRule="auto"/>
              <w:jc w:val="center"/>
              <w:rPr>
                <w:rFonts w:cs="Arial"/>
                <w:szCs w:val="20"/>
              </w:rPr>
            </w:pPr>
            <w:r w:rsidRPr="00B96DA7">
              <w:rPr>
                <w:rFonts w:cs="Arial"/>
                <w:szCs w:val="20"/>
              </w:rPr>
              <w:t>-</w:t>
            </w:r>
          </w:p>
        </w:tc>
        <w:tc>
          <w:tcPr>
            <w:tcW w:w="1242" w:type="dxa"/>
          </w:tcPr>
          <w:p w14:paraId="3AC56F96"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350" w:type="dxa"/>
          </w:tcPr>
          <w:p w14:paraId="4356A742"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490" w:type="dxa"/>
          </w:tcPr>
          <w:p w14:paraId="6E5B59A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1114" w:type="dxa"/>
          </w:tcPr>
          <w:p w14:paraId="418C45B9"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906" w:type="dxa"/>
          </w:tcPr>
          <w:p w14:paraId="3D5B980F"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7E48AF" w:rsidRPr="0038227C" w14:paraId="7667D08C" w14:textId="77777777" w:rsidTr="006F1BA4">
        <w:tc>
          <w:tcPr>
            <w:tcW w:w="1728" w:type="dxa"/>
          </w:tcPr>
          <w:p w14:paraId="5FD707CA"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 xml:space="preserve">12. What are </w:t>
            </w:r>
            <w:r w:rsidRPr="0038227C">
              <w:rPr>
                <w:rFonts w:cs="Arial"/>
                <w:b/>
                <w:bCs/>
                <w:szCs w:val="20"/>
              </w:rPr>
              <w:lastRenderedPageBreak/>
              <w:t>the implications of this study for practice?</w:t>
            </w:r>
          </w:p>
        </w:tc>
        <w:tc>
          <w:tcPr>
            <w:tcW w:w="1373" w:type="dxa"/>
          </w:tcPr>
          <w:p w14:paraId="5752AF77"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lastRenderedPageBreak/>
              <w:t>+</w:t>
            </w:r>
          </w:p>
        </w:tc>
        <w:tc>
          <w:tcPr>
            <w:tcW w:w="1301" w:type="dxa"/>
          </w:tcPr>
          <w:p w14:paraId="1A225554"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32303CFA"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30" w:type="dxa"/>
          </w:tcPr>
          <w:p w14:paraId="7FA004E7"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28" w:type="dxa"/>
          </w:tcPr>
          <w:p w14:paraId="38E91A10"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242" w:type="dxa"/>
          </w:tcPr>
          <w:p w14:paraId="6199B34C"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1350" w:type="dxa"/>
          </w:tcPr>
          <w:p w14:paraId="6080627E" w14:textId="77777777" w:rsidR="00667D92" w:rsidRPr="0038227C" w:rsidRDefault="00667D92" w:rsidP="006F1BA4">
            <w:pPr>
              <w:widowControl w:val="0"/>
              <w:autoSpaceDE w:val="0"/>
              <w:autoSpaceDN w:val="0"/>
              <w:adjustRightInd w:val="0"/>
              <w:spacing w:line="240" w:lineRule="auto"/>
              <w:jc w:val="center"/>
              <w:rPr>
                <w:rFonts w:cs="Arial"/>
                <w:szCs w:val="20"/>
              </w:rPr>
            </w:pPr>
            <w:r w:rsidRPr="00F308AE">
              <w:rPr>
                <w:rFonts w:cs="Arial"/>
                <w:szCs w:val="20"/>
              </w:rPr>
              <w:t>+</w:t>
            </w:r>
          </w:p>
        </w:tc>
        <w:tc>
          <w:tcPr>
            <w:tcW w:w="1490" w:type="dxa"/>
          </w:tcPr>
          <w:p w14:paraId="384F6D97" w14:textId="77777777" w:rsidR="00667D92" w:rsidRPr="0038227C" w:rsidRDefault="00667D92" w:rsidP="006F1BA4">
            <w:pPr>
              <w:widowControl w:val="0"/>
              <w:autoSpaceDE w:val="0"/>
              <w:autoSpaceDN w:val="0"/>
              <w:adjustRightInd w:val="0"/>
              <w:spacing w:line="240" w:lineRule="auto"/>
              <w:jc w:val="center"/>
              <w:rPr>
                <w:rFonts w:cs="Arial"/>
                <w:szCs w:val="20"/>
              </w:rPr>
            </w:pPr>
            <w:r w:rsidRPr="00F308AE">
              <w:rPr>
                <w:rFonts w:cs="Arial"/>
                <w:szCs w:val="20"/>
              </w:rPr>
              <w:t>+</w:t>
            </w:r>
          </w:p>
        </w:tc>
        <w:tc>
          <w:tcPr>
            <w:tcW w:w="1114" w:type="dxa"/>
          </w:tcPr>
          <w:p w14:paraId="5A2C1052"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906" w:type="dxa"/>
          </w:tcPr>
          <w:p w14:paraId="677B0B27"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bl>
    <w:p w14:paraId="1D8D0FAA" w14:textId="7DBCA7BC" w:rsidR="00EC796A" w:rsidRDefault="00EC796A" w:rsidP="00667D92">
      <w:pPr>
        <w:rPr>
          <w:rFonts w:cs="Arial"/>
          <w:szCs w:val="20"/>
        </w:rPr>
      </w:pPr>
      <w:r w:rsidRPr="0038227C">
        <w:rPr>
          <w:rFonts w:cs="Arial"/>
          <w:bCs/>
          <w:szCs w:val="20"/>
        </w:rPr>
        <w:t xml:space="preserve">Each </w:t>
      </w:r>
      <w:r w:rsidRPr="0038227C">
        <w:rPr>
          <w:rFonts w:cs="Arial"/>
          <w:szCs w:val="20"/>
        </w:rPr>
        <w:t xml:space="preserve">study was appraised using the checklist and was designated (+) for </w:t>
      </w:r>
      <w:r w:rsidRPr="0038227C">
        <w:rPr>
          <w:rFonts w:cs="Arial"/>
          <w:i/>
          <w:iCs/>
          <w:szCs w:val="20"/>
        </w:rPr>
        <w:t>Yes</w:t>
      </w:r>
      <w:r w:rsidRPr="0038227C">
        <w:rPr>
          <w:rFonts w:cs="Arial"/>
          <w:szCs w:val="20"/>
        </w:rPr>
        <w:t xml:space="preserve">, (-) for </w:t>
      </w:r>
      <w:r w:rsidRPr="0038227C">
        <w:rPr>
          <w:rFonts w:cs="Arial"/>
          <w:i/>
          <w:iCs/>
          <w:szCs w:val="20"/>
        </w:rPr>
        <w:t>No</w:t>
      </w:r>
      <w:r w:rsidRPr="0038227C">
        <w:rPr>
          <w:rFonts w:cs="Arial"/>
          <w:szCs w:val="20"/>
        </w:rPr>
        <w:t xml:space="preserve">, and (?) for </w:t>
      </w:r>
      <w:r w:rsidRPr="0038227C">
        <w:rPr>
          <w:rFonts w:cs="Arial"/>
          <w:i/>
          <w:iCs/>
          <w:szCs w:val="20"/>
        </w:rPr>
        <w:t>Cannot tell</w:t>
      </w:r>
      <w:r w:rsidRPr="0038227C">
        <w:rPr>
          <w:rFonts w:cs="Arial"/>
          <w:szCs w:val="20"/>
        </w:rPr>
        <w:t xml:space="preserve"> for each question on the checklist.</w:t>
      </w:r>
    </w:p>
    <w:p w14:paraId="26407D87" w14:textId="77777777" w:rsidR="00EC796A" w:rsidRDefault="00EC796A" w:rsidP="00667D92">
      <w:pPr>
        <w:rPr>
          <w:rFonts w:cs="Arial"/>
          <w:szCs w:val="20"/>
        </w:rPr>
      </w:pPr>
    </w:p>
    <w:p w14:paraId="21EFBA04" w14:textId="77777777" w:rsidR="00EC796A" w:rsidRDefault="00EC796A" w:rsidP="00667D92">
      <w:pPr>
        <w:rPr>
          <w:rFonts w:cs="Arial"/>
          <w:b/>
          <w:szCs w:val="20"/>
        </w:rPr>
      </w:pPr>
    </w:p>
    <w:p w14:paraId="07B894F5" w14:textId="33C5B55E" w:rsidR="00667D92" w:rsidRPr="0038227C" w:rsidRDefault="00667D92" w:rsidP="00667D92">
      <w:pPr>
        <w:rPr>
          <w:rFonts w:cs="Arial"/>
          <w:szCs w:val="20"/>
        </w:rPr>
      </w:pPr>
      <w:r w:rsidRPr="0038227C">
        <w:rPr>
          <w:rFonts w:cs="Arial"/>
          <w:b/>
          <w:szCs w:val="20"/>
        </w:rPr>
        <w:t>Supplemental Table 2.</w:t>
      </w:r>
      <w:r w:rsidRPr="0038227C">
        <w:rPr>
          <w:rFonts w:cs="Arial"/>
          <w:bCs/>
          <w:szCs w:val="20"/>
        </w:rPr>
        <w:t xml:space="preserve"> The Critical Appraisal Skills Program (CASP) checklist for randomized controlled trials was used to assess the bias and relevance of included studies.</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3955"/>
        <w:gridCol w:w="2070"/>
        <w:gridCol w:w="2160"/>
      </w:tblGrid>
      <w:tr w:rsidR="00667D92" w:rsidRPr="0038227C" w14:paraId="062CA3AD" w14:textId="77777777" w:rsidTr="006F1BA4">
        <w:trPr>
          <w:trHeight w:val="935"/>
        </w:trPr>
        <w:tc>
          <w:tcPr>
            <w:tcW w:w="3955" w:type="dxa"/>
          </w:tcPr>
          <w:p w14:paraId="4F37257D" w14:textId="77777777" w:rsidR="00667D92" w:rsidRPr="0038227C" w:rsidRDefault="00667D92" w:rsidP="006F1BA4">
            <w:pPr>
              <w:widowControl w:val="0"/>
              <w:autoSpaceDE w:val="0"/>
              <w:autoSpaceDN w:val="0"/>
              <w:adjustRightInd w:val="0"/>
              <w:spacing w:line="240" w:lineRule="auto"/>
              <w:rPr>
                <w:rFonts w:cs="Arial"/>
                <w:color w:val="000000"/>
                <w:szCs w:val="20"/>
              </w:rPr>
            </w:pPr>
          </w:p>
        </w:tc>
        <w:tc>
          <w:tcPr>
            <w:tcW w:w="2070" w:type="dxa"/>
          </w:tcPr>
          <w:p w14:paraId="11A605E1" w14:textId="77777777" w:rsidR="00667D92" w:rsidRPr="0038227C" w:rsidRDefault="00667D92" w:rsidP="006F1BA4">
            <w:pPr>
              <w:widowControl w:val="0"/>
              <w:autoSpaceDE w:val="0"/>
              <w:autoSpaceDN w:val="0"/>
              <w:adjustRightInd w:val="0"/>
              <w:spacing w:line="240" w:lineRule="auto"/>
              <w:jc w:val="center"/>
              <w:rPr>
                <w:rFonts w:cs="Arial"/>
                <w:color w:val="000000"/>
                <w:szCs w:val="20"/>
              </w:rPr>
            </w:pPr>
            <w:r w:rsidRPr="0038227C">
              <w:rPr>
                <w:rFonts w:cs="Arial"/>
                <w:color w:val="000000"/>
                <w:szCs w:val="20"/>
              </w:rPr>
              <w:t>Faurschou, 2015</w:t>
            </w:r>
            <w:r>
              <w:rPr>
                <w:rFonts w:cs="Arial"/>
                <w:color w:val="000000"/>
                <w:szCs w:val="20"/>
              </w:rPr>
              <w:fldChar w:fldCharType="begin"/>
            </w:r>
            <w:r>
              <w:rPr>
                <w:rFonts w:cs="Arial"/>
                <w:color w:val="000000"/>
                <w:szCs w:val="20"/>
              </w:rPr>
              <w:instrText xml:space="preserve"> ADDIN ZOTERO_ITEM CSL_CITATION {"citationID":"poPlODTD","properties":{"formattedCitation":"\\super 22\\nosupersub{}","plainCitation":"22","noteIndex":0},"citationItems":[{"id":108,"uris":["http://zotero.org/users/local/mqXhIH7c/items/HBBIKUUE"],"itemData":{"id":108,"type":"article-journal","abstract":"Background It has been proposed that glucagon-like peptide-1 receptor (GLP-1R) agonists used for the treatment of patients with type 2 diabetes might also improve their psoriasis.\nObjective To assess the efﬁcacy and safety of the GLP-1R agonist liraglutide in glucose-tolerant patients with plaque psoriasis.\nMethods A total of 20 obese (body mass index &gt; 25 kg/m2), glucose-tolerant patients with plaque psoriasis (psoriasis area and severity index (PASI) of at least 8) were randomized 1 : 1 to once-daily subcutaneous injections with liraglutide or placebo for an 8-week period. The primary end points were improvement in PASI and dermatology life quality index (DLQI). Secondary end points included changes in weight and high sensitive C-reactive protein (hsCRP) levels, as well as adverse events.\nResults After 8 weeks of treatment, no signiﬁcant change in PASI was found in the liraglutide group (meanÆstandard deviation: À2.6 Æ 2.1) compared with the placebo group (À1.3 Æ 2.4) (P = 0.228). No difference in DLQI was observed between the groups [À2.5 Æ 4.4 (liraglutide) vs. À3.7 Æ 4.8 (placebo); P = 0.564]. HsCRP did not change in any of the groups (0.26 Æ 1 (placebo) vs. 0.25 Æ 2.2 (liraglutide); P = 0.992). Liraglutide treatment resulted in a bodyweight loss of 4.7 Æ 2.5 kg compared with 1.6 Æ 2.7 kg in the placebo group (P = 0.014) accompanied by decreased cholesterol levels. No serious adverse events occurred during the 8-week observation period. The most common complaint was transient nausea, which occurred in 45% of the liraglutide-treated patients but in none from the placebo group.\nConclusion Liraglutide treatment for 8 weeks did not signiﬁcantly change PASI, DLQI, or hsCRP in a small group of glucose-tolerant obese patients with plaque psoriasis compared with placebo. A signiﬁcant weight loss and decrease in cholesterol levels was observed in liraglutide-treated patients.","container-title":"Journal of the European Academy of Dermatology and Venereology","DOI":"10.1111/jdv.12629","ISSN":"0926-9959, 1468-3083","issue":"3","journalAbbreviation":"Acad Dermatol Venereol","language":"en","license":"http://onlinelibrary.wiley.com/termsAndConditions#vor","page":"555-559","source":"DOI.org (Crossref)","title":"Lack of effect of the glucagon</w:instrText>
            </w:r>
            <w:r>
              <w:rPr>
                <w:rFonts w:ascii="Cambria Math" w:hAnsi="Cambria Math" w:cs="Cambria Math"/>
                <w:color w:val="000000"/>
                <w:szCs w:val="20"/>
              </w:rPr>
              <w:instrText>‐</w:instrText>
            </w:r>
            <w:r>
              <w:rPr>
                <w:rFonts w:cs="Arial"/>
                <w:color w:val="000000"/>
                <w:szCs w:val="20"/>
              </w:rPr>
              <w:instrText>like peptide</w:instrText>
            </w:r>
            <w:r>
              <w:rPr>
                <w:rFonts w:ascii="Cambria Math" w:hAnsi="Cambria Math" w:cs="Cambria Math"/>
                <w:color w:val="000000"/>
                <w:szCs w:val="20"/>
              </w:rPr>
              <w:instrText>‐</w:instrText>
            </w:r>
            <w:r>
              <w:rPr>
                <w:rFonts w:cs="Arial"/>
                <w:color w:val="000000"/>
                <w:szCs w:val="20"/>
              </w:rPr>
              <w:instrText>1 receptor agonist liraglutide on psoriasis in glucose</w:instrText>
            </w:r>
            <w:r>
              <w:rPr>
                <w:rFonts w:ascii="Cambria Math" w:hAnsi="Cambria Math" w:cs="Cambria Math"/>
                <w:color w:val="000000"/>
                <w:szCs w:val="20"/>
              </w:rPr>
              <w:instrText>‐</w:instrText>
            </w:r>
            <w:r>
              <w:rPr>
                <w:rFonts w:cs="Arial"/>
                <w:color w:val="000000"/>
                <w:szCs w:val="20"/>
              </w:rPr>
              <w:instrText>tolerant patients – a randomized placebo</w:instrText>
            </w:r>
            <w:r>
              <w:rPr>
                <w:rFonts w:ascii="Cambria Math" w:hAnsi="Cambria Math" w:cs="Cambria Math"/>
                <w:color w:val="000000"/>
                <w:szCs w:val="20"/>
              </w:rPr>
              <w:instrText>‐</w:instrText>
            </w:r>
            <w:r>
              <w:rPr>
                <w:rFonts w:cs="Arial"/>
                <w:color w:val="000000"/>
                <w:szCs w:val="20"/>
              </w:rPr>
              <w:instrText xml:space="preserve">controlled trial","volume":"29","author":[{"family":"Faurschou","given":"A."},{"family":"Gyldenløve","given":"M."},{"family":"Rohde","given":"U."},{"family":"Thyssen","given":"J.P."},{"family":"Zachariae","given":"C."},{"family":"Skov","given":"L."},{"family":"Knop","given":"F.K."},{"family":"Vilsbøll","given":"T."}],"issued":{"date-parts":[["2015",3]]}}}],"schema":"https://github.com/citation-style-language/schema/raw/master/csl-citation.json"} </w:instrText>
            </w:r>
            <w:r>
              <w:rPr>
                <w:rFonts w:cs="Arial"/>
                <w:color w:val="000000"/>
                <w:szCs w:val="20"/>
              </w:rPr>
              <w:fldChar w:fldCharType="separate"/>
            </w:r>
            <w:r w:rsidRPr="002E6B5F">
              <w:rPr>
                <w:rFonts w:cs="Arial"/>
                <w:color w:val="000000"/>
                <w:vertAlign w:val="superscript"/>
              </w:rPr>
              <w:t>22</w:t>
            </w:r>
            <w:r>
              <w:rPr>
                <w:rFonts w:cs="Arial"/>
                <w:color w:val="000000"/>
                <w:szCs w:val="20"/>
              </w:rPr>
              <w:fldChar w:fldCharType="end"/>
            </w:r>
          </w:p>
        </w:tc>
        <w:tc>
          <w:tcPr>
            <w:tcW w:w="2160" w:type="dxa"/>
          </w:tcPr>
          <w:p w14:paraId="293C3792" w14:textId="77777777" w:rsidR="00667D92" w:rsidRPr="0038227C" w:rsidRDefault="00667D92" w:rsidP="006F1BA4">
            <w:pPr>
              <w:widowControl w:val="0"/>
              <w:autoSpaceDE w:val="0"/>
              <w:autoSpaceDN w:val="0"/>
              <w:adjustRightInd w:val="0"/>
              <w:spacing w:line="240" w:lineRule="auto"/>
              <w:jc w:val="center"/>
              <w:rPr>
                <w:rFonts w:cs="Arial"/>
                <w:color w:val="000000"/>
                <w:szCs w:val="20"/>
              </w:rPr>
            </w:pPr>
            <w:r w:rsidRPr="0038227C">
              <w:rPr>
                <w:rFonts w:cs="Arial"/>
                <w:color w:val="000000"/>
                <w:szCs w:val="20"/>
              </w:rPr>
              <w:t>Lin, 2022</w:t>
            </w:r>
            <w:r>
              <w:rPr>
                <w:rFonts w:cs="Arial"/>
                <w:color w:val="000000"/>
                <w:szCs w:val="20"/>
              </w:rPr>
              <w:fldChar w:fldCharType="begin"/>
            </w:r>
            <w:r>
              <w:rPr>
                <w:rFonts w:cs="Arial"/>
                <w:color w:val="000000"/>
                <w:szCs w:val="20"/>
              </w:rPr>
              <w:instrText xml:space="preserve"> ADDIN ZOTERO_ITEM CSL_CITATION {"citationID":"77QhcAS0","properties":{"formattedCitation":"\\super 21\\nosupersub{}","plainCitation":"21","noteIndex":0},"citationItems":[{"id":111,"uris":["http://zotero.org/users/local/mqXhIH7c/items/BL8VF2QR"],"itemData":{"id":111,"type":"article-journal","abstract":"Objective: There were some clinical studies on GLP-1R agonist liraglutide therapy for psoriasis patients with type 2 diabetes, but there is a lack of randomized controlled trials and the mechanism of which remains unclear.\nMethod: A total of 25 psoriasis patients with type 2 diabetes were randomized 1: 1 divided into the control group (n ¼ 13) or liraglutide group (n ¼ 12) for 12 weeks. We determined the PASI, the DLQI, histopathology of psoriasis skin, and the expression of IL-17, IL-23, and TNF-a in the psoriasis skin.\nResults: After 12 weeks of treatment, the mean DLQI of the treatment group decreased from 22.00 ± 5.85 to 3.82 ± 3.60 (p &lt; .05). Compared to week 12, the change in the baseline value of PASI and DLQI in the treatment group showed a significant difference compared with the control group (p &lt; .05). The pathological changes of psoriasis skin and the expression of IL-17, IL-23, TNF-a in the psoriasis skin were improved in the treatment group. No serious adverse events occurred.\nConclusion: The skin lesions in psoriasis patients with type 2 diabetes were significantly improved after treatment with liraglutide, which may be related to the inhibition of the expression of inflammatory factors such as IL-23, IL-17, and TNF-a.","container-title":"Journal of Dermatological Treatment","DOI":"10.1080/09546634.2020.1826392","ISSN":"0954-6634, 1471-1753","issue":"3","journalAbbreviation":"Journal of Dermatological Treatment","language":"en","page":"1428-1434","source":"DOI.org (Crossref)","title":"Glucagon-like peptide-1 receptor agonist liraglutide therapy for psoriasis patients with type 2 diabetes: a randomized-controlled trial","title-short":"Glucagon-like peptide-1 receptor agonist liraglutide therapy for psoriasis patients with type 2 diabetes","volume":"33","author":[{"family":"Lin","given":"Lu"},{"family":"Xu","given":"Xiangjin"},{"family":"Yu","given":"Yunjie"},{"family":"Ye","given":"Hongjiang"},{"family":"He","given":"Xiaoqiong"},{"family":"Chen","given":"Shengping"},{"family":"Chen","given":"Xaingqi"},{"family":"Shao","given":"Zhulin"},{"family":"Chen","given":"Pin"}],"issued":{"date-parts":[["2022",4,3]]}}}],"schema":"https://github.com/citation-style-language/schema/raw/master/csl-citation.json"} </w:instrText>
            </w:r>
            <w:r>
              <w:rPr>
                <w:rFonts w:cs="Arial"/>
                <w:color w:val="000000"/>
                <w:szCs w:val="20"/>
              </w:rPr>
              <w:fldChar w:fldCharType="separate"/>
            </w:r>
            <w:r w:rsidRPr="002E6B5F">
              <w:rPr>
                <w:rFonts w:cs="Arial"/>
                <w:color w:val="000000"/>
                <w:vertAlign w:val="superscript"/>
              </w:rPr>
              <w:t>21</w:t>
            </w:r>
            <w:r>
              <w:rPr>
                <w:rFonts w:cs="Arial"/>
                <w:color w:val="000000"/>
                <w:szCs w:val="20"/>
              </w:rPr>
              <w:fldChar w:fldCharType="end"/>
            </w:r>
            <w:r w:rsidRPr="0038227C">
              <w:rPr>
                <w:rFonts w:cs="Arial"/>
                <w:color w:val="000000"/>
                <w:szCs w:val="20"/>
              </w:rPr>
              <w:t xml:space="preserve"> </w:t>
            </w:r>
          </w:p>
        </w:tc>
      </w:tr>
      <w:tr w:rsidR="00667D92" w:rsidRPr="0038227C" w14:paraId="21F5E3BA" w14:textId="77777777" w:rsidTr="006F1BA4">
        <w:tc>
          <w:tcPr>
            <w:tcW w:w="3955" w:type="dxa"/>
          </w:tcPr>
          <w:p w14:paraId="798FC9D5"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1. Did the study address a clearly focused research question?</w:t>
            </w:r>
          </w:p>
        </w:tc>
        <w:tc>
          <w:tcPr>
            <w:tcW w:w="2070" w:type="dxa"/>
          </w:tcPr>
          <w:p w14:paraId="1C3EF41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36276FB9"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63A9DE0E" w14:textId="77777777" w:rsidTr="006F1BA4">
        <w:tc>
          <w:tcPr>
            <w:tcW w:w="3955" w:type="dxa"/>
          </w:tcPr>
          <w:p w14:paraId="712E100A"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2. Was the assignment of participants to interventions randomized?</w:t>
            </w:r>
          </w:p>
        </w:tc>
        <w:tc>
          <w:tcPr>
            <w:tcW w:w="2070" w:type="dxa"/>
          </w:tcPr>
          <w:p w14:paraId="0F2A35B0"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615A638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3EB6BE50" w14:textId="77777777" w:rsidTr="006F1BA4">
        <w:tc>
          <w:tcPr>
            <w:tcW w:w="3955" w:type="dxa"/>
          </w:tcPr>
          <w:p w14:paraId="06B8A405"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3. Were all participants who entered the study accounted for at its conclusion?</w:t>
            </w:r>
          </w:p>
        </w:tc>
        <w:tc>
          <w:tcPr>
            <w:tcW w:w="2070" w:type="dxa"/>
          </w:tcPr>
          <w:p w14:paraId="7478FAA0"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6033CFC6"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3576ABD6" w14:textId="77777777" w:rsidTr="006F1BA4">
        <w:tc>
          <w:tcPr>
            <w:tcW w:w="3955" w:type="dxa"/>
          </w:tcPr>
          <w:p w14:paraId="03AFE5AC"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4a. Were all participants ‘blind’ to intervention they were given?</w:t>
            </w:r>
          </w:p>
        </w:tc>
        <w:tc>
          <w:tcPr>
            <w:tcW w:w="2070" w:type="dxa"/>
          </w:tcPr>
          <w:p w14:paraId="0E0AAC76"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4A86EE74"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2D329D5C" w14:textId="77777777" w:rsidTr="006F1BA4">
        <w:tc>
          <w:tcPr>
            <w:tcW w:w="3955" w:type="dxa"/>
          </w:tcPr>
          <w:p w14:paraId="24AB0676"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4b. Were the investigators ‘blind’ to the interventions they were giving to participants?</w:t>
            </w:r>
          </w:p>
        </w:tc>
        <w:tc>
          <w:tcPr>
            <w:tcW w:w="2070" w:type="dxa"/>
          </w:tcPr>
          <w:p w14:paraId="5023AEE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03FA1CE1"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2B5DDFDC" w14:textId="77777777" w:rsidTr="006F1BA4">
        <w:tc>
          <w:tcPr>
            <w:tcW w:w="3955" w:type="dxa"/>
          </w:tcPr>
          <w:p w14:paraId="09CBA00D"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4c.  Were the people assessing/analyzing outcomes/s ‘blinded’?</w:t>
            </w:r>
          </w:p>
        </w:tc>
        <w:tc>
          <w:tcPr>
            <w:tcW w:w="2070" w:type="dxa"/>
          </w:tcPr>
          <w:p w14:paraId="63C7CD17"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0313D84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51C3DDDF" w14:textId="77777777" w:rsidTr="006F1BA4">
        <w:tc>
          <w:tcPr>
            <w:tcW w:w="3955" w:type="dxa"/>
          </w:tcPr>
          <w:p w14:paraId="4B61C541"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5. Were the study groups similar at the start of the randomized control trial?</w:t>
            </w:r>
          </w:p>
        </w:tc>
        <w:tc>
          <w:tcPr>
            <w:tcW w:w="2070" w:type="dxa"/>
          </w:tcPr>
          <w:p w14:paraId="00D9204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24B869E9"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2FB9B6CF" w14:textId="77777777" w:rsidTr="006F1BA4">
        <w:trPr>
          <w:trHeight w:val="1034"/>
        </w:trPr>
        <w:tc>
          <w:tcPr>
            <w:tcW w:w="3955" w:type="dxa"/>
          </w:tcPr>
          <w:p w14:paraId="62238B44"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lastRenderedPageBreak/>
              <w:t>6. Apart from the experimental intervention, did each study group receive the same level of care (that is, were they treated equally?</w:t>
            </w:r>
          </w:p>
        </w:tc>
        <w:tc>
          <w:tcPr>
            <w:tcW w:w="2070" w:type="dxa"/>
          </w:tcPr>
          <w:p w14:paraId="08A28A5F"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5EA309BE"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168EBF86" w14:textId="77777777" w:rsidTr="006F1BA4">
        <w:tc>
          <w:tcPr>
            <w:tcW w:w="3955" w:type="dxa"/>
          </w:tcPr>
          <w:p w14:paraId="02A6F58D"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7. Were the effects of intervention reported comprehensively?</w:t>
            </w:r>
          </w:p>
        </w:tc>
        <w:tc>
          <w:tcPr>
            <w:tcW w:w="2070" w:type="dxa"/>
          </w:tcPr>
          <w:p w14:paraId="5A26C73C"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1CB63EAA"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597E9F24" w14:textId="77777777" w:rsidTr="006F1BA4">
        <w:tc>
          <w:tcPr>
            <w:tcW w:w="3955" w:type="dxa"/>
          </w:tcPr>
          <w:p w14:paraId="7D564141"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8. Was the precision of the estimate of the intervention or treatment effect reported?</w:t>
            </w:r>
          </w:p>
        </w:tc>
        <w:tc>
          <w:tcPr>
            <w:tcW w:w="2070" w:type="dxa"/>
          </w:tcPr>
          <w:p w14:paraId="7112690D"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6A54FD19"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036A6E48" w14:textId="77777777" w:rsidTr="006F1BA4">
        <w:tc>
          <w:tcPr>
            <w:tcW w:w="3955" w:type="dxa"/>
          </w:tcPr>
          <w:p w14:paraId="69AC19F8"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9. Do the benefits of the experimental intervention outweigh the harms and costs?</w:t>
            </w:r>
          </w:p>
        </w:tc>
        <w:tc>
          <w:tcPr>
            <w:tcW w:w="2070" w:type="dxa"/>
          </w:tcPr>
          <w:p w14:paraId="0A6D1C88"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16EC544B"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r w:rsidR="00667D92" w:rsidRPr="0038227C" w14:paraId="50CBAF00" w14:textId="77777777" w:rsidTr="006F1BA4">
        <w:tc>
          <w:tcPr>
            <w:tcW w:w="3955" w:type="dxa"/>
          </w:tcPr>
          <w:p w14:paraId="25157A01" w14:textId="77777777" w:rsidR="00667D92" w:rsidRPr="0038227C" w:rsidRDefault="00667D92" w:rsidP="006F1BA4">
            <w:pPr>
              <w:widowControl w:val="0"/>
              <w:autoSpaceDE w:val="0"/>
              <w:autoSpaceDN w:val="0"/>
              <w:adjustRightInd w:val="0"/>
              <w:spacing w:line="240" w:lineRule="auto"/>
              <w:rPr>
                <w:rFonts w:cs="Arial"/>
                <w:b/>
                <w:bCs/>
                <w:szCs w:val="20"/>
              </w:rPr>
            </w:pPr>
            <w:r w:rsidRPr="00CB7B4B">
              <w:rPr>
                <w:rFonts w:cs="Arial"/>
                <w:b/>
                <w:bCs/>
                <w:szCs w:val="20"/>
              </w:rPr>
              <w:t>10.</w:t>
            </w:r>
            <w:r w:rsidRPr="0038227C">
              <w:rPr>
                <w:rFonts w:cs="Arial"/>
                <w:b/>
                <w:bCs/>
                <w:szCs w:val="20"/>
              </w:rPr>
              <w:t xml:space="preserve"> Can the results be applied to your local population/in your context?</w:t>
            </w:r>
          </w:p>
        </w:tc>
        <w:tc>
          <w:tcPr>
            <w:tcW w:w="2070" w:type="dxa"/>
          </w:tcPr>
          <w:p w14:paraId="43F63488"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c>
          <w:tcPr>
            <w:tcW w:w="2160" w:type="dxa"/>
          </w:tcPr>
          <w:p w14:paraId="574A19C6" w14:textId="77777777" w:rsidR="00667D92" w:rsidRPr="0038227C" w:rsidRDefault="00667D92" w:rsidP="006F1BA4">
            <w:pPr>
              <w:widowControl w:val="0"/>
              <w:autoSpaceDE w:val="0"/>
              <w:autoSpaceDN w:val="0"/>
              <w:adjustRightInd w:val="0"/>
              <w:spacing w:line="240" w:lineRule="auto"/>
              <w:jc w:val="center"/>
              <w:rPr>
                <w:rFonts w:cs="Arial"/>
                <w:szCs w:val="20"/>
              </w:rPr>
            </w:pPr>
            <w:r>
              <w:rPr>
                <w:rFonts w:cs="Arial"/>
                <w:szCs w:val="20"/>
              </w:rPr>
              <w:t>-</w:t>
            </w:r>
          </w:p>
        </w:tc>
      </w:tr>
      <w:tr w:rsidR="00667D92" w:rsidRPr="0038227C" w14:paraId="32961229" w14:textId="77777777" w:rsidTr="006F1BA4">
        <w:tc>
          <w:tcPr>
            <w:tcW w:w="3955" w:type="dxa"/>
          </w:tcPr>
          <w:p w14:paraId="31056652" w14:textId="77777777" w:rsidR="00667D92" w:rsidRPr="0038227C" w:rsidRDefault="00667D92" w:rsidP="006F1BA4">
            <w:pPr>
              <w:widowControl w:val="0"/>
              <w:autoSpaceDE w:val="0"/>
              <w:autoSpaceDN w:val="0"/>
              <w:adjustRightInd w:val="0"/>
              <w:spacing w:line="240" w:lineRule="auto"/>
              <w:rPr>
                <w:rFonts w:cs="Arial"/>
                <w:b/>
                <w:bCs/>
                <w:szCs w:val="20"/>
              </w:rPr>
            </w:pPr>
            <w:r w:rsidRPr="0038227C">
              <w:rPr>
                <w:rFonts w:cs="Arial"/>
                <w:b/>
                <w:bCs/>
                <w:szCs w:val="20"/>
              </w:rPr>
              <w:t>11. Would the experimental intervention provide greater value to the people in your care than any of the existing interventions?</w:t>
            </w:r>
          </w:p>
        </w:tc>
        <w:tc>
          <w:tcPr>
            <w:tcW w:w="2070" w:type="dxa"/>
          </w:tcPr>
          <w:p w14:paraId="37333108"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c>
          <w:tcPr>
            <w:tcW w:w="2160" w:type="dxa"/>
          </w:tcPr>
          <w:p w14:paraId="41ECC032" w14:textId="77777777" w:rsidR="00667D92" w:rsidRPr="0038227C" w:rsidRDefault="00667D92" w:rsidP="006F1BA4">
            <w:pPr>
              <w:widowControl w:val="0"/>
              <w:autoSpaceDE w:val="0"/>
              <w:autoSpaceDN w:val="0"/>
              <w:adjustRightInd w:val="0"/>
              <w:spacing w:line="240" w:lineRule="auto"/>
              <w:jc w:val="center"/>
              <w:rPr>
                <w:rFonts w:cs="Arial"/>
                <w:szCs w:val="20"/>
              </w:rPr>
            </w:pPr>
            <w:r w:rsidRPr="0038227C">
              <w:rPr>
                <w:rFonts w:cs="Arial"/>
                <w:szCs w:val="20"/>
              </w:rPr>
              <w:t>?</w:t>
            </w:r>
          </w:p>
        </w:tc>
      </w:tr>
    </w:tbl>
    <w:p w14:paraId="42437A1F" w14:textId="70791741" w:rsidR="00667D92" w:rsidRPr="0038227C" w:rsidRDefault="00667D92" w:rsidP="00EC796A">
      <w:pPr>
        <w:rPr>
          <w:rFonts w:cs="Arial"/>
          <w:szCs w:val="20"/>
        </w:rPr>
      </w:pPr>
      <w:r>
        <w:rPr>
          <w:rFonts w:cs="Arial"/>
          <w:szCs w:val="20"/>
        </w:rPr>
        <w:br w:type="textWrapping" w:clear="all"/>
      </w:r>
      <w:r w:rsidR="00EC796A" w:rsidRPr="0038227C">
        <w:rPr>
          <w:rFonts w:cs="Arial"/>
          <w:bCs/>
          <w:szCs w:val="20"/>
        </w:rPr>
        <w:t xml:space="preserve">Each </w:t>
      </w:r>
      <w:r w:rsidR="00EC796A" w:rsidRPr="0038227C">
        <w:rPr>
          <w:rFonts w:cs="Arial"/>
          <w:szCs w:val="20"/>
        </w:rPr>
        <w:t xml:space="preserve">study was appraised using the checklist and was designated (+) for </w:t>
      </w:r>
      <w:r w:rsidR="00EC796A" w:rsidRPr="0038227C">
        <w:rPr>
          <w:rFonts w:cs="Arial"/>
          <w:i/>
          <w:iCs/>
          <w:szCs w:val="20"/>
        </w:rPr>
        <w:t>Yes</w:t>
      </w:r>
      <w:r w:rsidR="00EC796A" w:rsidRPr="0038227C">
        <w:rPr>
          <w:rFonts w:cs="Arial"/>
          <w:szCs w:val="20"/>
        </w:rPr>
        <w:t xml:space="preserve">, (-) for </w:t>
      </w:r>
      <w:r w:rsidR="00EC796A" w:rsidRPr="0038227C">
        <w:rPr>
          <w:rFonts w:cs="Arial"/>
          <w:i/>
          <w:iCs/>
          <w:szCs w:val="20"/>
        </w:rPr>
        <w:t>No</w:t>
      </w:r>
      <w:r w:rsidR="00EC796A" w:rsidRPr="0038227C">
        <w:rPr>
          <w:rFonts w:cs="Arial"/>
          <w:szCs w:val="20"/>
        </w:rPr>
        <w:t xml:space="preserve">, and (?) for </w:t>
      </w:r>
      <w:r w:rsidR="00EC796A" w:rsidRPr="0038227C">
        <w:rPr>
          <w:rFonts w:cs="Arial"/>
          <w:i/>
          <w:iCs/>
          <w:szCs w:val="20"/>
        </w:rPr>
        <w:t>Cannot tell</w:t>
      </w:r>
      <w:r w:rsidR="00EC796A" w:rsidRPr="0038227C">
        <w:rPr>
          <w:rFonts w:cs="Arial"/>
          <w:szCs w:val="20"/>
        </w:rPr>
        <w:t xml:space="preserve"> for each question on the checklist.</w:t>
      </w:r>
    </w:p>
    <w:p w14:paraId="31B0DF30" w14:textId="77777777" w:rsidR="00667D92" w:rsidRPr="0038227C" w:rsidRDefault="00667D92" w:rsidP="00EC796A">
      <w:pPr>
        <w:rPr>
          <w:rFonts w:cs="Arial"/>
          <w:szCs w:val="20"/>
        </w:rPr>
      </w:pPr>
    </w:p>
    <w:p w14:paraId="7A8E19D7" w14:textId="77777777" w:rsidR="0017534C" w:rsidRDefault="0017534C"/>
    <w:sectPr w:rsidR="0017534C" w:rsidSect="00667D92">
      <w:footerReference w:type="even" r:id="rId6"/>
      <w:footerReference w:type="default" r:id="rId7"/>
      <w:footerReference w:type="first" r:id="rId8"/>
      <w:pgSz w:w="15840" w:h="12240" w:orient="landscape"/>
      <w:pgMar w:top="1800" w:right="1440" w:bottom="180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2759B" w14:textId="77777777" w:rsidR="00BF114E" w:rsidRDefault="00BF114E" w:rsidP="00BF114E">
      <w:pPr>
        <w:spacing w:line="240" w:lineRule="auto"/>
      </w:pPr>
      <w:r>
        <w:separator/>
      </w:r>
    </w:p>
  </w:endnote>
  <w:endnote w:type="continuationSeparator" w:id="0">
    <w:p w14:paraId="1895B413" w14:textId="77777777" w:rsidR="00BF114E" w:rsidRDefault="00BF114E" w:rsidP="00BF1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C4F6A" w14:textId="78C4F428" w:rsidR="00BF114E" w:rsidRDefault="00BF114E">
    <w:pPr>
      <w:pStyle w:val="Footer"/>
    </w:pPr>
    <w:r>
      <w:rPr>
        <w:noProof/>
        <w14:ligatures w14:val="standardContextual"/>
      </w:rPr>
      <mc:AlternateContent>
        <mc:Choice Requires="wps">
          <w:drawing>
            <wp:anchor distT="0" distB="0" distL="0" distR="0" simplePos="0" relativeHeight="251659264" behindDoc="0" locked="0" layoutInCell="1" allowOverlap="1" wp14:anchorId="36D7AAC0" wp14:editId="385B4AA1">
              <wp:simplePos x="635" y="635"/>
              <wp:positionH relativeFrom="page">
                <wp:align>left</wp:align>
              </wp:positionH>
              <wp:positionV relativeFrom="page">
                <wp:align>bottom</wp:align>
              </wp:positionV>
              <wp:extent cx="2085975" cy="459105"/>
              <wp:effectExtent l="0" t="0" r="9525" b="0"/>
              <wp:wrapNone/>
              <wp:docPr id="207178833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0DECA2C1" w14:textId="4A2C7312" w:rsidR="00BF114E" w:rsidRPr="00BF114E" w:rsidRDefault="00BF114E" w:rsidP="00BF114E">
                          <w:pPr>
                            <w:rPr>
                              <w:rFonts w:ascii="Rockwell" w:eastAsia="Rockwell" w:hAnsi="Rockwell" w:cs="Rockwell"/>
                              <w:noProof/>
                              <w:color w:val="0078D7"/>
                              <w:sz w:val="18"/>
                              <w:szCs w:val="18"/>
                            </w:rPr>
                          </w:pPr>
                          <w:r w:rsidRPr="00BF11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D7AAC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0DECA2C1" w14:textId="4A2C7312" w:rsidR="00BF114E" w:rsidRPr="00BF114E" w:rsidRDefault="00BF114E" w:rsidP="00BF114E">
                    <w:pPr>
                      <w:rPr>
                        <w:rFonts w:ascii="Rockwell" w:eastAsia="Rockwell" w:hAnsi="Rockwell" w:cs="Rockwell"/>
                        <w:noProof/>
                        <w:color w:val="0078D7"/>
                        <w:sz w:val="18"/>
                        <w:szCs w:val="18"/>
                      </w:rPr>
                    </w:pPr>
                    <w:r w:rsidRPr="00BF11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8E39C" w14:textId="4FCDF5DE" w:rsidR="00BF114E" w:rsidRDefault="00BF114E">
    <w:pPr>
      <w:pStyle w:val="Footer"/>
    </w:pPr>
    <w:r>
      <w:rPr>
        <w:noProof/>
        <w14:ligatures w14:val="standardContextual"/>
      </w:rPr>
      <mc:AlternateContent>
        <mc:Choice Requires="wps">
          <w:drawing>
            <wp:anchor distT="0" distB="0" distL="0" distR="0" simplePos="0" relativeHeight="251660288" behindDoc="0" locked="0" layoutInCell="1" allowOverlap="1" wp14:anchorId="2B5E2E40" wp14:editId="3C7BBA8A">
              <wp:simplePos x="635" y="635"/>
              <wp:positionH relativeFrom="page">
                <wp:align>left</wp:align>
              </wp:positionH>
              <wp:positionV relativeFrom="page">
                <wp:align>bottom</wp:align>
              </wp:positionV>
              <wp:extent cx="2085975" cy="459105"/>
              <wp:effectExtent l="0" t="0" r="9525" b="0"/>
              <wp:wrapNone/>
              <wp:docPr id="177625446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115E38FD" w14:textId="66BD0A70" w:rsidR="00BF114E" w:rsidRPr="00BF114E" w:rsidRDefault="00BF114E" w:rsidP="00BF114E">
                          <w:pPr>
                            <w:rPr>
                              <w:rFonts w:ascii="Rockwell" w:eastAsia="Rockwell" w:hAnsi="Rockwell" w:cs="Rockwell"/>
                              <w:noProof/>
                              <w:color w:val="0078D7"/>
                              <w:sz w:val="18"/>
                              <w:szCs w:val="18"/>
                            </w:rPr>
                          </w:pPr>
                          <w:r w:rsidRPr="00BF11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5E2E4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115E38FD" w14:textId="66BD0A70" w:rsidR="00BF114E" w:rsidRPr="00BF114E" w:rsidRDefault="00BF114E" w:rsidP="00BF114E">
                    <w:pPr>
                      <w:rPr>
                        <w:rFonts w:ascii="Rockwell" w:eastAsia="Rockwell" w:hAnsi="Rockwell" w:cs="Rockwell"/>
                        <w:noProof/>
                        <w:color w:val="0078D7"/>
                        <w:sz w:val="18"/>
                        <w:szCs w:val="18"/>
                      </w:rPr>
                    </w:pPr>
                    <w:r w:rsidRPr="00BF11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14ECA" w14:textId="6315BB70" w:rsidR="00BF114E" w:rsidRDefault="00BF114E">
    <w:pPr>
      <w:pStyle w:val="Footer"/>
    </w:pPr>
    <w:r>
      <w:rPr>
        <w:noProof/>
        <w14:ligatures w14:val="standardContextual"/>
      </w:rPr>
      <mc:AlternateContent>
        <mc:Choice Requires="wps">
          <w:drawing>
            <wp:anchor distT="0" distB="0" distL="0" distR="0" simplePos="0" relativeHeight="251658240" behindDoc="0" locked="0" layoutInCell="1" allowOverlap="1" wp14:anchorId="53C49F8A" wp14:editId="5524E482">
              <wp:simplePos x="914400" y="7171899"/>
              <wp:positionH relativeFrom="page">
                <wp:align>left</wp:align>
              </wp:positionH>
              <wp:positionV relativeFrom="page">
                <wp:align>bottom</wp:align>
              </wp:positionV>
              <wp:extent cx="2085975" cy="459105"/>
              <wp:effectExtent l="0" t="0" r="9525" b="0"/>
              <wp:wrapNone/>
              <wp:docPr id="29272788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9B92128" w14:textId="0E39C0FE" w:rsidR="00BF114E" w:rsidRPr="00BF114E" w:rsidRDefault="00BF114E" w:rsidP="00BF114E">
                          <w:pPr>
                            <w:rPr>
                              <w:rFonts w:ascii="Rockwell" w:eastAsia="Rockwell" w:hAnsi="Rockwell" w:cs="Rockwell"/>
                              <w:noProof/>
                              <w:color w:val="0078D7"/>
                              <w:sz w:val="18"/>
                              <w:szCs w:val="18"/>
                            </w:rPr>
                          </w:pPr>
                          <w:r w:rsidRPr="00BF11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C49F8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39B92128" w14:textId="0E39C0FE" w:rsidR="00BF114E" w:rsidRPr="00BF114E" w:rsidRDefault="00BF114E" w:rsidP="00BF114E">
                    <w:pPr>
                      <w:rPr>
                        <w:rFonts w:ascii="Rockwell" w:eastAsia="Rockwell" w:hAnsi="Rockwell" w:cs="Rockwell"/>
                        <w:noProof/>
                        <w:color w:val="0078D7"/>
                        <w:sz w:val="18"/>
                        <w:szCs w:val="18"/>
                      </w:rPr>
                    </w:pPr>
                    <w:r w:rsidRPr="00BF11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2E18E" w14:textId="77777777" w:rsidR="00BF114E" w:rsidRDefault="00BF114E" w:rsidP="00BF114E">
      <w:pPr>
        <w:spacing w:line="240" w:lineRule="auto"/>
      </w:pPr>
      <w:r>
        <w:separator/>
      </w:r>
    </w:p>
  </w:footnote>
  <w:footnote w:type="continuationSeparator" w:id="0">
    <w:p w14:paraId="1E515953" w14:textId="77777777" w:rsidR="00BF114E" w:rsidRDefault="00BF114E" w:rsidP="00BF11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92"/>
    <w:rsid w:val="000C4200"/>
    <w:rsid w:val="00113F26"/>
    <w:rsid w:val="0017534C"/>
    <w:rsid w:val="00617599"/>
    <w:rsid w:val="0065090C"/>
    <w:rsid w:val="00667D92"/>
    <w:rsid w:val="007E48AF"/>
    <w:rsid w:val="00BF114E"/>
    <w:rsid w:val="00E97C18"/>
    <w:rsid w:val="00EC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F131"/>
  <w15:chartTrackingRefBased/>
  <w15:docId w15:val="{D6063BF3-8F78-D74D-B026-B44338BF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92"/>
    <w:pPr>
      <w:spacing w:line="48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667D9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7D9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7D92"/>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7D92"/>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667D92"/>
    <w:pPr>
      <w:keepNext/>
      <w:keepLines/>
      <w:spacing w:before="80" w:after="40" w:line="240"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667D92"/>
    <w:pPr>
      <w:keepNext/>
      <w:keepLines/>
      <w:spacing w:before="40" w:line="240"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667D92"/>
    <w:pPr>
      <w:keepNext/>
      <w:keepLines/>
      <w:spacing w:before="40" w:line="240"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667D92"/>
    <w:pPr>
      <w:keepNext/>
      <w:keepLines/>
      <w:spacing w:line="240"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667D92"/>
    <w:pPr>
      <w:keepNext/>
      <w:keepLines/>
      <w:spacing w:line="240"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D92"/>
    <w:rPr>
      <w:rFonts w:eastAsiaTheme="majorEastAsia" w:cstheme="majorBidi"/>
      <w:color w:val="272727" w:themeColor="text1" w:themeTint="D8"/>
    </w:rPr>
  </w:style>
  <w:style w:type="paragraph" w:styleId="Title">
    <w:name w:val="Title"/>
    <w:basedOn w:val="Normal"/>
    <w:next w:val="Normal"/>
    <w:link w:val="TitleChar"/>
    <w:uiPriority w:val="10"/>
    <w:qFormat/>
    <w:rsid w:val="00667D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7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D92"/>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7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D92"/>
    <w:pPr>
      <w:spacing w:before="160" w:after="160" w:line="240"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667D92"/>
    <w:rPr>
      <w:i/>
      <w:iCs/>
      <w:color w:val="404040" w:themeColor="text1" w:themeTint="BF"/>
    </w:rPr>
  </w:style>
  <w:style w:type="paragraph" w:styleId="ListParagraph">
    <w:name w:val="List Paragraph"/>
    <w:basedOn w:val="Normal"/>
    <w:uiPriority w:val="34"/>
    <w:qFormat/>
    <w:rsid w:val="00667D92"/>
    <w:pPr>
      <w:spacing w:line="240"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667D92"/>
    <w:rPr>
      <w:i/>
      <w:iCs/>
      <w:color w:val="0F4761" w:themeColor="accent1" w:themeShade="BF"/>
    </w:rPr>
  </w:style>
  <w:style w:type="paragraph" w:styleId="IntenseQuote">
    <w:name w:val="Intense Quote"/>
    <w:basedOn w:val="Normal"/>
    <w:next w:val="Normal"/>
    <w:link w:val="IntenseQuoteChar"/>
    <w:uiPriority w:val="30"/>
    <w:qFormat/>
    <w:rsid w:val="00667D9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667D92"/>
    <w:rPr>
      <w:i/>
      <w:iCs/>
      <w:color w:val="0F4761" w:themeColor="accent1" w:themeShade="BF"/>
    </w:rPr>
  </w:style>
  <w:style w:type="character" w:styleId="IntenseReference">
    <w:name w:val="Intense Reference"/>
    <w:basedOn w:val="DefaultParagraphFont"/>
    <w:uiPriority w:val="32"/>
    <w:qFormat/>
    <w:rsid w:val="00667D92"/>
    <w:rPr>
      <w:b/>
      <w:bCs/>
      <w:smallCaps/>
      <w:color w:val="0F4761" w:themeColor="accent1" w:themeShade="BF"/>
      <w:spacing w:val="5"/>
    </w:rPr>
  </w:style>
  <w:style w:type="table" w:styleId="TableGrid">
    <w:name w:val="Table Grid"/>
    <w:basedOn w:val="TableNormal"/>
    <w:uiPriority w:val="39"/>
    <w:rsid w:val="00667D92"/>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67D92"/>
  </w:style>
  <w:style w:type="paragraph" w:styleId="Footer">
    <w:name w:val="footer"/>
    <w:basedOn w:val="Normal"/>
    <w:link w:val="FooterChar"/>
    <w:uiPriority w:val="99"/>
    <w:unhideWhenUsed/>
    <w:rsid w:val="00BF114E"/>
    <w:pPr>
      <w:tabs>
        <w:tab w:val="center" w:pos="4513"/>
        <w:tab w:val="right" w:pos="9026"/>
      </w:tabs>
      <w:spacing w:line="240" w:lineRule="auto"/>
    </w:pPr>
  </w:style>
  <w:style w:type="character" w:customStyle="1" w:styleId="FooterChar">
    <w:name w:val="Footer Char"/>
    <w:basedOn w:val="DefaultParagraphFont"/>
    <w:link w:val="Footer"/>
    <w:uiPriority w:val="99"/>
    <w:rsid w:val="00BF114E"/>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4003</Words>
  <Characters>22821</Characters>
  <Application>Microsoft Office Word</Application>
  <DocSecurity>0</DocSecurity>
  <Lines>190</Lines>
  <Paragraphs>53</Paragraphs>
  <ScaleCrop>false</ScaleCrop>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 Haran</dc:creator>
  <cp:keywords/>
  <dc:description/>
  <cp:lastModifiedBy>Olliver, Tania</cp:lastModifiedBy>
  <cp:revision>2</cp:revision>
  <dcterms:created xsi:type="dcterms:W3CDTF">2024-11-06T00:29:00Z</dcterms:created>
  <dcterms:modified xsi:type="dcterms:W3CDTF">2024-11-06T00:29:00Z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1172ac51,7b7cfb33,69df7e03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2024-11-06T00:29:51Z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86e9bcac-93da-452e-a3b5-10725c4fa9b9</vt:lpwstr>
  </property>
  <property fmtid="{D5CDD505-2E9C-101B-9397-08002B2CF9AE}" pid="11" name="MSIP_Label_2bbab825-a111-45e4-86a1-18cee0005896_ContentBits">
    <vt:lpwstr>2</vt:lpwstr>
  </property>
</Properties>
</file>