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962F4" w14:textId="0F74ACFF" w:rsidR="0049558D" w:rsidRPr="00AD1CB8" w:rsidRDefault="00901F25" w:rsidP="0049558D">
      <w:pPr>
        <w:pStyle w:val="NormalWeb"/>
        <w:spacing w:line="480" w:lineRule="auto"/>
        <w:jc w:val="both"/>
        <w:rPr>
          <w:rFonts w:ascii="Arial" w:hAnsi="Arial" w:cs="Arial"/>
          <w:b/>
          <w:bCs/>
          <w:sz w:val="32"/>
          <w:szCs w:val="32"/>
          <w:lang w:val="en-US"/>
        </w:rPr>
      </w:pPr>
      <w:r w:rsidRPr="00901F25">
        <w:rPr>
          <w:rFonts w:ascii="Arial" w:hAnsi="Arial" w:cs="Arial"/>
          <w:b/>
          <w:bCs/>
          <w:sz w:val="32"/>
          <w:szCs w:val="32"/>
          <w:lang w:val="en-US"/>
        </w:rPr>
        <w:t>Supplementary</w:t>
      </w:r>
      <w:r w:rsidR="0049558D" w:rsidRPr="00AD1CB8">
        <w:rPr>
          <w:rFonts w:ascii="Arial" w:hAnsi="Arial" w:cs="Arial"/>
          <w:b/>
          <w:bCs/>
          <w:sz w:val="32"/>
          <w:szCs w:val="32"/>
          <w:lang w:val="en-US"/>
        </w:rPr>
        <w:t>, Definitions</w:t>
      </w:r>
    </w:p>
    <w:p w14:paraId="7985FC4F" w14:textId="77777777" w:rsidR="0049558D" w:rsidRPr="00AD1CB8" w:rsidRDefault="0049558D" w:rsidP="005838DD">
      <w:pPr>
        <w:pStyle w:val="NormalWeb"/>
        <w:spacing w:line="480" w:lineRule="auto"/>
        <w:jc w:val="both"/>
        <w:rPr>
          <w:rFonts w:ascii="Arial" w:hAnsi="Arial" w:cs="Arial"/>
          <w:sz w:val="20"/>
          <w:szCs w:val="20"/>
          <w:lang w:val="en-US"/>
        </w:rPr>
      </w:pPr>
      <w:r w:rsidRPr="00AD1CB8">
        <w:rPr>
          <w:rFonts w:ascii="Arial" w:hAnsi="Arial" w:cs="Arial"/>
          <w:sz w:val="20"/>
          <w:szCs w:val="20"/>
          <w:lang w:val="en-US"/>
        </w:rPr>
        <w:t>Definition of immigrant and Danish-born patients</w:t>
      </w:r>
    </w:p>
    <w:p w14:paraId="242D6274" w14:textId="18CC8B6F"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sz w:val="20"/>
          <w:szCs w:val="20"/>
          <w:lang w:val="en-US"/>
        </w:rPr>
        <w:t>In accordance with the definition used by statistics Denmark</w:t>
      </w:r>
      <w:r w:rsidR="000910DF">
        <w:rPr>
          <w:rFonts w:ascii="Arial" w:hAnsi="Arial" w:cs="Arial"/>
          <w:sz w:val="20"/>
          <w:szCs w:val="20"/>
          <w:lang w:val="en-US"/>
        </w:rPr>
        <w:t xml:space="preserve"> </w:t>
      </w:r>
      <w:r w:rsidRPr="00AD1CB8">
        <w:rPr>
          <w:rFonts w:ascii="Arial" w:hAnsi="Arial" w:cs="Arial"/>
          <w:sz w:val="20"/>
          <w:szCs w:val="20"/>
          <w:lang w:val="en-US"/>
        </w:rPr>
        <w:fldChar w:fldCharType="begin" w:fldLock="1"/>
      </w:r>
      <w:r w:rsidR="004113CE">
        <w:rPr>
          <w:rFonts w:ascii="Arial" w:hAnsi="Arial" w:cs="Arial"/>
          <w:sz w:val="20"/>
          <w:szCs w:val="20"/>
          <w:lang w:val="en-US"/>
        </w:rPr>
        <w:instrText>ADDIN CSL_CITATION {"citationItems":[{"id":"ITEM-1","itemData":{"id":"ITEM-1","issued":{"date-parts":[["0"]]},"title":"Immigrants and their descendants - Statistics Denmark [Internet]. [cited 2024 April 23].  Available from: https://www.dst.dk/en/Statistik/emner/borgere/befolkning/indvandrere-og-efterkommere","type":"article-journal"},"uris":["http://www.mendeley.com/documents/?uuid=ec823dd5-d270-3c7d-ae10-0fe67ab42f59"]}],"mendeley":{"formattedCitation":"&lt;sup&gt;1&lt;/sup&gt;","plainTextFormattedCitation":"1","previouslyFormattedCitation":"(1)"},"properties":{"noteIndex":0},"schema":"https://github.com/citation-style-language/schema/raw/master/csl-citation.json"}</w:instrText>
      </w:r>
      <w:r w:rsidRPr="00AD1CB8">
        <w:rPr>
          <w:rFonts w:ascii="Arial" w:hAnsi="Arial" w:cs="Arial"/>
          <w:sz w:val="20"/>
          <w:szCs w:val="20"/>
          <w:lang w:val="en-US"/>
        </w:rPr>
        <w:fldChar w:fldCharType="separate"/>
      </w:r>
      <w:r w:rsidR="004113CE" w:rsidRPr="004113CE">
        <w:rPr>
          <w:rFonts w:ascii="Arial" w:hAnsi="Arial" w:cs="Arial"/>
          <w:noProof/>
          <w:sz w:val="20"/>
          <w:szCs w:val="20"/>
          <w:vertAlign w:val="superscript"/>
          <w:lang w:val="en-US"/>
        </w:rPr>
        <w:t>1</w:t>
      </w:r>
      <w:r w:rsidRPr="00AD1CB8">
        <w:rPr>
          <w:rFonts w:ascii="Arial" w:hAnsi="Arial" w:cs="Arial"/>
          <w:sz w:val="20"/>
          <w:szCs w:val="20"/>
          <w:lang w:val="en-US"/>
        </w:rPr>
        <w:fldChar w:fldCharType="end"/>
      </w:r>
      <w:r w:rsidRPr="00AD1CB8">
        <w:rPr>
          <w:rFonts w:ascii="Arial" w:hAnsi="Arial" w:cs="Arial"/>
          <w:sz w:val="20"/>
          <w:szCs w:val="20"/>
          <w:lang w:val="en-US"/>
        </w:rPr>
        <w:t xml:space="preserve">, Danish citizens born outside Denmark  and without Danish-born parents were defined immigrant patients. Citizens born in Denmark and citizens born with at least one Danish-born parent with Danish citizenship were categorized as Danish-born patients. </w:t>
      </w:r>
    </w:p>
    <w:p w14:paraId="7C26CA70" w14:textId="77777777"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sz w:val="20"/>
          <w:szCs w:val="20"/>
          <w:lang w:val="en-US"/>
        </w:rPr>
        <w:t>Definition of Western countries</w:t>
      </w:r>
    </w:p>
    <w:p w14:paraId="773123C5" w14:textId="77777777" w:rsidR="0049558D" w:rsidRPr="00AD1CB8" w:rsidRDefault="0049558D" w:rsidP="0049558D">
      <w:pPr>
        <w:widowControl w:val="0"/>
        <w:autoSpaceDE w:val="0"/>
        <w:autoSpaceDN w:val="0"/>
        <w:adjustRightInd w:val="0"/>
        <w:jc w:val="both"/>
        <w:rPr>
          <w:rFonts w:ascii="Arial" w:hAnsi="Arial" w:cs="Arial"/>
          <w:sz w:val="20"/>
          <w:szCs w:val="20"/>
          <w:lang w:val="en-US"/>
        </w:rPr>
      </w:pPr>
      <w:r w:rsidRPr="00AD1CB8">
        <w:rPr>
          <w:rFonts w:ascii="Arial" w:hAnsi="Arial" w:cs="Arial"/>
          <w:sz w:val="20"/>
          <w:szCs w:val="20"/>
          <w:lang w:val="en-US"/>
        </w:rPr>
        <w:t>Western countries include all 28 EU countries plus Andorra, Iceland, Liechtenstein, Monaco, Norway, San Marino, Switzerland, The Vatican, Canada, USA, Australia, and New Zealand.</w:t>
      </w:r>
      <w:r w:rsidRPr="00AD1CB8">
        <w:rPr>
          <w:rFonts w:ascii="Arial" w:hAnsi="Arial" w:cs="Arial"/>
          <w:sz w:val="20"/>
          <w:szCs w:val="20"/>
          <w:lang w:val="en-US"/>
        </w:rPr>
        <w:br/>
        <w:t>Non-Western countries include all other countries.</w:t>
      </w:r>
    </w:p>
    <w:p w14:paraId="33362AC9" w14:textId="0A1D7BFF" w:rsidR="0049558D" w:rsidRPr="00AD1CB8" w:rsidRDefault="00901F25" w:rsidP="0049558D">
      <w:pPr>
        <w:pStyle w:val="NormalWeb"/>
        <w:spacing w:line="480" w:lineRule="auto"/>
        <w:jc w:val="both"/>
        <w:rPr>
          <w:rFonts w:ascii="Arial" w:hAnsi="Arial" w:cs="Arial"/>
          <w:b/>
          <w:bCs/>
          <w:sz w:val="32"/>
          <w:szCs w:val="32"/>
          <w:lang w:val="en-US"/>
        </w:rPr>
      </w:pPr>
      <w:r w:rsidRPr="00901F25">
        <w:rPr>
          <w:rFonts w:ascii="Arial" w:hAnsi="Arial" w:cs="Arial"/>
          <w:b/>
          <w:bCs/>
          <w:sz w:val="32"/>
          <w:szCs w:val="32"/>
          <w:lang w:val="en-US"/>
        </w:rPr>
        <w:t>Supplementary</w:t>
      </w:r>
      <w:r w:rsidR="0049558D" w:rsidRPr="00AD1CB8">
        <w:rPr>
          <w:rFonts w:ascii="Arial" w:hAnsi="Arial" w:cs="Arial"/>
          <w:b/>
          <w:bCs/>
          <w:sz w:val="32"/>
          <w:szCs w:val="32"/>
          <w:lang w:val="en-US"/>
        </w:rPr>
        <w:t>, Interpretation of the Mediation Analysis</w:t>
      </w:r>
    </w:p>
    <w:p w14:paraId="4014425A" w14:textId="77777777"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sz w:val="20"/>
          <w:szCs w:val="20"/>
          <w:lang w:val="en-US"/>
        </w:rPr>
        <w:t>When assessing the effects of an exposure (immigration status) on an outcome (survival), it is of interest to investigate the mechanism of how the exposure effects the outcome. For this purpose, mediators are considered. Mediators are variables affected by the exposure, which in turn also affects the outcome. Thereby, a part of the overall effect of an exposure on an outcome is mediated through mediators.</w:t>
      </w:r>
      <w:r w:rsidRPr="00AD1CB8">
        <w:rPr>
          <w:rFonts w:ascii="Arial" w:hAnsi="Arial" w:cs="Arial"/>
          <w:color w:val="0D0D0D"/>
          <w:sz w:val="20"/>
          <w:szCs w:val="20"/>
          <w:shd w:val="clear" w:color="auto" w:fill="FFFFFF"/>
          <w:lang w:val="en-US"/>
        </w:rPr>
        <w:t xml:space="preserve"> </w:t>
      </w:r>
    </w:p>
    <w:p w14:paraId="64424EA9" w14:textId="1374332D"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color w:val="0D0D0D"/>
          <w:sz w:val="20"/>
          <w:szCs w:val="20"/>
          <w:shd w:val="clear" w:color="auto" w:fill="FFFFFF"/>
          <w:lang w:val="en-US"/>
        </w:rPr>
        <w:t xml:space="preserve">The mediation analysis conducted in this study employed the natural effects Cox model with a weighting scheme which allowed for causal pathways through multiple mediators </w:t>
      </w:r>
      <w:r w:rsidRPr="00AD1CB8">
        <w:rPr>
          <w:rFonts w:ascii="Arial" w:hAnsi="Arial" w:cs="Arial"/>
          <w:sz w:val="20"/>
          <w:szCs w:val="20"/>
          <w:lang w:val="en-US"/>
        </w:rPr>
        <w:fldChar w:fldCharType="begin" w:fldLock="1"/>
      </w:r>
      <w:r w:rsidR="004113CE">
        <w:rPr>
          <w:rFonts w:ascii="Arial" w:hAnsi="Arial" w:cs="Arial"/>
          <w:sz w:val="20"/>
          <w:szCs w:val="20"/>
          <w:lang w:val="en-US"/>
        </w:rPr>
        <w:instrText>ADDIN CSL_CITATION {"citationItems":[{"id":"ITEM-1","itemData":{"DOI":"10.1093/aje/kwt270","ISSN":"00029262","PMID":"24264291","abstract":"Within the fields of epidemiology, interventions research and social sciences researchers are often faced with the challenge of decomposing the effect of an exposure into different causal pathways working through defined mediator variables. The goal of such analyses is often to understand the mechanisms of the system or to suggest possible interventions. The case of a single mediator, thus implying only 2 causal pathways (direct and indirect) from exposure to outcome, has been extensively studied. By using the framework of counterfactual variables, researchers have established theoretical properties and developed powerful tools. However, in practical problems, it is not uncommon to have several distinct causal pathways from exposure to outcome operating through different mediators. In this article, we suggest a widely applicable approach to quantifying and ranking different causal pathways. The approach is an extension of the natural effect models proposed by Lange et al. (Am J Epidemiol. 2012;176(3):190-195). By allowing the analysis of distinct multiple pathways, the suggested approach adds to the capabilities of modern mediation techniques. Furthermore, the approach can be implemented using standard software, and we have included with this article implementation examples using R (R Foundation for Statistical Computing, Vienna, Austria) and Stata software (StataCorp LP, College Station, Texas). © The Author 2013.","author":[{"dropping-particle":"","family":"Lange","given":"Theis","non-dropping-particle":"","parse-names":false,"suffix":""},{"dropping-particle":"","family":"Rasmussen","given":"Mette","non-dropping-particle":"","parse-names":false,"suffix":""},{"dropping-particle":"","family":"Thygesen","given":"Lau Caspar","non-dropping-particle":"","parse-names":false,"suffix":""}],"container-title":"American Journal of Epidemiology","id":"ITEM-1","issue":"4","issued":{"date-parts":[["2014","2","15"]]},"page":"513-518","title":"Assessing natural direct and indirect effects through multiple pathways","type":"article-journal","volume":"179"},"uris":["http://www.mendeley.com/documents/?uuid=10bc70dc-3bed-354f-836b-8761b68694ae"]}],"mendeley":{"formattedCitation":"&lt;sup&gt;2&lt;/sup&gt;","plainTextFormattedCitation":"2","previouslyFormattedCitation":"(2)"},"properties":{"noteIndex":0},"schema":"https://github.com/citation-style-language/schema/raw/master/csl-citation.json"}</w:instrText>
      </w:r>
      <w:r w:rsidRPr="00AD1CB8">
        <w:rPr>
          <w:rFonts w:ascii="Arial" w:hAnsi="Arial" w:cs="Arial"/>
          <w:sz w:val="20"/>
          <w:szCs w:val="20"/>
          <w:lang w:val="en-US"/>
        </w:rPr>
        <w:fldChar w:fldCharType="separate"/>
      </w:r>
      <w:r w:rsidR="004113CE" w:rsidRPr="004113CE">
        <w:rPr>
          <w:rFonts w:ascii="Arial" w:hAnsi="Arial" w:cs="Arial"/>
          <w:noProof/>
          <w:sz w:val="20"/>
          <w:szCs w:val="20"/>
          <w:vertAlign w:val="superscript"/>
          <w:lang w:val="en-US"/>
        </w:rPr>
        <w:t>2</w:t>
      </w:r>
      <w:r w:rsidRPr="00AD1CB8">
        <w:rPr>
          <w:rFonts w:ascii="Arial" w:hAnsi="Arial" w:cs="Arial"/>
          <w:sz w:val="20"/>
          <w:szCs w:val="20"/>
          <w:lang w:val="en-US"/>
        </w:rPr>
        <w:fldChar w:fldCharType="end"/>
      </w:r>
      <w:r w:rsidRPr="00AD1CB8">
        <w:rPr>
          <w:rFonts w:ascii="Arial" w:hAnsi="Arial" w:cs="Arial"/>
          <w:sz w:val="20"/>
          <w:szCs w:val="20"/>
          <w:lang w:val="en-US"/>
        </w:rPr>
        <w:t>.</w:t>
      </w:r>
      <w:r w:rsidRPr="00AD1CB8">
        <w:rPr>
          <w:rFonts w:ascii="Arial" w:hAnsi="Arial" w:cs="Arial"/>
          <w:color w:val="0D0D0D"/>
          <w:sz w:val="20"/>
          <w:szCs w:val="20"/>
          <w:shd w:val="clear" w:color="auto" w:fill="FFFFFF"/>
          <w:lang w:val="en-US"/>
        </w:rPr>
        <w:t xml:space="preserve"> By assuming a causal structure (Figure S1) and controlling for confounders</w:t>
      </w:r>
      <w:r w:rsidRPr="00AD1CB8">
        <w:rPr>
          <w:rFonts w:ascii="Arial" w:hAnsi="Arial" w:cs="Arial"/>
          <w:sz w:val="20"/>
          <w:szCs w:val="20"/>
          <w:lang w:val="en-US"/>
        </w:rPr>
        <w:t xml:space="preserve">, the effects of immigration status (total effect) was decomposed into direct and indirect effects. The indirect effects are the effects on the causal pathway that goes through any mediators, while the direct (unexplained) effect is the remnant effect that is not explained through any of the considered mediators. An indirect effect through a mediator quantifies the amount of the total effect on the outcome that is due to the difference in distribution between the exposure groups. Thus, an indirect effect measures a </w:t>
      </w:r>
      <w:r w:rsidRPr="00AD1CB8">
        <w:rPr>
          <w:rFonts w:ascii="Arial" w:hAnsi="Arial" w:cs="Arial"/>
          <w:sz w:val="20"/>
          <w:szCs w:val="20"/>
          <w:lang w:val="en-US"/>
        </w:rPr>
        <w:lastRenderedPageBreak/>
        <w:t>combination of the predictive power of the mediator as well as how much the mediator distribution varies between exposure groups.</w:t>
      </w:r>
    </w:p>
    <w:p w14:paraId="5ED08CAC" w14:textId="77777777"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color w:val="0D0D0D"/>
          <w:sz w:val="20"/>
          <w:szCs w:val="20"/>
          <w:shd w:val="clear" w:color="auto" w:fill="FFFFFF"/>
          <w:lang w:val="en-US"/>
        </w:rPr>
        <w:t>Despite disease stage being a strong predictor of OS, there were no significant differences in its distribution between non-Western immigrant and Danish-born patients after controlling for confounders. Consequently, the estimated effect of immigration status mediated through disease stage yielded a hazard ratio of 1.</w:t>
      </w:r>
      <w:r w:rsidRPr="00AD1CB8">
        <w:rPr>
          <w:rFonts w:ascii="Arial" w:hAnsi="Arial" w:cs="Arial"/>
          <w:sz w:val="20"/>
          <w:szCs w:val="20"/>
          <w:lang w:val="en-US"/>
        </w:rPr>
        <w:t xml:space="preserve"> </w:t>
      </w:r>
      <w:r w:rsidRPr="00AD1CB8">
        <w:rPr>
          <w:rFonts w:ascii="Arial" w:hAnsi="Arial" w:cs="Arial"/>
          <w:color w:val="0D0D0D"/>
          <w:sz w:val="20"/>
          <w:szCs w:val="20"/>
          <w:shd w:val="clear" w:color="auto" w:fill="FFFFFF"/>
          <w:lang w:val="en-US"/>
        </w:rPr>
        <w:t>However, as income quartile is a predictor of OS and there were significant disparities in income distribution between non-Western immigrant and Danish-born patients, this led to an estimated indirect hazard ratio through income of 1.06</w:t>
      </w:r>
      <w:r w:rsidRPr="00AD1CB8">
        <w:rPr>
          <w:rFonts w:ascii="Arial" w:hAnsi="Arial" w:cs="Arial"/>
          <w:sz w:val="20"/>
          <w:szCs w:val="20"/>
          <w:lang w:val="en-US"/>
        </w:rPr>
        <w:t>.</w:t>
      </w:r>
      <w:r w:rsidRPr="00AD1CB8">
        <w:rPr>
          <w:rFonts w:ascii="Arial" w:hAnsi="Arial" w:cs="Arial"/>
          <w:color w:val="0D0D0D"/>
          <w:sz w:val="20"/>
          <w:szCs w:val="20"/>
          <w:shd w:val="clear" w:color="auto" w:fill="FFFFFF"/>
          <w:lang w:val="en-US"/>
        </w:rPr>
        <w:t xml:space="preserve"> Since exposure can affect the mediators differently, the effects may not always align. Some effects may lead to better OS for non-Western immigrant patients, while others may result in inferior OS compared to Danish-born patients.</w:t>
      </w:r>
      <w:r w:rsidRPr="00AD1CB8">
        <w:rPr>
          <w:rFonts w:ascii="Arial" w:hAnsi="Arial" w:cs="Arial"/>
          <w:sz w:val="20"/>
          <w:szCs w:val="20"/>
          <w:lang w:val="en-US"/>
        </w:rPr>
        <w:t xml:space="preserve"> </w:t>
      </w:r>
      <w:r w:rsidRPr="00AD1CB8">
        <w:rPr>
          <w:rFonts w:ascii="Arial" w:hAnsi="Arial" w:cs="Arial"/>
          <w:color w:val="0D0D0D"/>
          <w:sz w:val="20"/>
          <w:szCs w:val="20"/>
          <w:shd w:val="clear" w:color="auto" w:fill="FFFFFF"/>
          <w:lang w:val="en-US"/>
        </w:rPr>
        <w:t>Regardless of whether the direct effect and indirect effects align or oppose each other, the total causal effect is determined by multiplying the hazard ratios for each indirect effect and the direct effect.</w:t>
      </w:r>
      <w:r w:rsidRPr="00AD1CB8">
        <w:rPr>
          <w:rFonts w:ascii="Arial" w:hAnsi="Arial" w:cs="Arial"/>
          <w:sz w:val="20"/>
          <w:szCs w:val="20"/>
          <w:lang w:val="en-US"/>
        </w:rPr>
        <w:t xml:space="preserve"> </w:t>
      </w:r>
    </w:p>
    <w:p w14:paraId="01B1962E" w14:textId="77777777"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color w:val="0D0D0D"/>
          <w:sz w:val="20"/>
          <w:szCs w:val="20"/>
          <w:shd w:val="clear" w:color="auto" w:fill="FFFFFF"/>
          <w:lang w:val="en-US"/>
        </w:rPr>
        <w:t>In this study, although the direct effect was significant, no total causal effect was observed due to its counteraction by the indirect effects mediated through ECOG PS and income.</w:t>
      </w:r>
    </w:p>
    <w:p w14:paraId="14DB0136" w14:textId="282A9272" w:rsidR="0049558D" w:rsidRPr="00AD1CB8" w:rsidRDefault="00901F25" w:rsidP="0049558D">
      <w:pPr>
        <w:pStyle w:val="NormalWeb"/>
        <w:spacing w:line="480" w:lineRule="auto"/>
        <w:jc w:val="both"/>
        <w:rPr>
          <w:rFonts w:ascii="Arial" w:hAnsi="Arial" w:cs="Arial"/>
          <w:b/>
          <w:bCs/>
          <w:sz w:val="32"/>
          <w:szCs w:val="32"/>
          <w:lang w:val="en-US"/>
        </w:rPr>
      </w:pPr>
      <w:r w:rsidRPr="00901F25">
        <w:rPr>
          <w:rFonts w:ascii="Arial" w:hAnsi="Arial" w:cs="Arial"/>
          <w:b/>
          <w:bCs/>
          <w:sz w:val="32"/>
          <w:szCs w:val="32"/>
          <w:lang w:val="en-US"/>
        </w:rPr>
        <w:t>Supplementary</w:t>
      </w:r>
      <w:r w:rsidR="0049558D" w:rsidRPr="00AD1CB8">
        <w:rPr>
          <w:rFonts w:ascii="Arial" w:hAnsi="Arial" w:cs="Arial"/>
          <w:b/>
          <w:bCs/>
          <w:sz w:val="32"/>
          <w:szCs w:val="32"/>
          <w:lang w:val="en-US"/>
        </w:rPr>
        <w:t>, Data Sources</w:t>
      </w:r>
    </w:p>
    <w:p w14:paraId="30CA2553" w14:textId="09D62F86"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sz w:val="20"/>
          <w:szCs w:val="20"/>
          <w:lang w:val="en-US"/>
        </w:rPr>
        <w:t xml:space="preserve">The Danish Civil Registration System </w:t>
      </w:r>
      <w:r w:rsidRPr="00AD1CB8">
        <w:rPr>
          <w:rFonts w:ascii="Arial" w:hAnsi="Arial" w:cs="Arial"/>
          <w:sz w:val="20"/>
          <w:szCs w:val="20"/>
          <w:lang w:val="en-US"/>
        </w:rPr>
        <w:fldChar w:fldCharType="begin" w:fldLock="1"/>
      </w:r>
      <w:r w:rsidR="004113CE">
        <w:rPr>
          <w:rFonts w:ascii="Arial" w:hAnsi="Arial" w:cs="Arial"/>
          <w:sz w:val="20"/>
          <w:szCs w:val="20"/>
          <w:lang w:val="en-US"/>
        </w:rPr>
        <w:instrText>ADDIN CSL_CITATION {"citationItems":[{"id":"ITEM-1","itemData":{"DOI":"10.1007/s10654-014-9930-3","ISSN":"0393-2990","author":[{"dropping-particle":"","family":"Schmidt","given":"Morten","non-dropping-particle":"","parse-names":false,"suffix":""},{"dropping-particle":"","family":"Pedersen","given":"Lars","non-dropping-particle":"","parse-names":false,"suffix":""},{"dropping-particle":"","family":"Sørensen","given":"Henrik Toft","non-dropping-particle":"","parse-names":false,"suffix":""}],"container-title":"European Journal of Epidemiology","id":"ITEM-1","issue":"8","issued":{"date-parts":[["2014","8","26"]]},"page":"541-549","title":"The Danish Civil Registration System as a tool in epidemiology","type":"article-journal","volume":"29"},"uris":["http://www.mendeley.com/documents/?uuid=61ad58f9-2677-31da-b25d-2da30bc15983"]}],"mendeley":{"formattedCitation":"&lt;sup&gt;3&lt;/sup&gt;","plainTextFormattedCitation":"3","previouslyFormattedCitation":"(3)"},"properties":{"noteIndex":0},"schema":"https://github.com/citation-style-language/schema/raw/master/csl-citation.json"}</w:instrText>
      </w:r>
      <w:r w:rsidRPr="00AD1CB8">
        <w:rPr>
          <w:rFonts w:ascii="Arial" w:hAnsi="Arial" w:cs="Arial"/>
          <w:sz w:val="20"/>
          <w:szCs w:val="20"/>
          <w:lang w:val="en-US"/>
        </w:rPr>
        <w:fldChar w:fldCharType="separate"/>
      </w:r>
      <w:r w:rsidR="004113CE" w:rsidRPr="004113CE">
        <w:rPr>
          <w:rFonts w:ascii="Arial" w:hAnsi="Arial" w:cs="Arial"/>
          <w:noProof/>
          <w:sz w:val="20"/>
          <w:szCs w:val="20"/>
          <w:vertAlign w:val="superscript"/>
          <w:lang w:val="en-US"/>
        </w:rPr>
        <w:t>3</w:t>
      </w:r>
      <w:r w:rsidRPr="00AD1CB8">
        <w:rPr>
          <w:rFonts w:ascii="Arial" w:hAnsi="Arial" w:cs="Arial"/>
          <w:sz w:val="20"/>
          <w:szCs w:val="20"/>
          <w:lang w:val="en-US"/>
        </w:rPr>
        <w:fldChar w:fldCharType="end"/>
      </w:r>
      <w:r w:rsidRPr="00AD1CB8">
        <w:rPr>
          <w:rFonts w:ascii="Arial" w:hAnsi="Arial" w:cs="Arial"/>
          <w:sz w:val="20"/>
          <w:szCs w:val="20"/>
          <w:lang w:val="en-US"/>
        </w:rPr>
        <w:t xml:space="preserve"> was used to identify patients across registers using a unique 10-digit social security number, as well as information on emigration, country of origin, and time of death.</w:t>
      </w:r>
    </w:p>
    <w:p w14:paraId="5606AE2D" w14:textId="220D8387"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color w:val="212121"/>
          <w:sz w:val="20"/>
          <w:szCs w:val="20"/>
          <w:shd w:val="clear" w:color="auto" w:fill="FFFFFF"/>
          <w:lang w:val="en-US"/>
        </w:rPr>
        <w:t xml:space="preserve">The Danish DREAM database </w:t>
      </w:r>
      <w:r w:rsidRPr="00AD1CB8">
        <w:rPr>
          <w:rFonts w:ascii="Arial" w:hAnsi="Arial" w:cs="Arial"/>
          <w:sz w:val="20"/>
          <w:szCs w:val="20"/>
          <w:lang w:val="en-US"/>
        </w:rPr>
        <w:fldChar w:fldCharType="begin" w:fldLock="1"/>
      </w:r>
      <w:r w:rsidR="004113CE">
        <w:rPr>
          <w:rFonts w:ascii="Arial" w:hAnsi="Arial" w:cs="Arial"/>
          <w:sz w:val="20"/>
          <w:szCs w:val="20"/>
          <w:lang w:val="en-US"/>
        </w:rPr>
        <w:instrText>ADDIN CSL_CITATION {"citationItems":[{"id":"ITEM-1","itemData":{"DOI":"10.1080/14034940701271882","ISSN":"1403-4948","abstract":"&lt;p&gt;Background: Social consequences of disease may be subject to register based follow-up. A Danish database, DREAM, allows weekly follow-up of any public transfer payment. This study aimed to evaluate the feasibility of the register for use in public health research. Material and methods: The DREAM database includes information on all public transfer payments administered by Danish ministries, municipalities, and Statistics Denmark for all Danish citizens on a weekly basis since 1991. The DREAM database was compared with self-reported information on sources of income in a population survey from 2001 with about 5,000 participants. Results: According to DREAM, 80.2% of respondents had received some kind of transfer income since 1991. For the week they filled in the questionnaire, 9.0% had a record of labour-market-related benefit (unemployment benefit, social assistance, wage subsidy), 6.4% a health-related benefit (sickness benefit, vocational rehabilitation allowance, salary from subsidized jobs for persons with limited work capacity, anticipatory pension), 10.1% a voluntary retirement pension, while 74.4% had no record of transfer payment for that week. The predictive value of DREAM was 74.8% for health-related transfer payment and 98.2% for self-support. Among persons with a record of sickness benefit, 52.4% reported no transfer payment. Conclusion: The DREAM database is feasible for follow-up of social and economic consequences of disease. Respondents may be unaware of payments transferred by the public authorities to the employer, and in such cases DREAM may be the best source of information. The database is useful for public health research, but may also be useful for socioeconomic analyses of selection bias and dropout from other studies.&lt;/p&gt;","author":[{"dropping-particle":"","family":"Hjollund","given":"Niels Henrik","non-dropping-particle":"","parse-names":false,"suffix":""},{"dropping-particle":"","family":"Larsen","given":"Finn Breinholt","non-dropping-particle":"","parse-names":false,"suffix":""},{"dropping-particle":"","family":"Andersen","given":"Johan Hvd","non-dropping-particle":"","parse-names":false,"suffix":""}],"container-title":"Scandinavian Journal of Public Health","id":"ITEM-1","issue":"5","issued":{"date-parts":[["2007","10","5"]]},"page":"497-502","title":"Register-based follow-up of social benefits and other transfer payments: Accuracy and degree of completeness in a Danish interdepartmental administrative database compared with a population-based survey","type":"article-journal","volume":"35"},"uris":["http://www.mendeley.com/documents/?uuid=17b85188-2087-37c0-8fc2-c592254f4e34"]}],"mendeley":{"formattedCitation":"&lt;sup&gt;4&lt;/sup&gt;","plainTextFormattedCitation":"4","previouslyFormattedCitation":"(4)"},"properties":{"noteIndex":0},"schema":"https://github.com/citation-style-language/schema/raw/master/csl-citation.json"}</w:instrText>
      </w:r>
      <w:r w:rsidRPr="00AD1CB8">
        <w:rPr>
          <w:rFonts w:ascii="Arial" w:hAnsi="Arial" w:cs="Arial"/>
          <w:sz w:val="20"/>
          <w:szCs w:val="20"/>
          <w:lang w:val="en-US"/>
        </w:rPr>
        <w:fldChar w:fldCharType="separate"/>
      </w:r>
      <w:r w:rsidR="004113CE" w:rsidRPr="004113CE">
        <w:rPr>
          <w:rFonts w:ascii="Arial" w:hAnsi="Arial" w:cs="Arial"/>
          <w:noProof/>
          <w:sz w:val="20"/>
          <w:szCs w:val="20"/>
          <w:vertAlign w:val="superscript"/>
          <w:lang w:val="en-US"/>
        </w:rPr>
        <w:t>4</w:t>
      </w:r>
      <w:r w:rsidRPr="00AD1CB8">
        <w:rPr>
          <w:rFonts w:ascii="Arial" w:hAnsi="Arial" w:cs="Arial"/>
          <w:sz w:val="20"/>
          <w:szCs w:val="20"/>
          <w:lang w:val="en-US"/>
        </w:rPr>
        <w:fldChar w:fldCharType="end"/>
      </w:r>
      <w:r w:rsidRPr="00AD1CB8">
        <w:rPr>
          <w:rFonts w:ascii="Arial" w:hAnsi="Arial" w:cs="Arial"/>
          <w:sz w:val="20"/>
          <w:szCs w:val="20"/>
          <w:lang w:val="en-US"/>
        </w:rPr>
        <w:t xml:space="preserve"> was used to obtain the </w:t>
      </w:r>
      <w:bookmarkStart w:id="0" w:name="_Hlk164972343"/>
      <w:r w:rsidRPr="00AD1CB8">
        <w:rPr>
          <w:rFonts w:ascii="Arial" w:hAnsi="Arial" w:cs="Arial"/>
          <w:sz w:val="20"/>
          <w:szCs w:val="20"/>
          <w:lang w:val="en-US"/>
        </w:rPr>
        <w:t xml:space="preserve">employment </w:t>
      </w:r>
      <w:bookmarkEnd w:id="0"/>
      <w:r w:rsidRPr="00AD1CB8">
        <w:rPr>
          <w:rFonts w:ascii="Arial" w:hAnsi="Arial" w:cs="Arial"/>
          <w:sz w:val="20"/>
          <w:szCs w:val="20"/>
          <w:lang w:val="en-US"/>
        </w:rPr>
        <w:t>status of the patients one year prior to lymphoma diagnosis</w:t>
      </w:r>
    </w:p>
    <w:p w14:paraId="5954EA0F" w14:textId="560F8637" w:rsidR="0049558D" w:rsidRPr="00AD1CB8" w:rsidRDefault="0049558D" w:rsidP="0049558D">
      <w:pPr>
        <w:pStyle w:val="NormalWeb"/>
        <w:spacing w:line="480" w:lineRule="auto"/>
        <w:jc w:val="both"/>
        <w:rPr>
          <w:rFonts w:ascii="Arial" w:hAnsi="Arial" w:cs="Arial"/>
          <w:sz w:val="20"/>
          <w:szCs w:val="20"/>
          <w:lang w:val="en-US"/>
        </w:rPr>
      </w:pPr>
      <w:r w:rsidRPr="00AD1CB8">
        <w:rPr>
          <w:rFonts w:ascii="Arial" w:hAnsi="Arial" w:cs="Arial"/>
          <w:sz w:val="20"/>
          <w:szCs w:val="20"/>
          <w:lang w:val="en-US"/>
        </w:rPr>
        <w:t xml:space="preserve">The Danish Salary Register </w:t>
      </w:r>
      <w:r w:rsidRPr="00AD1CB8">
        <w:rPr>
          <w:rFonts w:ascii="Arial" w:hAnsi="Arial" w:cs="Arial"/>
          <w:sz w:val="20"/>
          <w:szCs w:val="20"/>
          <w:lang w:val="en-US"/>
        </w:rPr>
        <w:fldChar w:fldCharType="begin" w:fldLock="1"/>
      </w:r>
      <w:r w:rsidR="004113CE">
        <w:rPr>
          <w:rFonts w:ascii="Arial" w:hAnsi="Arial" w:cs="Arial"/>
          <w:sz w:val="20"/>
          <w:szCs w:val="20"/>
          <w:lang w:val="en-US"/>
        </w:rPr>
        <w:instrText>ADDIN CSL_CITATION {"citationItems":[{"id":"ITEM-1","itemData":{"DOI":"10.1177/1403494811405098","ISSN":"1403-4948","abstract":"&lt;p&gt;Introduction: The Income Statistics Register provided by Statistics Denmark is the key register describing the income composition of the entire Danish population starting in 1970. Content: The register contains more than 160 variables including salaries, entrepreneurial income, taxes, public transfer payments, capital income, private pension contributions, and payouts. In addition, Statistics Denmark provide more detailed registers on specific income transfers, including sickness benefit, old age pension, disability pension, and cash and unemployment benefits. Validity and coverage: The income data are generally of high quality, but for variables not relevant for administrators the quality may be lower. Conclusion: The registers on income and transfer payments include many variables on the income composition.&lt;/p&gt;","author":[{"dropping-particle":"","family":"Baadsgaard","given":"Mikkel","non-dropping-particle":"","parse-names":false,"suffix":""},{"dropping-particle":"","family":"Quitzau","given":"Jarl","non-dropping-particle":"","parse-names":false,"suffix":""}],"container-title":"Scandinavian Journal of Public Health","id":"ITEM-1","issue":"7_suppl","issued":{"date-parts":[["2011","7","20"]]},"page":"103-105","title":"Danish registers on personal income and transfer payments","type":"article-journal","volume":"39"},"uris":["http://www.mendeley.com/documents/?uuid=1c530313-3279-3fc5-8ec0-aa85e7bc8815"]}],"mendeley":{"formattedCitation":"&lt;sup&gt;5&lt;/sup&gt;","plainTextFormattedCitation":"5","previouslyFormattedCitation":"(5)"},"properties":{"noteIndex":0},"schema":"https://github.com/citation-style-language/schema/raw/master/csl-citation.json"}</w:instrText>
      </w:r>
      <w:r w:rsidRPr="00AD1CB8">
        <w:rPr>
          <w:rFonts w:ascii="Arial" w:hAnsi="Arial" w:cs="Arial"/>
          <w:sz w:val="20"/>
          <w:szCs w:val="20"/>
          <w:lang w:val="en-US"/>
        </w:rPr>
        <w:fldChar w:fldCharType="separate"/>
      </w:r>
      <w:r w:rsidR="004113CE" w:rsidRPr="004113CE">
        <w:rPr>
          <w:rFonts w:ascii="Arial" w:hAnsi="Arial" w:cs="Arial"/>
          <w:noProof/>
          <w:sz w:val="20"/>
          <w:szCs w:val="20"/>
          <w:vertAlign w:val="superscript"/>
          <w:lang w:val="en-US"/>
        </w:rPr>
        <w:t>5</w:t>
      </w:r>
      <w:r w:rsidRPr="00AD1CB8">
        <w:rPr>
          <w:rFonts w:ascii="Arial" w:hAnsi="Arial" w:cs="Arial"/>
          <w:sz w:val="20"/>
          <w:szCs w:val="20"/>
          <w:lang w:val="en-US"/>
        </w:rPr>
        <w:fldChar w:fldCharType="end"/>
      </w:r>
      <w:r w:rsidRPr="00AD1CB8">
        <w:rPr>
          <w:rFonts w:ascii="Arial" w:hAnsi="Arial" w:cs="Arial"/>
          <w:sz w:val="20"/>
          <w:szCs w:val="20"/>
          <w:lang w:val="en-US"/>
        </w:rPr>
        <w:t xml:space="preserve"> was used to categorize patients into income quartiles based on their age and standardized household income one year prior to lymphoma diagnosis.</w:t>
      </w:r>
    </w:p>
    <w:p w14:paraId="29A42900" w14:textId="7C31EAC6" w:rsidR="0049558D" w:rsidRPr="00AD1CB8" w:rsidRDefault="0049558D" w:rsidP="0049558D">
      <w:pPr>
        <w:pStyle w:val="pf0"/>
        <w:spacing w:line="480" w:lineRule="auto"/>
        <w:jc w:val="both"/>
        <w:rPr>
          <w:rFonts w:ascii="Arial" w:hAnsi="Arial" w:cs="Arial"/>
          <w:sz w:val="20"/>
          <w:szCs w:val="20"/>
          <w:lang w:val="en-US"/>
        </w:rPr>
      </w:pPr>
      <w:r w:rsidRPr="00AD1CB8">
        <w:rPr>
          <w:rFonts w:ascii="Arial" w:hAnsi="Arial" w:cs="Arial"/>
          <w:sz w:val="20"/>
          <w:szCs w:val="20"/>
          <w:lang w:val="en-US"/>
        </w:rPr>
        <w:lastRenderedPageBreak/>
        <w:t xml:space="preserve">The Danish Education Registry </w:t>
      </w:r>
      <w:r w:rsidRPr="00AD1CB8">
        <w:rPr>
          <w:rFonts w:ascii="Arial" w:hAnsi="Arial" w:cs="Arial"/>
          <w:sz w:val="20"/>
          <w:szCs w:val="20"/>
          <w:lang w:val="en-US"/>
        </w:rPr>
        <w:fldChar w:fldCharType="begin" w:fldLock="1"/>
      </w:r>
      <w:r w:rsidR="004113CE">
        <w:rPr>
          <w:rFonts w:ascii="Arial" w:hAnsi="Arial" w:cs="Arial"/>
          <w:sz w:val="20"/>
          <w:szCs w:val="20"/>
          <w:lang w:val="en-US"/>
        </w:rPr>
        <w:instrText>ADDIN CSL_CITATION {"citationItems":[{"id":"ITEM-1","itemData":{"DOI":"10.1177/1403494810394715","ISSN":"1403-4948","abstract":"&lt;p&gt;Introduction: Collection of systematic information on education is a long-established practice in Denmark. Content: We describe the education registers available through Statistics Denmark. In particular, we describe the most widely used register: the Population Education Register (PER). Validity and coverage: In 2008, 96% of the Danish population aged 15—69 have non-missing education information in PER. For the immigrant population born in the same cohorts the coverage is 85—90%, which is a high coverage in an international context. Conclusion: The validity and coverage of the Danish education registers are very high.&lt;/p&gt;","author":[{"dropping-particle":"","family":"Jensen","given":"Vibeke M.","non-dropping-particle":"","parse-names":false,"suffix":""},{"dropping-particle":"","family":"Rasmussen","given":"Astrid W.","non-dropping-particle":"","parse-names":false,"suffix":""}],"container-title":"Scandinavian Journal of Public Health","id":"ITEM-1","issue":"7_suppl","issued":{"date-parts":[["2011","7","20"]]},"page":"91-94","title":"Danish education registers","type":"article-journal","volume":"39"},"uris":["http://www.mendeley.com/documents/?uuid=26154d71-44a5-3dfc-a9a4-da1186d42ed2"]}],"mendeley":{"formattedCitation":"&lt;sup&gt;6&lt;/sup&gt;","plainTextFormattedCitation":"6","previouslyFormattedCitation":"(6)"},"properties":{"noteIndex":0},"schema":"https://github.com/citation-style-language/schema/raw/master/csl-citation.json"}</w:instrText>
      </w:r>
      <w:r w:rsidRPr="00AD1CB8">
        <w:rPr>
          <w:rFonts w:ascii="Arial" w:hAnsi="Arial" w:cs="Arial"/>
          <w:sz w:val="20"/>
          <w:szCs w:val="20"/>
          <w:lang w:val="en-US"/>
        </w:rPr>
        <w:fldChar w:fldCharType="separate"/>
      </w:r>
      <w:r w:rsidR="004113CE" w:rsidRPr="004113CE">
        <w:rPr>
          <w:rFonts w:ascii="Arial" w:hAnsi="Arial" w:cs="Arial"/>
          <w:noProof/>
          <w:sz w:val="20"/>
          <w:szCs w:val="20"/>
          <w:vertAlign w:val="superscript"/>
          <w:lang w:val="en-US"/>
        </w:rPr>
        <w:t>6</w:t>
      </w:r>
      <w:r w:rsidRPr="00AD1CB8">
        <w:rPr>
          <w:rFonts w:ascii="Arial" w:hAnsi="Arial" w:cs="Arial"/>
          <w:sz w:val="20"/>
          <w:szCs w:val="20"/>
          <w:lang w:val="en-US"/>
        </w:rPr>
        <w:fldChar w:fldCharType="end"/>
      </w:r>
      <w:r w:rsidRPr="00AD1CB8">
        <w:rPr>
          <w:rFonts w:ascii="Arial" w:hAnsi="Arial" w:cs="Arial"/>
          <w:sz w:val="20"/>
          <w:szCs w:val="20"/>
          <w:lang w:val="en-US"/>
        </w:rPr>
        <w:t xml:space="preserve"> was to categorize the patients highest attained educational level as either higher (5-8) or lower (0-4) based on International Standard Classification of Education (ISCED) 2011 codes.</w:t>
      </w:r>
    </w:p>
    <w:p w14:paraId="19C5BFE4" w14:textId="1D589BBC" w:rsidR="0049558D" w:rsidRPr="00AD1CB8" w:rsidRDefault="0049558D" w:rsidP="0049558D">
      <w:pPr>
        <w:jc w:val="both"/>
        <w:rPr>
          <w:rFonts w:ascii="Arial" w:hAnsi="Arial" w:cs="Arial"/>
          <w:b/>
          <w:bCs/>
          <w:sz w:val="32"/>
          <w:szCs w:val="32"/>
          <w:lang w:val="en-US"/>
        </w:rPr>
      </w:pPr>
      <w:r w:rsidRPr="00AD1CB8">
        <w:rPr>
          <w:rFonts w:ascii="Arial" w:hAnsi="Arial" w:cs="Arial"/>
          <w:b/>
          <w:bCs/>
          <w:noProof/>
          <w:sz w:val="32"/>
          <w:szCs w:val="32"/>
          <w:lang w:val="en-US"/>
        </w:rPr>
        <w:t>References</w:t>
      </w:r>
    </w:p>
    <w:p w14:paraId="7A6469B4" w14:textId="2EDE687E" w:rsidR="004113CE" w:rsidRPr="004113CE" w:rsidRDefault="009D3707" w:rsidP="004113CE">
      <w:pPr>
        <w:widowControl w:val="0"/>
        <w:autoSpaceDE w:val="0"/>
        <w:autoSpaceDN w:val="0"/>
        <w:adjustRightInd w:val="0"/>
        <w:spacing w:before="100" w:after="100"/>
        <w:ind w:left="640" w:hanging="640"/>
        <w:rPr>
          <w:rFonts w:ascii="Arial" w:hAnsi="Arial" w:cs="Arial"/>
          <w:noProof/>
          <w:sz w:val="20"/>
          <w:szCs w:val="24"/>
        </w:rPr>
      </w:pPr>
      <w:r w:rsidRPr="00AD1CB8">
        <w:rPr>
          <w:rFonts w:ascii="Arial" w:hAnsi="Arial" w:cs="Arial"/>
          <w:sz w:val="20"/>
          <w:szCs w:val="20"/>
          <w:lang w:val="en-US"/>
        </w:rPr>
        <w:fldChar w:fldCharType="begin" w:fldLock="1"/>
      </w:r>
      <w:r w:rsidRPr="00AD1CB8">
        <w:rPr>
          <w:rFonts w:ascii="Arial" w:hAnsi="Arial" w:cs="Arial"/>
          <w:sz w:val="20"/>
          <w:szCs w:val="20"/>
          <w:lang w:val="en-US"/>
        </w:rPr>
        <w:instrText xml:space="preserve">ADDIN Mendeley Bibliography CSL_BIBLIOGRAPHY </w:instrText>
      </w:r>
      <w:r w:rsidRPr="00AD1CB8">
        <w:rPr>
          <w:rFonts w:ascii="Arial" w:hAnsi="Arial" w:cs="Arial"/>
          <w:sz w:val="20"/>
          <w:szCs w:val="20"/>
          <w:lang w:val="en-US"/>
        </w:rPr>
        <w:fldChar w:fldCharType="separate"/>
      </w:r>
      <w:r w:rsidR="004113CE" w:rsidRPr="004113CE">
        <w:rPr>
          <w:rFonts w:ascii="Arial" w:hAnsi="Arial" w:cs="Arial"/>
          <w:noProof/>
          <w:sz w:val="20"/>
          <w:szCs w:val="24"/>
        </w:rPr>
        <w:t>1.</w:t>
      </w:r>
      <w:r w:rsidR="004113CE" w:rsidRPr="004113CE">
        <w:rPr>
          <w:rFonts w:ascii="Arial" w:hAnsi="Arial" w:cs="Arial"/>
          <w:noProof/>
          <w:sz w:val="20"/>
          <w:szCs w:val="24"/>
        </w:rPr>
        <w:tab/>
        <w:t>Immigrants and their descendants - Statistics Denmark [Internet]. [cited 2024 April 23].  Available from: https://www.dst.dk/en/Statistik/emner/borgere/befolkning/indvandrere-og-efterkommere.</w:t>
      </w:r>
    </w:p>
    <w:p w14:paraId="79381C91" w14:textId="77777777" w:rsidR="004113CE" w:rsidRPr="004113CE" w:rsidRDefault="004113CE" w:rsidP="004113CE">
      <w:pPr>
        <w:widowControl w:val="0"/>
        <w:autoSpaceDE w:val="0"/>
        <w:autoSpaceDN w:val="0"/>
        <w:adjustRightInd w:val="0"/>
        <w:spacing w:before="100" w:after="100"/>
        <w:ind w:left="640" w:hanging="640"/>
        <w:rPr>
          <w:rFonts w:ascii="Arial" w:hAnsi="Arial" w:cs="Arial"/>
          <w:noProof/>
          <w:sz w:val="20"/>
          <w:szCs w:val="24"/>
        </w:rPr>
      </w:pPr>
      <w:r w:rsidRPr="004113CE">
        <w:rPr>
          <w:rFonts w:ascii="Arial" w:hAnsi="Arial" w:cs="Arial"/>
          <w:noProof/>
          <w:sz w:val="20"/>
          <w:szCs w:val="24"/>
        </w:rPr>
        <w:t>2.</w:t>
      </w:r>
      <w:r w:rsidRPr="004113CE">
        <w:rPr>
          <w:rFonts w:ascii="Arial" w:hAnsi="Arial" w:cs="Arial"/>
          <w:noProof/>
          <w:sz w:val="20"/>
          <w:szCs w:val="24"/>
        </w:rPr>
        <w:tab/>
        <w:t xml:space="preserve">Lange T, Rasmussen M, Thygesen LC. Assessing natural direct and indirect effects through multiple pathways. </w:t>
      </w:r>
      <w:r w:rsidRPr="004113CE">
        <w:rPr>
          <w:rFonts w:ascii="Arial" w:hAnsi="Arial" w:cs="Arial"/>
          <w:i/>
          <w:iCs/>
          <w:noProof/>
          <w:sz w:val="20"/>
          <w:szCs w:val="24"/>
        </w:rPr>
        <w:t>Am J Epidemiol</w:t>
      </w:r>
      <w:r w:rsidRPr="004113CE">
        <w:rPr>
          <w:rFonts w:ascii="Arial" w:hAnsi="Arial" w:cs="Arial"/>
          <w:noProof/>
          <w:sz w:val="20"/>
          <w:szCs w:val="24"/>
        </w:rPr>
        <w:t>. 2014;179(4):513-518. doi:10.1093/aje/kwt270</w:t>
      </w:r>
    </w:p>
    <w:p w14:paraId="78ACE261" w14:textId="77777777" w:rsidR="004113CE" w:rsidRPr="004113CE" w:rsidRDefault="004113CE" w:rsidP="004113CE">
      <w:pPr>
        <w:widowControl w:val="0"/>
        <w:autoSpaceDE w:val="0"/>
        <w:autoSpaceDN w:val="0"/>
        <w:adjustRightInd w:val="0"/>
        <w:spacing w:before="100" w:after="100"/>
        <w:ind w:left="640" w:hanging="640"/>
        <w:rPr>
          <w:rFonts w:ascii="Arial" w:hAnsi="Arial" w:cs="Arial"/>
          <w:noProof/>
          <w:sz w:val="20"/>
          <w:szCs w:val="24"/>
        </w:rPr>
      </w:pPr>
      <w:r w:rsidRPr="004113CE">
        <w:rPr>
          <w:rFonts w:ascii="Arial" w:hAnsi="Arial" w:cs="Arial"/>
          <w:noProof/>
          <w:sz w:val="20"/>
          <w:szCs w:val="24"/>
        </w:rPr>
        <w:t>3.</w:t>
      </w:r>
      <w:r w:rsidRPr="004113CE">
        <w:rPr>
          <w:rFonts w:ascii="Arial" w:hAnsi="Arial" w:cs="Arial"/>
          <w:noProof/>
          <w:sz w:val="20"/>
          <w:szCs w:val="24"/>
        </w:rPr>
        <w:tab/>
        <w:t xml:space="preserve">Schmidt M, Pedersen L, Sørensen HT. The Danish Civil Registration System as a tool in epidemiology. </w:t>
      </w:r>
      <w:r w:rsidRPr="004113CE">
        <w:rPr>
          <w:rFonts w:ascii="Arial" w:hAnsi="Arial" w:cs="Arial"/>
          <w:i/>
          <w:iCs/>
          <w:noProof/>
          <w:sz w:val="20"/>
          <w:szCs w:val="24"/>
        </w:rPr>
        <w:t>Eur J Epidemiol</w:t>
      </w:r>
      <w:r w:rsidRPr="004113CE">
        <w:rPr>
          <w:rFonts w:ascii="Arial" w:hAnsi="Arial" w:cs="Arial"/>
          <w:noProof/>
          <w:sz w:val="20"/>
          <w:szCs w:val="24"/>
        </w:rPr>
        <w:t>. 2014;29(8):541-549. doi:10.1007/s10654-014-9930-3</w:t>
      </w:r>
    </w:p>
    <w:p w14:paraId="1B759F3F" w14:textId="77777777" w:rsidR="004113CE" w:rsidRPr="004113CE" w:rsidRDefault="004113CE" w:rsidP="004113CE">
      <w:pPr>
        <w:widowControl w:val="0"/>
        <w:autoSpaceDE w:val="0"/>
        <w:autoSpaceDN w:val="0"/>
        <w:adjustRightInd w:val="0"/>
        <w:spacing w:before="100" w:after="100"/>
        <w:ind w:left="640" w:hanging="640"/>
        <w:rPr>
          <w:rFonts w:ascii="Arial" w:hAnsi="Arial" w:cs="Arial"/>
          <w:noProof/>
          <w:sz w:val="20"/>
          <w:szCs w:val="24"/>
        </w:rPr>
      </w:pPr>
      <w:r w:rsidRPr="004113CE">
        <w:rPr>
          <w:rFonts w:ascii="Arial" w:hAnsi="Arial" w:cs="Arial"/>
          <w:noProof/>
          <w:sz w:val="20"/>
          <w:szCs w:val="24"/>
        </w:rPr>
        <w:t>4.</w:t>
      </w:r>
      <w:r w:rsidRPr="004113CE">
        <w:rPr>
          <w:rFonts w:ascii="Arial" w:hAnsi="Arial" w:cs="Arial"/>
          <w:noProof/>
          <w:sz w:val="20"/>
          <w:szCs w:val="24"/>
        </w:rPr>
        <w:tab/>
        <w:t xml:space="preserve">Hjollund NH, Larsen FB, Andersen JH. Register-based follow-up of social benefits and other transfer payments: Accuracy and degree of completeness in a Danish interdepartmental administrative database compared with a population-based survey. </w:t>
      </w:r>
      <w:r w:rsidRPr="004113CE">
        <w:rPr>
          <w:rFonts w:ascii="Arial" w:hAnsi="Arial" w:cs="Arial"/>
          <w:i/>
          <w:iCs/>
          <w:noProof/>
          <w:sz w:val="20"/>
          <w:szCs w:val="24"/>
        </w:rPr>
        <w:t>Scand J Public Health</w:t>
      </w:r>
      <w:r w:rsidRPr="004113CE">
        <w:rPr>
          <w:rFonts w:ascii="Arial" w:hAnsi="Arial" w:cs="Arial"/>
          <w:noProof/>
          <w:sz w:val="20"/>
          <w:szCs w:val="24"/>
        </w:rPr>
        <w:t>. 2007;35(5):497-502. doi:10.1080/14034940701271882</w:t>
      </w:r>
    </w:p>
    <w:p w14:paraId="0A6AFF0B" w14:textId="77777777" w:rsidR="004113CE" w:rsidRPr="004113CE" w:rsidRDefault="004113CE" w:rsidP="004113CE">
      <w:pPr>
        <w:widowControl w:val="0"/>
        <w:autoSpaceDE w:val="0"/>
        <w:autoSpaceDN w:val="0"/>
        <w:adjustRightInd w:val="0"/>
        <w:spacing w:before="100" w:after="100"/>
        <w:ind w:left="640" w:hanging="640"/>
        <w:rPr>
          <w:rFonts w:ascii="Arial" w:hAnsi="Arial" w:cs="Arial"/>
          <w:noProof/>
          <w:sz w:val="20"/>
          <w:szCs w:val="24"/>
        </w:rPr>
      </w:pPr>
      <w:r w:rsidRPr="004113CE">
        <w:rPr>
          <w:rFonts w:ascii="Arial" w:hAnsi="Arial" w:cs="Arial"/>
          <w:noProof/>
          <w:sz w:val="20"/>
          <w:szCs w:val="24"/>
        </w:rPr>
        <w:t>5.</w:t>
      </w:r>
      <w:r w:rsidRPr="004113CE">
        <w:rPr>
          <w:rFonts w:ascii="Arial" w:hAnsi="Arial" w:cs="Arial"/>
          <w:noProof/>
          <w:sz w:val="20"/>
          <w:szCs w:val="24"/>
        </w:rPr>
        <w:tab/>
        <w:t xml:space="preserve">Baadsgaard M, Quitzau J. Danish registers on personal income and transfer payments. </w:t>
      </w:r>
      <w:r w:rsidRPr="004113CE">
        <w:rPr>
          <w:rFonts w:ascii="Arial" w:hAnsi="Arial" w:cs="Arial"/>
          <w:i/>
          <w:iCs/>
          <w:noProof/>
          <w:sz w:val="20"/>
          <w:szCs w:val="24"/>
        </w:rPr>
        <w:t>Scand J Public Health</w:t>
      </w:r>
      <w:r w:rsidRPr="004113CE">
        <w:rPr>
          <w:rFonts w:ascii="Arial" w:hAnsi="Arial" w:cs="Arial"/>
          <w:noProof/>
          <w:sz w:val="20"/>
          <w:szCs w:val="24"/>
        </w:rPr>
        <w:t>. 2011;39(7_suppl):103-105. doi:10.1177/1403494811405098</w:t>
      </w:r>
    </w:p>
    <w:p w14:paraId="45C70397" w14:textId="77777777" w:rsidR="004113CE" w:rsidRPr="004113CE" w:rsidRDefault="004113CE" w:rsidP="004113CE">
      <w:pPr>
        <w:widowControl w:val="0"/>
        <w:autoSpaceDE w:val="0"/>
        <w:autoSpaceDN w:val="0"/>
        <w:adjustRightInd w:val="0"/>
        <w:spacing w:before="100" w:after="100"/>
        <w:ind w:left="640" w:hanging="640"/>
        <w:rPr>
          <w:rFonts w:ascii="Arial" w:hAnsi="Arial" w:cs="Arial"/>
          <w:noProof/>
          <w:sz w:val="20"/>
        </w:rPr>
      </w:pPr>
      <w:r w:rsidRPr="004113CE">
        <w:rPr>
          <w:rFonts w:ascii="Arial" w:hAnsi="Arial" w:cs="Arial"/>
          <w:noProof/>
          <w:sz w:val="20"/>
          <w:szCs w:val="24"/>
        </w:rPr>
        <w:t>6.</w:t>
      </w:r>
      <w:r w:rsidRPr="004113CE">
        <w:rPr>
          <w:rFonts w:ascii="Arial" w:hAnsi="Arial" w:cs="Arial"/>
          <w:noProof/>
          <w:sz w:val="20"/>
          <w:szCs w:val="24"/>
        </w:rPr>
        <w:tab/>
        <w:t xml:space="preserve">Jensen VM, Rasmussen AW. Danish education registers. </w:t>
      </w:r>
      <w:r w:rsidRPr="004113CE">
        <w:rPr>
          <w:rFonts w:ascii="Arial" w:hAnsi="Arial" w:cs="Arial"/>
          <w:i/>
          <w:iCs/>
          <w:noProof/>
          <w:sz w:val="20"/>
          <w:szCs w:val="24"/>
        </w:rPr>
        <w:t>Scand J Public Health</w:t>
      </w:r>
      <w:r w:rsidRPr="004113CE">
        <w:rPr>
          <w:rFonts w:ascii="Arial" w:hAnsi="Arial" w:cs="Arial"/>
          <w:noProof/>
          <w:sz w:val="20"/>
          <w:szCs w:val="24"/>
        </w:rPr>
        <w:t>. 2011;39(7_suppl):91-94. doi:10.1177/1403494810394715</w:t>
      </w:r>
    </w:p>
    <w:p w14:paraId="5736964F" w14:textId="1BD1AEA0" w:rsidR="00B22016" w:rsidRPr="00AD1CB8" w:rsidRDefault="009D3707" w:rsidP="003B4EF8">
      <w:pPr>
        <w:widowControl w:val="0"/>
        <w:autoSpaceDE w:val="0"/>
        <w:autoSpaceDN w:val="0"/>
        <w:adjustRightInd w:val="0"/>
        <w:spacing w:before="100" w:after="100" w:line="240" w:lineRule="auto"/>
        <w:ind w:left="640" w:hanging="640"/>
        <w:rPr>
          <w:rFonts w:ascii="Arial" w:hAnsi="Arial" w:cs="Arial"/>
          <w:sz w:val="20"/>
          <w:szCs w:val="20"/>
          <w:lang w:val="en-US"/>
        </w:rPr>
      </w:pPr>
      <w:r w:rsidRPr="00AD1CB8">
        <w:rPr>
          <w:rFonts w:ascii="Arial" w:hAnsi="Arial" w:cs="Arial"/>
          <w:sz w:val="20"/>
          <w:szCs w:val="20"/>
          <w:lang w:val="en-US"/>
        </w:rPr>
        <w:fldChar w:fldCharType="end"/>
      </w:r>
    </w:p>
    <w:p w14:paraId="7055B6D6" w14:textId="77777777" w:rsidR="00BC4926" w:rsidRPr="00AD1CB8" w:rsidRDefault="00BC4926">
      <w:pPr>
        <w:rPr>
          <w:rFonts w:ascii="Arial" w:eastAsia="Times New Roman" w:hAnsi="Arial" w:cs="Arial"/>
          <w:b/>
          <w:bCs/>
          <w:sz w:val="20"/>
          <w:szCs w:val="20"/>
          <w:lang w:val="en-US" w:eastAsia="da-DK"/>
        </w:rPr>
      </w:pPr>
      <w:r w:rsidRPr="00AD1CB8">
        <w:rPr>
          <w:rFonts w:ascii="Arial" w:hAnsi="Arial" w:cs="Arial"/>
          <w:b/>
          <w:bCs/>
          <w:sz w:val="20"/>
          <w:szCs w:val="20"/>
          <w:lang w:val="en-US"/>
        </w:rPr>
        <w:br w:type="page"/>
      </w:r>
    </w:p>
    <w:p w14:paraId="2BBA1360" w14:textId="0DCC0324" w:rsidR="00516B6E" w:rsidRPr="006E03C5" w:rsidRDefault="00516B6E" w:rsidP="00516B6E">
      <w:pPr>
        <w:pStyle w:val="NormalWeb"/>
        <w:rPr>
          <w:rFonts w:ascii="Arial" w:hAnsi="Arial" w:cs="Arial"/>
          <w:b/>
          <w:bCs/>
          <w:sz w:val="32"/>
          <w:szCs w:val="32"/>
          <w:lang w:val="en-US"/>
        </w:rPr>
      </w:pPr>
      <w:r>
        <w:rPr>
          <w:rFonts w:ascii="Arial" w:hAnsi="Arial" w:cs="Arial"/>
          <w:b/>
          <w:bCs/>
          <w:sz w:val="32"/>
          <w:szCs w:val="32"/>
          <w:lang w:val="en-US"/>
        </w:rPr>
        <w:lastRenderedPageBreak/>
        <w:t>Table</w:t>
      </w:r>
      <w:r w:rsidRPr="006E03C5">
        <w:rPr>
          <w:rFonts w:ascii="Arial" w:hAnsi="Arial" w:cs="Arial"/>
          <w:b/>
          <w:bCs/>
          <w:sz w:val="32"/>
          <w:szCs w:val="32"/>
          <w:lang w:val="en-US"/>
        </w:rPr>
        <w:t xml:space="preserve"> S1</w:t>
      </w:r>
    </w:p>
    <w:tbl>
      <w:tblPr>
        <w:tblStyle w:val="TableGrid"/>
        <w:tblW w:w="0" w:type="auto"/>
        <w:tblLook w:val="04A0" w:firstRow="1" w:lastRow="0" w:firstColumn="1" w:lastColumn="0" w:noHBand="0" w:noVBand="1"/>
      </w:tblPr>
      <w:tblGrid>
        <w:gridCol w:w="4673"/>
        <w:gridCol w:w="3821"/>
      </w:tblGrid>
      <w:tr w:rsidR="00516B6E" w:rsidRPr="00516B6E" w14:paraId="79EE1AD3" w14:textId="77777777" w:rsidTr="00901F25">
        <w:tc>
          <w:tcPr>
            <w:tcW w:w="4673" w:type="dxa"/>
          </w:tcPr>
          <w:p w14:paraId="22B94CC3" w14:textId="556876B3" w:rsidR="00516B6E" w:rsidRPr="00516B6E" w:rsidRDefault="00516B6E">
            <w:pPr>
              <w:rPr>
                <w:rFonts w:ascii="Arial" w:hAnsi="Arial" w:cs="Arial"/>
                <w:b/>
                <w:bCs/>
                <w:sz w:val="20"/>
                <w:szCs w:val="20"/>
                <w:lang w:val="en-US"/>
              </w:rPr>
            </w:pPr>
            <w:r>
              <w:rPr>
                <w:rFonts w:ascii="Arial" w:hAnsi="Arial" w:cs="Arial"/>
                <w:b/>
                <w:bCs/>
                <w:sz w:val="20"/>
                <w:szCs w:val="20"/>
                <w:lang w:val="en-US"/>
              </w:rPr>
              <w:t>Effect type</w:t>
            </w:r>
          </w:p>
        </w:tc>
        <w:tc>
          <w:tcPr>
            <w:tcW w:w="3821" w:type="dxa"/>
          </w:tcPr>
          <w:p w14:paraId="39C29C2C" w14:textId="24B269A5" w:rsidR="00516B6E" w:rsidRPr="00516B6E" w:rsidRDefault="00516B6E">
            <w:pPr>
              <w:rPr>
                <w:rFonts w:ascii="Arial" w:hAnsi="Arial" w:cs="Arial"/>
                <w:b/>
                <w:bCs/>
                <w:sz w:val="20"/>
                <w:szCs w:val="20"/>
                <w:lang w:val="en-US"/>
              </w:rPr>
            </w:pPr>
            <w:r>
              <w:rPr>
                <w:rFonts w:ascii="Arial" w:hAnsi="Arial" w:cs="Arial"/>
                <w:b/>
                <w:bCs/>
                <w:sz w:val="20"/>
                <w:szCs w:val="20"/>
                <w:lang w:val="en-US"/>
              </w:rPr>
              <w:t>Effects size (95% confidence interval)</w:t>
            </w:r>
          </w:p>
        </w:tc>
      </w:tr>
      <w:tr w:rsidR="00516B6E" w:rsidRPr="00516B6E" w14:paraId="3212CD82" w14:textId="77777777" w:rsidTr="00901F25">
        <w:tc>
          <w:tcPr>
            <w:tcW w:w="4673" w:type="dxa"/>
          </w:tcPr>
          <w:p w14:paraId="39AE4E78" w14:textId="2789B964" w:rsidR="00516B6E" w:rsidRPr="00FC70A1" w:rsidRDefault="00516B6E" w:rsidP="00516B6E">
            <w:pPr>
              <w:rPr>
                <w:rFonts w:ascii="Arial" w:hAnsi="Arial" w:cs="Arial"/>
                <w:sz w:val="20"/>
                <w:szCs w:val="20"/>
                <w:lang w:val="en-US"/>
              </w:rPr>
            </w:pPr>
            <w:r w:rsidRPr="00FC70A1">
              <w:rPr>
                <w:rFonts w:ascii="Arial" w:hAnsi="Arial" w:cs="Arial"/>
                <w:sz w:val="20"/>
                <w:szCs w:val="20"/>
                <w:lang w:val="en-US"/>
              </w:rPr>
              <w:t>Natural direct effect</w:t>
            </w:r>
          </w:p>
        </w:tc>
        <w:tc>
          <w:tcPr>
            <w:tcW w:w="3821" w:type="dxa"/>
          </w:tcPr>
          <w:p w14:paraId="6F051C12" w14:textId="6307C9AB" w:rsidR="00516B6E" w:rsidRPr="00FC70A1" w:rsidRDefault="00901F25" w:rsidP="00516B6E">
            <w:pPr>
              <w:rPr>
                <w:rFonts w:ascii="Arial" w:hAnsi="Arial" w:cs="Arial"/>
                <w:sz w:val="20"/>
                <w:szCs w:val="20"/>
                <w:lang w:val="en-US"/>
              </w:rPr>
            </w:pPr>
            <w:r w:rsidRPr="00FC70A1">
              <w:rPr>
                <w:rFonts w:ascii="Arial" w:hAnsi="Arial" w:cs="Arial"/>
                <w:sz w:val="20"/>
                <w:szCs w:val="20"/>
                <w:lang w:val="en-US"/>
              </w:rPr>
              <w:t>0.79</w:t>
            </w:r>
            <w:r w:rsidR="00404BE4" w:rsidRPr="00FC70A1">
              <w:rPr>
                <w:rFonts w:ascii="Arial" w:hAnsi="Arial" w:cs="Arial"/>
                <w:sz w:val="20"/>
                <w:szCs w:val="20"/>
                <w:lang w:val="en-US"/>
              </w:rPr>
              <w:t xml:space="preserve"> (</w:t>
            </w:r>
            <w:r w:rsidRPr="00FC70A1">
              <w:rPr>
                <w:rFonts w:ascii="Arial" w:hAnsi="Arial" w:cs="Arial"/>
                <w:sz w:val="20"/>
                <w:szCs w:val="20"/>
                <w:lang w:val="en-US"/>
              </w:rPr>
              <w:t>0.70</w:t>
            </w:r>
            <w:r w:rsidR="00404BE4" w:rsidRPr="00FC70A1">
              <w:rPr>
                <w:rFonts w:ascii="Arial" w:hAnsi="Arial" w:cs="Arial"/>
                <w:sz w:val="20"/>
                <w:szCs w:val="20"/>
                <w:lang w:val="en-US"/>
              </w:rPr>
              <w:t>-</w:t>
            </w:r>
            <w:r w:rsidRPr="00FC70A1">
              <w:rPr>
                <w:rFonts w:ascii="Arial" w:hAnsi="Arial" w:cs="Arial"/>
                <w:sz w:val="20"/>
                <w:szCs w:val="20"/>
                <w:lang w:val="en-US"/>
              </w:rPr>
              <w:t>0.88</w:t>
            </w:r>
            <w:r w:rsidR="00404BE4" w:rsidRPr="00FC70A1">
              <w:rPr>
                <w:rFonts w:ascii="Arial" w:hAnsi="Arial" w:cs="Arial"/>
                <w:sz w:val="20"/>
                <w:szCs w:val="20"/>
                <w:lang w:val="en-US"/>
              </w:rPr>
              <w:t>)</w:t>
            </w:r>
          </w:p>
        </w:tc>
      </w:tr>
      <w:tr w:rsidR="00516B6E" w:rsidRPr="00516B6E" w14:paraId="722DE5BA" w14:textId="77777777" w:rsidTr="00901F25">
        <w:tc>
          <w:tcPr>
            <w:tcW w:w="4673" w:type="dxa"/>
          </w:tcPr>
          <w:p w14:paraId="6EAB60F7" w14:textId="3AB1FC71" w:rsidR="00516B6E" w:rsidRPr="00FC70A1" w:rsidRDefault="00516B6E" w:rsidP="00516B6E">
            <w:pPr>
              <w:rPr>
                <w:rFonts w:ascii="Arial" w:hAnsi="Arial" w:cs="Arial"/>
                <w:sz w:val="20"/>
                <w:szCs w:val="20"/>
                <w:lang w:val="en-US"/>
              </w:rPr>
            </w:pPr>
            <w:r w:rsidRPr="00FC70A1">
              <w:rPr>
                <w:rFonts w:ascii="Arial" w:hAnsi="Arial" w:cs="Arial"/>
                <w:sz w:val="20"/>
                <w:szCs w:val="20"/>
                <w:lang w:val="en-US"/>
              </w:rPr>
              <w:t>Natural indirect effect through disease stage</w:t>
            </w:r>
          </w:p>
        </w:tc>
        <w:tc>
          <w:tcPr>
            <w:tcW w:w="3821" w:type="dxa"/>
          </w:tcPr>
          <w:p w14:paraId="3FB3DCE4" w14:textId="62A8A935" w:rsidR="00516B6E" w:rsidRPr="00FC70A1" w:rsidRDefault="00901F25" w:rsidP="00516B6E">
            <w:pPr>
              <w:rPr>
                <w:rFonts w:ascii="Arial" w:hAnsi="Arial" w:cs="Arial"/>
                <w:sz w:val="20"/>
                <w:szCs w:val="20"/>
                <w:lang w:val="en-US"/>
              </w:rPr>
            </w:pPr>
            <w:r w:rsidRPr="00FC70A1">
              <w:rPr>
                <w:rFonts w:ascii="Arial" w:hAnsi="Arial" w:cs="Arial"/>
                <w:sz w:val="20"/>
                <w:szCs w:val="20"/>
                <w:lang w:val="en-US"/>
              </w:rPr>
              <w:t>0.99</w:t>
            </w:r>
            <w:r w:rsidR="00404BE4" w:rsidRPr="00FC70A1">
              <w:rPr>
                <w:rFonts w:ascii="Arial" w:hAnsi="Arial" w:cs="Arial"/>
                <w:sz w:val="20"/>
                <w:szCs w:val="20"/>
                <w:lang w:val="en-US"/>
              </w:rPr>
              <w:t xml:space="preserve"> (</w:t>
            </w:r>
            <w:r w:rsidRPr="00FC70A1">
              <w:rPr>
                <w:rFonts w:ascii="Arial" w:hAnsi="Arial" w:cs="Arial"/>
                <w:sz w:val="20"/>
                <w:szCs w:val="20"/>
                <w:lang w:val="en-US"/>
              </w:rPr>
              <w:t>0.89</w:t>
            </w:r>
            <w:r w:rsidR="00404BE4" w:rsidRPr="00FC70A1">
              <w:rPr>
                <w:rFonts w:ascii="Arial" w:hAnsi="Arial" w:cs="Arial"/>
                <w:sz w:val="20"/>
                <w:szCs w:val="20"/>
                <w:lang w:val="en-US"/>
              </w:rPr>
              <w:t>-</w:t>
            </w:r>
            <w:r w:rsidRPr="00FC70A1">
              <w:rPr>
                <w:rFonts w:ascii="Arial" w:hAnsi="Arial" w:cs="Arial"/>
                <w:sz w:val="20"/>
                <w:szCs w:val="20"/>
                <w:lang w:val="en-US"/>
              </w:rPr>
              <w:t>1.10</w:t>
            </w:r>
            <w:r w:rsidR="00404BE4" w:rsidRPr="00FC70A1">
              <w:rPr>
                <w:rFonts w:ascii="Arial" w:hAnsi="Arial" w:cs="Arial"/>
                <w:sz w:val="20"/>
                <w:szCs w:val="20"/>
                <w:lang w:val="en-US"/>
              </w:rPr>
              <w:t>)</w:t>
            </w:r>
          </w:p>
        </w:tc>
      </w:tr>
      <w:tr w:rsidR="00516B6E" w:rsidRPr="00516B6E" w14:paraId="04E06092" w14:textId="77777777" w:rsidTr="00901F25">
        <w:tc>
          <w:tcPr>
            <w:tcW w:w="4673" w:type="dxa"/>
          </w:tcPr>
          <w:p w14:paraId="1662CE85" w14:textId="760CD19B" w:rsidR="00516B6E" w:rsidRPr="00FC70A1" w:rsidRDefault="00516B6E" w:rsidP="00516B6E">
            <w:pPr>
              <w:rPr>
                <w:rFonts w:ascii="Arial" w:hAnsi="Arial" w:cs="Arial"/>
                <w:sz w:val="20"/>
                <w:szCs w:val="20"/>
                <w:lang w:val="en-US"/>
              </w:rPr>
            </w:pPr>
            <w:r w:rsidRPr="00FC70A1">
              <w:rPr>
                <w:rFonts w:ascii="Arial" w:hAnsi="Arial" w:cs="Arial"/>
                <w:sz w:val="20"/>
                <w:szCs w:val="20"/>
                <w:lang w:val="en-US"/>
              </w:rPr>
              <w:t>Natural indirect effect through performance status</w:t>
            </w:r>
          </w:p>
        </w:tc>
        <w:tc>
          <w:tcPr>
            <w:tcW w:w="3821" w:type="dxa"/>
          </w:tcPr>
          <w:p w14:paraId="67997312" w14:textId="0E036FC2" w:rsidR="00516B6E" w:rsidRPr="00FC70A1" w:rsidRDefault="00901F25" w:rsidP="00516B6E">
            <w:pPr>
              <w:rPr>
                <w:rFonts w:ascii="Arial" w:hAnsi="Arial" w:cs="Arial"/>
                <w:sz w:val="20"/>
                <w:szCs w:val="20"/>
                <w:lang w:val="en-US"/>
              </w:rPr>
            </w:pPr>
            <w:r w:rsidRPr="00FC70A1">
              <w:rPr>
                <w:rFonts w:ascii="Arial" w:hAnsi="Arial" w:cs="Arial"/>
                <w:sz w:val="20"/>
                <w:szCs w:val="20"/>
                <w:lang w:val="en-US"/>
              </w:rPr>
              <w:t>1.05</w:t>
            </w:r>
            <w:r w:rsidR="00404BE4" w:rsidRPr="00FC70A1">
              <w:rPr>
                <w:rFonts w:ascii="Arial" w:hAnsi="Arial" w:cs="Arial"/>
                <w:sz w:val="20"/>
                <w:szCs w:val="20"/>
                <w:lang w:val="en-US"/>
              </w:rPr>
              <w:t xml:space="preserve"> (</w:t>
            </w:r>
            <w:r w:rsidRPr="00FC70A1">
              <w:rPr>
                <w:rFonts w:ascii="Arial" w:hAnsi="Arial" w:cs="Arial"/>
                <w:sz w:val="20"/>
                <w:szCs w:val="20"/>
                <w:lang w:val="en-US"/>
              </w:rPr>
              <w:t>0.94</w:t>
            </w:r>
            <w:r w:rsidR="00404BE4" w:rsidRPr="00FC70A1">
              <w:rPr>
                <w:rFonts w:ascii="Arial" w:hAnsi="Arial" w:cs="Arial"/>
                <w:sz w:val="20"/>
                <w:szCs w:val="20"/>
                <w:lang w:val="en-US"/>
              </w:rPr>
              <w:t>-</w:t>
            </w:r>
            <w:r w:rsidRPr="00FC70A1">
              <w:rPr>
                <w:rFonts w:ascii="Arial" w:hAnsi="Arial" w:cs="Arial"/>
                <w:sz w:val="20"/>
                <w:szCs w:val="20"/>
                <w:lang w:val="en-US"/>
              </w:rPr>
              <w:t>1.16</w:t>
            </w:r>
            <w:r w:rsidR="00404BE4" w:rsidRPr="00FC70A1">
              <w:rPr>
                <w:rFonts w:ascii="Arial" w:hAnsi="Arial" w:cs="Arial"/>
                <w:sz w:val="20"/>
                <w:szCs w:val="20"/>
                <w:lang w:val="en-US"/>
              </w:rPr>
              <w:t>)</w:t>
            </w:r>
          </w:p>
        </w:tc>
      </w:tr>
      <w:tr w:rsidR="00516B6E" w:rsidRPr="00516B6E" w14:paraId="0755155F" w14:textId="77777777" w:rsidTr="00901F25">
        <w:tc>
          <w:tcPr>
            <w:tcW w:w="4673" w:type="dxa"/>
          </w:tcPr>
          <w:p w14:paraId="3335B10D" w14:textId="06BDE0C2" w:rsidR="00516B6E" w:rsidRPr="00FC70A1" w:rsidRDefault="00516B6E" w:rsidP="00516B6E">
            <w:pPr>
              <w:rPr>
                <w:rFonts w:ascii="Arial" w:hAnsi="Arial" w:cs="Arial"/>
                <w:sz w:val="20"/>
                <w:szCs w:val="20"/>
                <w:lang w:val="en-US"/>
              </w:rPr>
            </w:pPr>
            <w:r w:rsidRPr="00FC70A1">
              <w:rPr>
                <w:rFonts w:ascii="Arial" w:hAnsi="Arial" w:cs="Arial"/>
                <w:sz w:val="20"/>
                <w:szCs w:val="20"/>
                <w:lang w:val="en-US"/>
              </w:rPr>
              <w:t>Natural indirect effect through income quartile</w:t>
            </w:r>
          </w:p>
        </w:tc>
        <w:tc>
          <w:tcPr>
            <w:tcW w:w="3821" w:type="dxa"/>
          </w:tcPr>
          <w:p w14:paraId="2DD60A47" w14:textId="7B833CCC" w:rsidR="00516B6E" w:rsidRPr="00FC70A1" w:rsidRDefault="00901F25" w:rsidP="00516B6E">
            <w:pPr>
              <w:rPr>
                <w:rFonts w:ascii="Arial" w:hAnsi="Arial" w:cs="Arial"/>
                <w:sz w:val="20"/>
                <w:szCs w:val="20"/>
                <w:lang w:val="en-US"/>
              </w:rPr>
            </w:pPr>
            <w:r w:rsidRPr="00FC70A1">
              <w:rPr>
                <w:rFonts w:ascii="Arial" w:hAnsi="Arial" w:cs="Arial"/>
                <w:sz w:val="20"/>
                <w:szCs w:val="20"/>
                <w:lang w:val="en-US"/>
              </w:rPr>
              <w:t>1.19 (1.07-1.32)</w:t>
            </w:r>
          </w:p>
        </w:tc>
      </w:tr>
      <w:tr w:rsidR="00516B6E" w:rsidRPr="00516B6E" w14:paraId="391CC82F" w14:textId="77777777" w:rsidTr="00901F25">
        <w:tc>
          <w:tcPr>
            <w:tcW w:w="4673" w:type="dxa"/>
          </w:tcPr>
          <w:p w14:paraId="2EE56B26" w14:textId="528CC645" w:rsidR="00516B6E" w:rsidRPr="00FC70A1" w:rsidRDefault="00516B6E" w:rsidP="00516B6E">
            <w:pPr>
              <w:rPr>
                <w:rFonts w:ascii="Arial" w:hAnsi="Arial" w:cs="Arial"/>
                <w:sz w:val="20"/>
                <w:szCs w:val="20"/>
                <w:lang w:val="en-US"/>
              </w:rPr>
            </w:pPr>
            <w:r w:rsidRPr="00FC70A1">
              <w:rPr>
                <w:rFonts w:ascii="Arial" w:hAnsi="Arial" w:cs="Arial"/>
                <w:sz w:val="20"/>
                <w:szCs w:val="20"/>
                <w:lang w:val="en-US"/>
              </w:rPr>
              <w:t>Total causal effect</w:t>
            </w:r>
          </w:p>
        </w:tc>
        <w:tc>
          <w:tcPr>
            <w:tcW w:w="3821" w:type="dxa"/>
          </w:tcPr>
          <w:p w14:paraId="324C6DCB" w14:textId="046D3B72" w:rsidR="00516B6E" w:rsidRPr="00FC70A1" w:rsidRDefault="00901F25" w:rsidP="00516B6E">
            <w:pPr>
              <w:rPr>
                <w:rFonts w:ascii="Arial" w:hAnsi="Arial" w:cs="Arial"/>
                <w:sz w:val="20"/>
                <w:szCs w:val="20"/>
                <w:lang w:val="en-US"/>
              </w:rPr>
            </w:pPr>
            <w:r w:rsidRPr="00FC70A1">
              <w:rPr>
                <w:rFonts w:ascii="Arial" w:hAnsi="Arial" w:cs="Arial"/>
                <w:sz w:val="20"/>
                <w:szCs w:val="20"/>
                <w:lang w:val="en-US"/>
              </w:rPr>
              <w:t>0.97 (0.78-1.20)</w:t>
            </w:r>
          </w:p>
        </w:tc>
      </w:tr>
    </w:tbl>
    <w:p w14:paraId="2626C98A" w14:textId="118CE192" w:rsidR="00516B6E" w:rsidRPr="00FC70A1" w:rsidRDefault="00516B6E">
      <w:pPr>
        <w:rPr>
          <w:rFonts w:ascii="Arial" w:hAnsi="Arial" w:cs="Arial"/>
          <w:sz w:val="20"/>
          <w:szCs w:val="20"/>
          <w:lang w:val="en-US"/>
        </w:rPr>
      </w:pPr>
      <w:r w:rsidRPr="00516B6E">
        <w:rPr>
          <w:rFonts w:ascii="Arial" w:hAnsi="Arial" w:cs="Arial"/>
          <w:b/>
          <w:bCs/>
          <w:sz w:val="20"/>
          <w:szCs w:val="20"/>
          <w:lang w:val="en-US"/>
        </w:rPr>
        <w:t>Notes:</w:t>
      </w:r>
      <w:r>
        <w:rPr>
          <w:rFonts w:ascii="Arial" w:hAnsi="Arial" w:cs="Arial"/>
          <w:b/>
          <w:bCs/>
          <w:sz w:val="20"/>
          <w:szCs w:val="20"/>
          <w:lang w:val="en-US"/>
        </w:rPr>
        <w:t xml:space="preserve"> </w:t>
      </w:r>
      <w:r w:rsidRPr="00FC70A1">
        <w:rPr>
          <w:rFonts w:ascii="Arial" w:hAnsi="Arial" w:cs="Arial"/>
          <w:sz w:val="20"/>
          <w:szCs w:val="20"/>
          <w:lang w:val="en-US"/>
        </w:rPr>
        <w:t>Results from a mediation using a natural effects Cox model considering only patients diagnosed with diffuse large B-cell lymphoma. Here, age, sex, and calendar year were considered as confounders.</w:t>
      </w:r>
    </w:p>
    <w:p w14:paraId="3C7B175E" w14:textId="77777777" w:rsidR="00516B6E" w:rsidRPr="00FC70A1" w:rsidRDefault="00516B6E">
      <w:pPr>
        <w:rPr>
          <w:rFonts w:ascii="Arial" w:eastAsia="Times New Roman" w:hAnsi="Arial" w:cs="Arial"/>
          <w:sz w:val="32"/>
          <w:szCs w:val="32"/>
          <w:lang w:val="en-US" w:eastAsia="da-DK"/>
        </w:rPr>
      </w:pPr>
      <w:r w:rsidRPr="00FC70A1">
        <w:rPr>
          <w:rFonts w:ascii="Arial" w:hAnsi="Arial" w:cs="Arial"/>
          <w:sz w:val="32"/>
          <w:szCs w:val="32"/>
          <w:lang w:val="en-US"/>
        </w:rPr>
        <w:br w:type="page"/>
      </w:r>
    </w:p>
    <w:p w14:paraId="41E58C54" w14:textId="021A0772" w:rsidR="00B22016" w:rsidRPr="00C96D9F" w:rsidRDefault="00952CED" w:rsidP="006C1729">
      <w:pPr>
        <w:pStyle w:val="NormalWeb"/>
        <w:rPr>
          <w:rFonts w:ascii="Arial" w:hAnsi="Arial" w:cs="Arial"/>
          <w:b/>
          <w:bCs/>
          <w:sz w:val="32"/>
          <w:szCs w:val="32"/>
          <w:lang w:val="en-US"/>
        </w:rPr>
      </w:pPr>
      <w:r w:rsidRPr="00C96D9F">
        <w:rPr>
          <w:rFonts w:ascii="Arial" w:hAnsi="Arial" w:cs="Arial"/>
          <w:b/>
          <w:bCs/>
          <w:sz w:val="32"/>
          <w:szCs w:val="32"/>
          <w:lang w:val="en-US"/>
        </w:rPr>
        <w:lastRenderedPageBreak/>
        <w:t>Fi</w:t>
      </w:r>
      <w:r w:rsidR="00004CEF" w:rsidRPr="00C96D9F">
        <w:rPr>
          <w:rFonts w:ascii="Arial" w:hAnsi="Arial" w:cs="Arial"/>
          <w:b/>
          <w:bCs/>
          <w:sz w:val="32"/>
          <w:szCs w:val="32"/>
          <w:lang w:val="en-US"/>
        </w:rPr>
        <w:t xml:space="preserve">gure </w:t>
      </w:r>
      <w:r w:rsidR="009665FA" w:rsidRPr="00C96D9F">
        <w:rPr>
          <w:rFonts w:ascii="Arial" w:hAnsi="Arial" w:cs="Arial"/>
          <w:b/>
          <w:bCs/>
          <w:sz w:val="32"/>
          <w:szCs w:val="32"/>
          <w:lang w:val="en-US"/>
        </w:rPr>
        <w:t>S</w:t>
      </w:r>
      <w:r w:rsidR="00004CEF" w:rsidRPr="00C96D9F">
        <w:rPr>
          <w:rFonts w:ascii="Arial" w:hAnsi="Arial" w:cs="Arial"/>
          <w:b/>
          <w:bCs/>
          <w:sz w:val="32"/>
          <w:szCs w:val="32"/>
          <w:lang w:val="en-US"/>
        </w:rPr>
        <w:t>1</w:t>
      </w:r>
    </w:p>
    <w:p w14:paraId="58BDFB1B" w14:textId="4FFFFF1F" w:rsidR="00AA6558" w:rsidRDefault="00004CEF" w:rsidP="00AA6558">
      <w:pPr>
        <w:pStyle w:val="NormalWeb"/>
      </w:pPr>
      <w:r w:rsidRPr="00AD1CB8">
        <w:rPr>
          <w:rFonts w:ascii="Arial" w:hAnsi="Arial" w:cs="Arial"/>
          <w:sz w:val="20"/>
          <w:szCs w:val="20"/>
          <w:lang w:val="en-US"/>
        </w:rPr>
        <w:br/>
      </w:r>
      <w:r w:rsidR="00AA6558" w:rsidRPr="00AA6558">
        <w:t xml:space="preserve"> </w:t>
      </w:r>
      <w:r w:rsidR="00AA6558">
        <w:rPr>
          <w:noProof/>
        </w:rPr>
        <w:drawing>
          <wp:inline distT="0" distB="0" distL="0" distR="0" wp14:anchorId="4ABD3C45" wp14:editId="194611D4">
            <wp:extent cx="5400040" cy="3037840"/>
            <wp:effectExtent l="0" t="0" r="0" b="0"/>
            <wp:docPr id="2739054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5791A2B9" w14:textId="0B57250F" w:rsidR="006C1729" w:rsidRPr="00AD1CB8" w:rsidRDefault="006C1729" w:rsidP="006C1729">
      <w:pPr>
        <w:pStyle w:val="NormalWeb"/>
        <w:rPr>
          <w:rFonts w:ascii="Arial" w:hAnsi="Arial" w:cs="Arial"/>
          <w:sz w:val="20"/>
          <w:szCs w:val="20"/>
          <w:lang w:val="en-US"/>
        </w:rPr>
      </w:pPr>
    </w:p>
    <w:p w14:paraId="63429326" w14:textId="4AED3CCF" w:rsidR="00BC4926" w:rsidRPr="00AD1CB8" w:rsidRDefault="00AD1CB8" w:rsidP="00BC4926">
      <w:pPr>
        <w:rPr>
          <w:rFonts w:ascii="Arial" w:hAnsi="Arial" w:cs="Arial"/>
          <w:sz w:val="20"/>
          <w:szCs w:val="20"/>
          <w:lang w:val="en-US"/>
        </w:rPr>
      </w:pPr>
      <w:r w:rsidRPr="00AD1CB8">
        <w:rPr>
          <w:rFonts w:ascii="Arial" w:hAnsi="Arial" w:cs="Arial"/>
          <w:b/>
          <w:bCs/>
          <w:sz w:val="20"/>
          <w:szCs w:val="20"/>
          <w:lang w:val="en-US"/>
        </w:rPr>
        <w:t>Notes:</w:t>
      </w:r>
      <w:r>
        <w:rPr>
          <w:rFonts w:ascii="Arial" w:hAnsi="Arial" w:cs="Arial"/>
          <w:sz w:val="20"/>
          <w:szCs w:val="20"/>
          <w:lang w:val="en-US"/>
        </w:rPr>
        <w:t xml:space="preserve"> </w:t>
      </w:r>
      <w:r w:rsidR="008669F7" w:rsidRPr="00AD1CB8">
        <w:rPr>
          <w:rFonts w:ascii="Arial" w:hAnsi="Arial" w:cs="Arial"/>
          <w:sz w:val="20"/>
          <w:szCs w:val="20"/>
          <w:lang w:val="en-US"/>
        </w:rPr>
        <w:t xml:space="preserve">Causal directed acyclic graph (DAG) indicating the assuming causal structure in the study. The DAG shows the causal pathways from immigration status to overall survival through the mediators and directly, as well as the confounding. At each of the mediators and the direct effect, the corresponding hazard ratios and p-values from the mediation analysis are presented. </w:t>
      </w:r>
    </w:p>
    <w:p w14:paraId="36D889D8" w14:textId="7BA20AF2" w:rsidR="00B22016" w:rsidRPr="00AD1CB8" w:rsidRDefault="00BC4926" w:rsidP="00B22016">
      <w:pPr>
        <w:rPr>
          <w:rFonts w:ascii="Arial" w:hAnsi="Arial" w:cs="Arial"/>
          <w:sz w:val="20"/>
          <w:szCs w:val="20"/>
          <w:lang w:val="en-US"/>
        </w:rPr>
      </w:pPr>
      <w:r w:rsidRPr="00AD1CB8">
        <w:rPr>
          <w:rFonts w:ascii="Arial" w:hAnsi="Arial" w:cs="Arial"/>
          <w:b/>
          <w:bCs/>
          <w:sz w:val="20"/>
          <w:szCs w:val="20"/>
          <w:lang w:val="en-US"/>
        </w:rPr>
        <w:t>Abbreviations:</w:t>
      </w:r>
      <w:r w:rsidRPr="00AD1CB8">
        <w:rPr>
          <w:rFonts w:ascii="Arial" w:hAnsi="Arial" w:cs="Arial"/>
          <w:sz w:val="20"/>
          <w:szCs w:val="20"/>
          <w:lang w:val="en-US"/>
        </w:rPr>
        <w:t xml:space="preserve"> </w:t>
      </w:r>
      <w:r w:rsidR="00B22016" w:rsidRPr="00AD1CB8">
        <w:rPr>
          <w:rFonts w:ascii="Arial" w:hAnsi="Arial" w:cs="Arial"/>
          <w:sz w:val="20"/>
          <w:szCs w:val="20"/>
          <w:lang w:val="en-US"/>
        </w:rPr>
        <w:t>ECOG PS</w:t>
      </w:r>
      <w:r w:rsidR="00AD1CB8">
        <w:rPr>
          <w:rFonts w:ascii="Arial" w:hAnsi="Arial" w:cs="Arial"/>
          <w:sz w:val="20"/>
          <w:szCs w:val="20"/>
          <w:lang w:val="en-US"/>
        </w:rPr>
        <w:t>,</w:t>
      </w:r>
      <w:r w:rsidR="00B22016" w:rsidRPr="00AD1CB8">
        <w:rPr>
          <w:rFonts w:ascii="Arial" w:hAnsi="Arial" w:cs="Arial"/>
          <w:sz w:val="20"/>
          <w:szCs w:val="20"/>
          <w:lang w:val="en-US"/>
        </w:rPr>
        <w:t xml:space="preserve"> Eastern Cooperative Oncology Group performance </w:t>
      </w:r>
      <w:r w:rsidR="008669F7" w:rsidRPr="00AD1CB8">
        <w:rPr>
          <w:rFonts w:ascii="Arial" w:hAnsi="Arial" w:cs="Arial"/>
          <w:sz w:val="20"/>
          <w:szCs w:val="20"/>
          <w:lang w:val="en-US"/>
        </w:rPr>
        <w:t>status</w:t>
      </w:r>
      <w:r w:rsidR="00AD1CB8">
        <w:rPr>
          <w:rFonts w:ascii="Arial" w:hAnsi="Arial" w:cs="Arial"/>
          <w:sz w:val="20"/>
          <w:szCs w:val="20"/>
          <w:lang w:val="en-US"/>
        </w:rPr>
        <w:t>;</w:t>
      </w:r>
      <w:r w:rsidR="00971AAF" w:rsidRPr="00AD1CB8">
        <w:rPr>
          <w:rFonts w:ascii="Arial" w:hAnsi="Arial" w:cs="Arial"/>
          <w:sz w:val="20"/>
          <w:szCs w:val="20"/>
          <w:lang w:val="en-US"/>
        </w:rPr>
        <w:t xml:space="preserve"> disease</w:t>
      </w:r>
      <w:r w:rsidR="00B22016" w:rsidRPr="00AD1CB8">
        <w:rPr>
          <w:rFonts w:ascii="Arial" w:hAnsi="Arial" w:cs="Arial"/>
          <w:sz w:val="20"/>
          <w:szCs w:val="20"/>
          <w:lang w:val="en-US"/>
        </w:rPr>
        <w:t xml:space="preserve"> stage</w:t>
      </w:r>
      <w:r w:rsidR="00AD1CB8">
        <w:rPr>
          <w:rFonts w:ascii="Arial" w:hAnsi="Arial" w:cs="Arial"/>
          <w:sz w:val="20"/>
          <w:szCs w:val="20"/>
          <w:lang w:val="en-US"/>
        </w:rPr>
        <w:t xml:space="preserve">, </w:t>
      </w:r>
      <w:r w:rsidR="00B22016" w:rsidRPr="00AD1CB8">
        <w:rPr>
          <w:rFonts w:ascii="Arial" w:hAnsi="Arial" w:cs="Arial"/>
          <w:sz w:val="20"/>
          <w:szCs w:val="20"/>
          <w:lang w:val="en-US"/>
        </w:rPr>
        <w:t>Ann Arbor disease stage</w:t>
      </w:r>
      <w:r w:rsidR="00AD1CB8">
        <w:rPr>
          <w:rFonts w:ascii="Arial" w:hAnsi="Arial" w:cs="Arial"/>
          <w:sz w:val="20"/>
          <w:szCs w:val="20"/>
          <w:lang w:val="en-US"/>
        </w:rPr>
        <w:t>;</w:t>
      </w:r>
      <w:r w:rsidR="00B22016" w:rsidRPr="00AD1CB8">
        <w:rPr>
          <w:rFonts w:ascii="Arial" w:hAnsi="Arial" w:cs="Arial"/>
          <w:sz w:val="20"/>
          <w:szCs w:val="20"/>
          <w:lang w:val="en-US"/>
        </w:rPr>
        <w:t xml:space="preserve"> age</w:t>
      </w:r>
      <w:r w:rsidR="00AD1CB8">
        <w:rPr>
          <w:rFonts w:ascii="Arial" w:hAnsi="Arial" w:cs="Arial"/>
          <w:sz w:val="20"/>
          <w:szCs w:val="20"/>
          <w:lang w:val="en-US"/>
        </w:rPr>
        <w:t>,</w:t>
      </w:r>
      <w:r w:rsidR="00B22016" w:rsidRPr="00AD1CB8">
        <w:rPr>
          <w:rFonts w:ascii="Arial" w:hAnsi="Arial" w:cs="Arial"/>
          <w:sz w:val="20"/>
          <w:szCs w:val="20"/>
          <w:lang w:val="en-US"/>
        </w:rPr>
        <w:t xml:space="preserve"> age at diagnosis</w:t>
      </w:r>
      <w:r w:rsidR="00AD1CB8">
        <w:rPr>
          <w:rFonts w:ascii="Arial" w:hAnsi="Arial" w:cs="Arial"/>
          <w:sz w:val="20"/>
          <w:szCs w:val="20"/>
          <w:lang w:val="en-US"/>
        </w:rPr>
        <w:t>;</w:t>
      </w:r>
      <w:r w:rsidR="00B22016" w:rsidRPr="00AD1CB8">
        <w:rPr>
          <w:rFonts w:ascii="Arial" w:hAnsi="Arial" w:cs="Arial"/>
          <w:sz w:val="20"/>
          <w:szCs w:val="20"/>
          <w:lang w:val="en-US"/>
        </w:rPr>
        <w:t xml:space="preserve"> calendar year</w:t>
      </w:r>
      <w:r w:rsidR="00AD1CB8">
        <w:rPr>
          <w:rFonts w:ascii="Arial" w:hAnsi="Arial" w:cs="Arial"/>
          <w:sz w:val="20"/>
          <w:szCs w:val="20"/>
          <w:lang w:val="en-US"/>
        </w:rPr>
        <w:t>,</w:t>
      </w:r>
      <w:r w:rsidR="00B22016" w:rsidRPr="00AD1CB8">
        <w:rPr>
          <w:rFonts w:ascii="Arial" w:hAnsi="Arial" w:cs="Arial"/>
          <w:sz w:val="20"/>
          <w:szCs w:val="20"/>
          <w:lang w:val="en-US"/>
        </w:rPr>
        <w:t xml:space="preserve"> calendar year at diagnosis.</w:t>
      </w:r>
    </w:p>
    <w:p w14:paraId="764B03AA" w14:textId="77777777" w:rsidR="00B22016" w:rsidRPr="00AD1CB8" w:rsidRDefault="00B22016" w:rsidP="006C1729">
      <w:pPr>
        <w:pStyle w:val="NormalWeb"/>
        <w:rPr>
          <w:rFonts w:ascii="Arial" w:hAnsi="Arial" w:cs="Arial"/>
          <w:sz w:val="20"/>
          <w:szCs w:val="20"/>
          <w:lang w:val="en-US"/>
        </w:rPr>
      </w:pPr>
    </w:p>
    <w:p w14:paraId="4947F88D" w14:textId="77777777" w:rsidR="00BC4926" w:rsidRPr="00AD1CB8" w:rsidRDefault="00004CEF" w:rsidP="00514F41">
      <w:pPr>
        <w:rPr>
          <w:rFonts w:ascii="Arial" w:hAnsi="Arial" w:cs="Arial"/>
          <w:b/>
          <w:bCs/>
          <w:sz w:val="20"/>
          <w:szCs w:val="20"/>
          <w:lang w:val="en-US"/>
        </w:rPr>
      </w:pPr>
      <w:r w:rsidRPr="00AD1CB8">
        <w:rPr>
          <w:rFonts w:ascii="Arial" w:hAnsi="Arial" w:cs="Arial"/>
          <w:sz w:val="20"/>
          <w:szCs w:val="20"/>
          <w:lang w:val="en-US"/>
        </w:rPr>
        <w:br/>
      </w:r>
      <w:r w:rsidRPr="00AD1CB8">
        <w:rPr>
          <w:rFonts w:ascii="Arial" w:hAnsi="Arial" w:cs="Arial"/>
          <w:b/>
          <w:bCs/>
          <w:sz w:val="20"/>
          <w:szCs w:val="20"/>
          <w:lang w:val="en-US"/>
        </w:rPr>
        <w:br/>
      </w:r>
    </w:p>
    <w:p w14:paraId="05980BD3" w14:textId="6CCDCFAB" w:rsidR="00004CEF" w:rsidRPr="00AD1CB8" w:rsidRDefault="00BC4926" w:rsidP="00514F41">
      <w:pPr>
        <w:rPr>
          <w:rFonts w:ascii="Arial" w:hAnsi="Arial" w:cs="Arial"/>
          <w:b/>
          <w:bCs/>
          <w:sz w:val="20"/>
          <w:szCs w:val="20"/>
          <w:lang w:val="en-US"/>
        </w:rPr>
      </w:pPr>
      <w:r w:rsidRPr="00AD1CB8">
        <w:rPr>
          <w:rFonts w:ascii="Arial" w:hAnsi="Arial" w:cs="Arial"/>
          <w:b/>
          <w:bCs/>
          <w:sz w:val="20"/>
          <w:szCs w:val="20"/>
          <w:lang w:val="en-US"/>
        </w:rPr>
        <w:br w:type="page"/>
      </w:r>
      <w:r w:rsidR="00004CEF" w:rsidRPr="00C96D9F">
        <w:rPr>
          <w:rFonts w:ascii="Arial" w:hAnsi="Arial" w:cs="Arial"/>
          <w:b/>
          <w:bCs/>
          <w:sz w:val="32"/>
          <w:szCs w:val="32"/>
          <w:lang w:val="en-US"/>
        </w:rPr>
        <w:lastRenderedPageBreak/>
        <w:t xml:space="preserve">Figure </w:t>
      </w:r>
      <w:r w:rsidR="009665FA" w:rsidRPr="00C96D9F">
        <w:rPr>
          <w:rFonts w:ascii="Arial" w:hAnsi="Arial" w:cs="Arial"/>
          <w:b/>
          <w:bCs/>
          <w:sz w:val="32"/>
          <w:szCs w:val="32"/>
          <w:lang w:val="en-US"/>
        </w:rPr>
        <w:t>S</w:t>
      </w:r>
      <w:r w:rsidR="00004CEF" w:rsidRPr="00C96D9F">
        <w:rPr>
          <w:rFonts w:ascii="Arial" w:hAnsi="Arial" w:cs="Arial"/>
          <w:b/>
          <w:bCs/>
          <w:sz w:val="32"/>
          <w:szCs w:val="32"/>
          <w:lang w:val="en-US"/>
        </w:rPr>
        <w:t>2</w:t>
      </w:r>
    </w:p>
    <w:p w14:paraId="4E4BF05F" w14:textId="51C1421D" w:rsidR="00B22016" w:rsidRPr="00AD1CB8" w:rsidRDefault="00B22016" w:rsidP="00514F41">
      <w:pPr>
        <w:rPr>
          <w:rFonts w:ascii="Arial" w:hAnsi="Arial" w:cs="Arial"/>
          <w:sz w:val="20"/>
          <w:szCs w:val="20"/>
          <w:lang w:val="en-US"/>
        </w:rPr>
      </w:pPr>
    </w:p>
    <w:p w14:paraId="41207CB5" w14:textId="25E64F4B" w:rsidR="00004CEF" w:rsidRPr="00AD1CB8" w:rsidRDefault="00514F41">
      <w:pPr>
        <w:rPr>
          <w:rFonts w:ascii="Arial" w:hAnsi="Arial" w:cs="Arial"/>
          <w:sz w:val="20"/>
          <w:szCs w:val="20"/>
          <w:lang w:val="en-US"/>
        </w:rPr>
      </w:pPr>
      <w:r w:rsidRPr="00AD1CB8">
        <w:rPr>
          <w:rFonts w:ascii="Arial" w:hAnsi="Arial" w:cs="Arial"/>
          <w:noProof/>
          <w:sz w:val="20"/>
          <w:szCs w:val="20"/>
        </w:rPr>
        <w:drawing>
          <wp:inline distT="0" distB="0" distL="0" distR="0" wp14:anchorId="3C5FEAE1" wp14:editId="0973103D">
            <wp:extent cx="6097935" cy="158559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24" t="15518" r="20983" b="13899"/>
                    <a:stretch/>
                  </pic:blipFill>
                  <pic:spPr bwMode="auto">
                    <a:xfrm>
                      <a:off x="0" y="0"/>
                      <a:ext cx="6158387" cy="1601314"/>
                    </a:xfrm>
                    <a:prstGeom prst="rect">
                      <a:avLst/>
                    </a:prstGeom>
                    <a:noFill/>
                    <a:ln>
                      <a:noFill/>
                    </a:ln>
                    <a:extLst>
                      <a:ext uri="{53640926-AAD7-44D8-BBD7-CCE9431645EC}">
                        <a14:shadowObscured xmlns:a14="http://schemas.microsoft.com/office/drawing/2010/main"/>
                      </a:ext>
                    </a:extLst>
                  </pic:spPr>
                </pic:pic>
              </a:graphicData>
            </a:graphic>
          </wp:inline>
        </w:drawing>
      </w:r>
    </w:p>
    <w:p w14:paraId="1A097887" w14:textId="0AE2C58A" w:rsidR="00BC4926" w:rsidRPr="00AD1CB8" w:rsidRDefault="00516B6E">
      <w:pPr>
        <w:rPr>
          <w:rFonts w:ascii="Arial" w:hAnsi="Arial" w:cs="Arial"/>
          <w:sz w:val="20"/>
          <w:szCs w:val="20"/>
          <w:lang w:val="en-US"/>
        </w:rPr>
      </w:pPr>
      <w:r w:rsidRPr="00C96D9F">
        <w:rPr>
          <w:rFonts w:ascii="Arial" w:hAnsi="Arial" w:cs="Arial"/>
          <w:b/>
          <w:bCs/>
          <w:sz w:val="20"/>
          <w:szCs w:val="20"/>
          <w:lang w:val="en-US"/>
        </w:rPr>
        <w:t>Notes:</w:t>
      </w:r>
      <w:r>
        <w:rPr>
          <w:rFonts w:ascii="Arial" w:hAnsi="Arial" w:cs="Arial"/>
          <w:sz w:val="20"/>
          <w:szCs w:val="20"/>
          <w:lang w:val="en-US"/>
        </w:rPr>
        <w:t xml:space="preserve"> </w:t>
      </w:r>
      <w:r w:rsidR="008669F7" w:rsidRPr="00AD1CB8">
        <w:rPr>
          <w:rFonts w:ascii="Arial" w:hAnsi="Arial" w:cs="Arial"/>
          <w:sz w:val="20"/>
          <w:szCs w:val="20"/>
          <w:lang w:val="en-US"/>
        </w:rPr>
        <w:t>Forest plot showing the inverse probability weighted hazard ratios for all-cause mortality with Danish-born patients as a reference for each considered lymphoma subtype.</w:t>
      </w:r>
    </w:p>
    <w:p w14:paraId="63187D24" w14:textId="5178956E" w:rsidR="00B22016" w:rsidRPr="00AD1CB8" w:rsidRDefault="00BC4926">
      <w:pPr>
        <w:rPr>
          <w:rFonts w:ascii="Arial" w:hAnsi="Arial" w:cs="Arial"/>
          <w:sz w:val="20"/>
          <w:szCs w:val="20"/>
          <w:lang w:val="en-US"/>
        </w:rPr>
      </w:pPr>
      <w:r w:rsidRPr="00C96D9F">
        <w:rPr>
          <w:rFonts w:ascii="Arial" w:hAnsi="Arial" w:cs="Arial"/>
          <w:b/>
          <w:bCs/>
          <w:sz w:val="20"/>
          <w:szCs w:val="20"/>
          <w:lang w:val="en-US"/>
        </w:rPr>
        <w:t xml:space="preserve">Abbreviations: </w:t>
      </w:r>
      <w:proofErr w:type="spellStart"/>
      <w:r w:rsidR="00B22016" w:rsidRPr="00AD1CB8">
        <w:rPr>
          <w:rFonts w:ascii="Arial" w:hAnsi="Arial" w:cs="Arial"/>
          <w:sz w:val="20"/>
          <w:szCs w:val="20"/>
          <w:lang w:val="en-US"/>
        </w:rPr>
        <w:t>cHL</w:t>
      </w:r>
      <w:proofErr w:type="spellEnd"/>
      <w:r w:rsidR="00B22016" w:rsidRPr="00AD1CB8">
        <w:rPr>
          <w:rFonts w:ascii="Arial" w:hAnsi="Arial" w:cs="Arial"/>
          <w:sz w:val="20"/>
          <w:szCs w:val="20"/>
          <w:lang w:val="en-US"/>
        </w:rPr>
        <w:t xml:space="preserve"> = classical Hodgkin’s lymphoma, DLBCL = diffuse large B-cell lymphoma, FL = follicular lymphoma, MZL = marginal zone lymphoma, PTCL = peripheral T-cell lymphoma, ECOG PS= Eastern Cooperative Oncology Group performance status, HR = Hazard ratio, CI = confidence interval.</w:t>
      </w:r>
    </w:p>
    <w:sectPr w:rsidR="00B22016" w:rsidRPr="00AD1CB8" w:rsidSect="00AD1CB8">
      <w:footerReference w:type="even" r:id="rId10"/>
      <w:footerReference w:type="default" r:id="rId11"/>
      <w:footerReference w:type="first" r:id="rId12"/>
      <w:pgSz w:w="11906" w:h="16838"/>
      <w:pgMar w:top="1701" w:right="1701" w:bottom="1701"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474B7" w14:textId="77777777" w:rsidR="00786410" w:rsidRDefault="00786410" w:rsidP="006B6DE5">
      <w:pPr>
        <w:spacing w:after="0" w:line="240" w:lineRule="auto"/>
      </w:pPr>
      <w:r>
        <w:separator/>
      </w:r>
    </w:p>
  </w:endnote>
  <w:endnote w:type="continuationSeparator" w:id="0">
    <w:p w14:paraId="7560CA0F" w14:textId="77777777" w:rsidR="00786410" w:rsidRDefault="00786410" w:rsidP="006B6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altName w:val="Segoe Print"/>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B2E5A" w14:textId="78657C5A" w:rsidR="006B6DE5" w:rsidRDefault="006B6DE5">
    <w:pPr>
      <w:pStyle w:val="Footer"/>
    </w:pPr>
    <w:r>
      <w:rPr>
        <w:noProof/>
      </w:rPr>
      <mc:AlternateContent>
        <mc:Choice Requires="wps">
          <w:drawing>
            <wp:anchor distT="0" distB="0" distL="0" distR="0" simplePos="0" relativeHeight="251659264" behindDoc="0" locked="0" layoutInCell="1" allowOverlap="1" wp14:anchorId="68608A65" wp14:editId="349C83C6">
              <wp:simplePos x="635" y="635"/>
              <wp:positionH relativeFrom="page">
                <wp:align>left</wp:align>
              </wp:positionH>
              <wp:positionV relativeFrom="page">
                <wp:align>bottom</wp:align>
              </wp:positionV>
              <wp:extent cx="2085975" cy="459105"/>
              <wp:effectExtent l="0" t="0" r="9525" b="0"/>
              <wp:wrapNone/>
              <wp:docPr id="78433407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18D2460B" w14:textId="55D5C00E" w:rsidR="006B6DE5" w:rsidRPr="006B6DE5" w:rsidRDefault="006B6DE5" w:rsidP="006B6DE5">
                          <w:pPr>
                            <w:spacing w:after="0"/>
                            <w:rPr>
                              <w:rFonts w:ascii="Rockwell" w:eastAsia="Rockwell" w:hAnsi="Rockwell" w:cs="Rockwell"/>
                              <w:noProof/>
                              <w:color w:val="0078D7"/>
                              <w:sz w:val="18"/>
                              <w:szCs w:val="18"/>
                            </w:rPr>
                          </w:pPr>
                          <w:r w:rsidRPr="006B6DE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608A6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18D2460B" w14:textId="55D5C00E" w:rsidR="006B6DE5" w:rsidRPr="006B6DE5" w:rsidRDefault="006B6DE5" w:rsidP="006B6DE5">
                    <w:pPr>
                      <w:spacing w:after="0"/>
                      <w:rPr>
                        <w:rFonts w:ascii="Rockwell" w:eastAsia="Rockwell" w:hAnsi="Rockwell" w:cs="Rockwell"/>
                        <w:noProof/>
                        <w:color w:val="0078D7"/>
                        <w:sz w:val="18"/>
                        <w:szCs w:val="18"/>
                      </w:rPr>
                    </w:pPr>
                    <w:r w:rsidRPr="006B6DE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7F5A4" w14:textId="5DEF7189" w:rsidR="006B6DE5" w:rsidRDefault="006B6DE5">
    <w:pPr>
      <w:pStyle w:val="Footer"/>
    </w:pPr>
    <w:r>
      <w:rPr>
        <w:noProof/>
      </w:rPr>
      <mc:AlternateContent>
        <mc:Choice Requires="wps">
          <w:drawing>
            <wp:anchor distT="0" distB="0" distL="0" distR="0" simplePos="0" relativeHeight="251660288" behindDoc="0" locked="0" layoutInCell="1" allowOverlap="1" wp14:anchorId="45E37FB1" wp14:editId="0345023A">
              <wp:simplePos x="1076325" y="10067925"/>
              <wp:positionH relativeFrom="page">
                <wp:align>left</wp:align>
              </wp:positionH>
              <wp:positionV relativeFrom="page">
                <wp:align>bottom</wp:align>
              </wp:positionV>
              <wp:extent cx="2085975" cy="459105"/>
              <wp:effectExtent l="0" t="0" r="9525" b="0"/>
              <wp:wrapNone/>
              <wp:docPr id="56817929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4C93B2E1" w14:textId="59423030" w:rsidR="006B6DE5" w:rsidRPr="006B6DE5" w:rsidRDefault="006B6DE5" w:rsidP="006B6DE5">
                          <w:pPr>
                            <w:spacing w:after="0"/>
                            <w:rPr>
                              <w:rFonts w:ascii="Rockwell" w:eastAsia="Rockwell" w:hAnsi="Rockwell" w:cs="Rockwell"/>
                              <w:noProof/>
                              <w:color w:val="0078D7"/>
                              <w:sz w:val="18"/>
                              <w:szCs w:val="18"/>
                            </w:rPr>
                          </w:pPr>
                          <w:r w:rsidRPr="006B6DE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E37FB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4C93B2E1" w14:textId="59423030" w:rsidR="006B6DE5" w:rsidRPr="006B6DE5" w:rsidRDefault="006B6DE5" w:rsidP="006B6DE5">
                    <w:pPr>
                      <w:spacing w:after="0"/>
                      <w:rPr>
                        <w:rFonts w:ascii="Rockwell" w:eastAsia="Rockwell" w:hAnsi="Rockwell" w:cs="Rockwell"/>
                        <w:noProof/>
                        <w:color w:val="0078D7"/>
                        <w:sz w:val="18"/>
                        <w:szCs w:val="18"/>
                      </w:rPr>
                    </w:pPr>
                    <w:r w:rsidRPr="006B6DE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D93F" w14:textId="5EC62EAA" w:rsidR="006B6DE5" w:rsidRDefault="006B6DE5">
    <w:pPr>
      <w:pStyle w:val="Footer"/>
    </w:pPr>
    <w:r>
      <w:rPr>
        <w:noProof/>
      </w:rPr>
      <mc:AlternateContent>
        <mc:Choice Requires="wps">
          <w:drawing>
            <wp:anchor distT="0" distB="0" distL="0" distR="0" simplePos="0" relativeHeight="251658240" behindDoc="0" locked="0" layoutInCell="1" allowOverlap="1" wp14:anchorId="73F91821" wp14:editId="0ED248F7">
              <wp:simplePos x="635" y="635"/>
              <wp:positionH relativeFrom="page">
                <wp:align>left</wp:align>
              </wp:positionH>
              <wp:positionV relativeFrom="page">
                <wp:align>bottom</wp:align>
              </wp:positionV>
              <wp:extent cx="2085975" cy="459105"/>
              <wp:effectExtent l="0" t="0" r="9525" b="0"/>
              <wp:wrapNone/>
              <wp:docPr id="117032486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E79BAED" w14:textId="5F04E957" w:rsidR="006B6DE5" w:rsidRPr="006B6DE5" w:rsidRDefault="006B6DE5" w:rsidP="006B6DE5">
                          <w:pPr>
                            <w:spacing w:after="0"/>
                            <w:rPr>
                              <w:rFonts w:ascii="Rockwell" w:eastAsia="Rockwell" w:hAnsi="Rockwell" w:cs="Rockwell"/>
                              <w:noProof/>
                              <w:color w:val="0078D7"/>
                              <w:sz w:val="18"/>
                              <w:szCs w:val="18"/>
                            </w:rPr>
                          </w:pPr>
                          <w:r w:rsidRPr="006B6DE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F9182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3E79BAED" w14:textId="5F04E957" w:rsidR="006B6DE5" w:rsidRPr="006B6DE5" w:rsidRDefault="006B6DE5" w:rsidP="006B6DE5">
                    <w:pPr>
                      <w:spacing w:after="0"/>
                      <w:rPr>
                        <w:rFonts w:ascii="Rockwell" w:eastAsia="Rockwell" w:hAnsi="Rockwell" w:cs="Rockwell"/>
                        <w:noProof/>
                        <w:color w:val="0078D7"/>
                        <w:sz w:val="18"/>
                        <w:szCs w:val="18"/>
                      </w:rPr>
                    </w:pPr>
                    <w:r w:rsidRPr="006B6DE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43664" w14:textId="77777777" w:rsidR="00786410" w:rsidRDefault="00786410" w:rsidP="006B6DE5">
      <w:pPr>
        <w:spacing w:after="0" w:line="240" w:lineRule="auto"/>
      </w:pPr>
      <w:r>
        <w:separator/>
      </w:r>
    </w:p>
  </w:footnote>
  <w:footnote w:type="continuationSeparator" w:id="0">
    <w:p w14:paraId="5240527D" w14:textId="77777777" w:rsidR="00786410" w:rsidRDefault="00786410" w:rsidP="006B6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65800"/>
    <w:multiLevelType w:val="hybridMultilevel"/>
    <w:tmpl w:val="62D6314E"/>
    <w:lvl w:ilvl="0" w:tplc="DE9A5346">
      <w:start w:val="1"/>
      <w:numFmt w:val="bullet"/>
      <w:lvlText w:val="•"/>
      <w:lvlJc w:val="left"/>
      <w:pPr>
        <w:tabs>
          <w:tab w:val="num" w:pos="720"/>
        </w:tabs>
        <w:ind w:left="720" w:hanging="360"/>
      </w:pPr>
      <w:rPr>
        <w:rFonts w:ascii="Arial" w:hAnsi="Arial" w:hint="default"/>
      </w:rPr>
    </w:lvl>
    <w:lvl w:ilvl="1" w:tplc="0AFCA7AA" w:tentative="1">
      <w:start w:val="1"/>
      <w:numFmt w:val="bullet"/>
      <w:lvlText w:val="•"/>
      <w:lvlJc w:val="left"/>
      <w:pPr>
        <w:tabs>
          <w:tab w:val="num" w:pos="1440"/>
        </w:tabs>
        <w:ind w:left="1440" w:hanging="360"/>
      </w:pPr>
      <w:rPr>
        <w:rFonts w:ascii="Arial" w:hAnsi="Arial" w:hint="default"/>
      </w:rPr>
    </w:lvl>
    <w:lvl w:ilvl="2" w:tplc="920EC5C2" w:tentative="1">
      <w:start w:val="1"/>
      <w:numFmt w:val="bullet"/>
      <w:lvlText w:val="•"/>
      <w:lvlJc w:val="left"/>
      <w:pPr>
        <w:tabs>
          <w:tab w:val="num" w:pos="2160"/>
        </w:tabs>
        <w:ind w:left="2160" w:hanging="360"/>
      </w:pPr>
      <w:rPr>
        <w:rFonts w:ascii="Arial" w:hAnsi="Arial" w:hint="default"/>
      </w:rPr>
    </w:lvl>
    <w:lvl w:ilvl="3" w:tplc="60DE972A" w:tentative="1">
      <w:start w:val="1"/>
      <w:numFmt w:val="bullet"/>
      <w:lvlText w:val="•"/>
      <w:lvlJc w:val="left"/>
      <w:pPr>
        <w:tabs>
          <w:tab w:val="num" w:pos="2880"/>
        </w:tabs>
        <w:ind w:left="2880" w:hanging="360"/>
      </w:pPr>
      <w:rPr>
        <w:rFonts w:ascii="Arial" w:hAnsi="Arial" w:hint="default"/>
      </w:rPr>
    </w:lvl>
    <w:lvl w:ilvl="4" w:tplc="9182CB4A" w:tentative="1">
      <w:start w:val="1"/>
      <w:numFmt w:val="bullet"/>
      <w:lvlText w:val="•"/>
      <w:lvlJc w:val="left"/>
      <w:pPr>
        <w:tabs>
          <w:tab w:val="num" w:pos="3600"/>
        </w:tabs>
        <w:ind w:left="3600" w:hanging="360"/>
      </w:pPr>
      <w:rPr>
        <w:rFonts w:ascii="Arial" w:hAnsi="Arial" w:hint="default"/>
      </w:rPr>
    </w:lvl>
    <w:lvl w:ilvl="5" w:tplc="7C6A4B1E" w:tentative="1">
      <w:start w:val="1"/>
      <w:numFmt w:val="bullet"/>
      <w:lvlText w:val="•"/>
      <w:lvlJc w:val="left"/>
      <w:pPr>
        <w:tabs>
          <w:tab w:val="num" w:pos="4320"/>
        </w:tabs>
        <w:ind w:left="4320" w:hanging="360"/>
      </w:pPr>
      <w:rPr>
        <w:rFonts w:ascii="Arial" w:hAnsi="Arial" w:hint="default"/>
      </w:rPr>
    </w:lvl>
    <w:lvl w:ilvl="6" w:tplc="3CB8EEC6" w:tentative="1">
      <w:start w:val="1"/>
      <w:numFmt w:val="bullet"/>
      <w:lvlText w:val="•"/>
      <w:lvlJc w:val="left"/>
      <w:pPr>
        <w:tabs>
          <w:tab w:val="num" w:pos="5040"/>
        </w:tabs>
        <w:ind w:left="5040" w:hanging="360"/>
      </w:pPr>
      <w:rPr>
        <w:rFonts w:ascii="Arial" w:hAnsi="Arial" w:hint="default"/>
      </w:rPr>
    </w:lvl>
    <w:lvl w:ilvl="7" w:tplc="E0664C8E" w:tentative="1">
      <w:start w:val="1"/>
      <w:numFmt w:val="bullet"/>
      <w:lvlText w:val="•"/>
      <w:lvlJc w:val="left"/>
      <w:pPr>
        <w:tabs>
          <w:tab w:val="num" w:pos="5760"/>
        </w:tabs>
        <w:ind w:left="5760" w:hanging="360"/>
      </w:pPr>
      <w:rPr>
        <w:rFonts w:ascii="Arial" w:hAnsi="Arial" w:hint="default"/>
      </w:rPr>
    </w:lvl>
    <w:lvl w:ilvl="8" w:tplc="38AC923C" w:tentative="1">
      <w:start w:val="1"/>
      <w:numFmt w:val="bullet"/>
      <w:lvlText w:val="•"/>
      <w:lvlJc w:val="left"/>
      <w:pPr>
        <w:tabs>
          <w:tab w:val="num" w:pos="6480"/>
        </w:tabs>
        <w:ind w:left="6480" w:hanging="360"/>
      </w:pPr>
      <w:rPr>
        <w:rFonts w:ascii="Arial" w:hAnsi="Arial" w:hint="default"/>
      </w:rPr>
    </w:lvl>
  </w:abstractNum>
  <w:num w:numId="1" w16cid:durableId="24649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06"/>
    <w:rsid w:val="00004CEF"/>
    <w:rsid w:val="000910DF"/>
    <w:rsid w:val="00146E49"/>
    <w:rsid w:val="001F6079"/>
    <w:rsid w:val="00211947"/>
    <w:rsid w:val="00265C52"/>
    <w:rsid w:val="002E12CA"/>
    <w:rsid w:val="00301074"/>
    <w:rsid w:val="003048D7"/>
    <w:rsid w:val="003B4EF8"/>
    <w:rsid w:val="003B50DA"/>
    <w:rsid w:val="003D10FC"/>
    <w:rsid w:val="00404BE4"/>
    <w:rsid w:val="004113CE"/>
    <w:rsid w:val="00436341"/>
    <w:rsid w:val="0044379A"/>
    <w:rsid w:val="00454860"/>
    <w:rsid w:val="0049558D"/>
    <w:rsid w:val="004E4F87"/>
    <w:rsid w:val="00514F41"/>
    <w:rsid w:val="00516B6E"/>
    <w:rsid w:val="005838DD"/>
    <w:rsid w:val="006B6DE5"/>
    <w:rsid w:val="006C1729"/>
    <w:rsid w:val="006E12AB"/>
    <w:rsid w:val="006F1FEC"/>
    <w:rsid w:val="00711606"/>
    <w:rsid w:val="007750E4"/>
    <w:rsid w:val="00786410"/>
    <w:rsid w:val="007A4811"/>
    <w:rsid w:val="007B0D3B"/>
    <w:rsid w:val="007D2451"/>
    <w:rsid w:val="00850127"/>
    <w:rsid w:val="008669F7"/>
    <w:rsid w:val="008711C4"/>
    <w:rsid w:val="008747B7"/>
    <w:rsid w:val="008D0ADA"/>
    <w:rsid w:val="008E2E07"/>
    <w:rsid w:val="009018BC"/>
    <w:rsid w:val="00901F25"/>
    <w:rsid w:val="00943B40"/>
    <w:rsid w:val="00952CED"/>
    <w:rsid w:val="009644A7"/>
    <w:rsid w:val="00964CE5"/>
    <w:rsid w:val="009665FA"/>
    <w:rsid w:val="00971AAF"/>
    <w:rsid w:val="0099766F"/>
    <w:rsid w:val="009A08C8"/>
    <w:rsid w:val="009A6981"/>
    <w:rsid w:val="009D3707"/>
    <w:rsid w:val="009D67E9"/>
    <w:rsid w:val="00A20565"/>
    <w:rsid w:val="00A26A25"/>
    <w:rsid w:val="00A61846"/>
    <w:rsid w:val="00A87D3B"/>
    <w:rsid w:val="00AA6558"/>
    <w:rsid w:val="00AD0EA2"/>
    <w:rsid w:val="00AD1CB8"/>
    <w:rsid w:val="00B16159"/>
    <w:rsid w:val="00B22016"/>
    <w:rsid w:val="00BC4926"/>
    <w:rsid w:val="00BE54CA"/>
    <w:rsid w:val="00C23FC5"/>
    <w:rsid w:val="00C37E3E"/>
    <w:rsid w:val="00C96D9F"/>
    <w:rsid w:val="00CD3AAF"/>
    <w:rsid w:val="00DB676C"/>
    <w:rsid w:val="00E01F7B"/>
    <w:rsid w:val="00EC1922"/>
    <w:rsid w:val="00FC70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5D6C"/>
  <w15:docId w15:val="{8621F720-E5A1-457D-AB2B-A8CAFD5D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CE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Paragraph">
    <w:name w:val="List Paragraph"/>
    <w:basedOn w:val="Normal"/>
    <w:uiPriority w:val="34"/>
    <w:qFormat/>
    <w:rsid w:val="008E2E07"/>
    <w:pPr>
      <w:spacing w:after="0" w:line="240" w:lineRule="auto"/>
      <w:ind w:left="720"/>
      <w:contextualSpacing/>
    </w:pPr>
    <w:rPr>
      <w:rFonts w:ascii="Times New Roman" w:eastAsiaTheme="minorEastAsia" w:hAnsi="Times New Roman" w:cs="Times New Roman"/>
      <w:sz w:val="24"/>
      <w:szCs w:val="24"/>
      <w:lang w:eastAsia="da-DK"/>
    </w:rPr>
  </w:style>
  <w:style w:type="paragraph" w:styleId="Revision">
    <w:name w:val="Revision"/>
    <w:hidden/>
    <w:uiPriority w:val="99"/>
    <w:semiHidden/>
    <w:rsid w:val="00E01F7B"/>
    <w:pPr>
      <w:spacing w:after="0" w:line="240" w:lineRule="auto"/>
    </w:pPr>
  </w:style>
  <w:style w:type="character" w:styleId="CommentReference">
    <w:name w:val="annotation reference"/>
    <w:basedOn w:val="DefaultParagraphFont"/>
    <w:uiPriority w:val="99"/>
    <w:semiHidden/>
    <w:unhideWhenUsed/>
    <w:rsid w:val="009A6981"/>
    <w:rPr>
      <w:sz w:val="16"/>
      <w:szCs w:val="16"/>
    </w:rPr>
  </w:style>
  <w:style w:type="paragraph" w:styleId="CommentText">
    <w:name w:val="annotation text"/>
    <w:basedOn w:val="Normal"/>
    <w:link w:val="CommentTextChar"/>
    <w:uiPriority w:val="99"/>
    <w:unhideWhenUsed/>
    <w:rsid w:val="009A6981"/>
    <w:pPr>
      <w:spacing w:line="240" w:lineRule="auto"/>
    </w:pPr>
    <w:rPr>
      <w:sz w:val="20"/>
      <w:szCs w:val="20"/>
    </w:rPr>
  </w:style>
  <w:style w:type="character" w:customStyle="1" w:styleId="CommentTextChar">
    <w:name w:val="Comment Text Char"/>
    <w:basedOn w:val="DefaultParagraphFont"/>
    <w:link w:val="CommentText"/>
    <w:uiPriority w:val="99"/>
    <w:rsid w:val="009A6981"/>
    <w:rPr>
      <w:sz w:val="20"/>
      <w:szCs w:val="20"/>
    </w:rPr>
  </w:style>
  <w:style w:type="paragraph" w:styleId="CommentSubject">
    <w:name w:val="annotation subject"/>
    <w:basedOn w:val="CommentText"/>
    <w:next w:val="CommentText"/>
    <w:link w:val="CommentSubjectChar"/>
    <w:uiPriority w:val="99"/>
    <w:semiHidden/>
    <w:unhideWhenUsed/>
    <w:rsid w:val="009A6981"/>
    <w:rPr>
      <w:b/>
      <w:bCs/>
    </w:rPr>
  </w:style>
  <w:style w:type="character" w:customStyle="1" w:styleId="CommentSubjectChar">
    <w:name w:val="Comment Subject Char"/>
    <w:basedOn w:val="CommentTextChar"/>
    <w:link w:val="CommentSubject"/>
    <w:uiPriority w:val="99"/>
    <w:semiHidden/>
    <w:rsid w:val="009A6981"/>
    <w:rPr>
      <w:b/>
      <w:bCs/>
      <w:sz w:val="20"/>
      <w:szCs w:val="20"/>
    </w:rPr>
  </w:style>
  <w:style w:type="character" w:styleId="Hyperlink">
    <w:name w:val="Hyperlink"/>
    <w:basedOn w:val="DefaultParagraphFont"/>
    <w:uiPriority w:val="99"/>
    <w:unhideWhenUsed/>
    <w:rsid w:val="00265C52"/>
    <w:rPr>
      <w:color w:val="0563C1" w:themeColor="hyperlink"/>
      <w:u w:val="single"/>
    </w:rPr>
  </w:style>
  <w:style w:type="character" w:styleId="UnresolvedMention">
    <w:name w:val="Unresolved Mention"/>
    <w:basedOn w:val="DefaultParagraphFont"/>
    <w:uiPriority w:val="99"/>
    <w:semiHidden/>
    <w:unhideWhenUsed/>
    <w:rsid w:val="00265C52"/>
    <w:rPr>
      <w:color w:val="605E5C"/>
      <w:shd w:val="clear" w:color="auto" w:fill="E1DFDD"/>
    </w:rPr>
  </w:style>
  <w:style w:type="character" w:customStyle="1" w:styleId="cf01">
    <w:name w:val="cf01"/>
    <w:basedOn w:val="DefaultParagraphFont"/>
    <w:rsid w:val="00DB676C"/>
    <w:rPr>
      <w:rFonts w:ascii="Segoe UI" w:hAnsi="Segoe UI" w:cs="Segoe UI" w:hint="default"/>
      <w:color w:val="002E2E"/>
      <w:sz w:val="18"/>
      <w:szCs w:val="18"/>
      <w:shd w:val="clear" w:color="auto" w:fill="FFFFFF"/>
    </w:rPr>
  </w:style>
  <w:style w:type="paragraph" w:customStyle="1" w:styleId="pf0">
    <w:name w:val="pf0"/>
    <w:basedOn w:val="Normal"/>
    <w:rsid w:val="00DB676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LineNumber">
    <w:name w:val="line number"/>
    <w:basedOn w:val="DefaultParagraphFont"/>
    <w:uiPriority w:val="99"/>
    <w:semiHidden/>
    <w:unhideWhenUsed/>
    <w:rsid w:val="005838DD"/>
  </w:style>
  <w:style w:type="table" w:styleId="TableGrid">
    <w:name w:val="Table Grid"/>
    <w:basedOn w:val="TableNormal"/>
    <w:uiPriority w:val="39"/>
    <w:rsid w:val="0051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6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26511">
      <w:bodyDiv w:val="1"/>
      <w:marLeft w:val="0"/>
      <w:marRight w:val="0"/>
      <w:marTop w:val="0"/>
      <w:marBottom w:val="0"/>
      <w:divBdr>
        <w:top w:val="none" w:sz="0" w:space="0" w:color="auto"/>
        <w:left w:val="none" w:sz="0" w:space="0" w:color="auto"/>
        <w:bottom w:val="none" w:sz="0" w:space="0" w:color="auto"/>
        <w:right w:val="none" w:sz="0" w:space="0" w:color="auto"/>
      </w:divBdr>
    </w:div>
    <w:div w:id="302932554">
      <w:bodyDiv w:val="1"/>
      <w:marLeft w:val="0"/>
      <w:marRight w:val="0"/>
      <w:marTop w:val="0"/>
      <w:marBottom w:val="0"/>
      <w:divBdr>
        <w:top w:val="none" w:sz="0" w:space="0" w:color="auto"/>
        <w:left w:val="none" w:sz="0" w:space="0" w:color="auto"/>
        <w:bottom w:val="none" w:sz="0" w:space="0" w:color="auto"/>
        <w:right w:val="none" w:sz="0" w:space="0" w:color="auto"/>
      </w:divBdr>
      <w:divsChild>
        <w:div w:id="96676187">
          <w:marLeft w:val="0"/>
          <w:marRight w:val="0"/>
          <w:marTop w:val="0"/>
          <w:marBottom w:val="0"/>
          <w:divBdr>
            <w:top w:val="none" w:sz="0" w:space="0" w:color="auto"/>
            <w:left w:val="none" w:sz="0" w:space="0" w:color="auto"/>
            <w:bottom w:val="none" w:sz="0" w:space="0" w:color="auto"/>
            <w:right w:val="none" w:sz="0" w:space="0" w:color="auto"/>
          </w:divBdr>
        </w:div>
      </w:divsChild>
    </w:div>
    <w:div w:id="797770574">
      <w:bodyDiv w:val="1"/>
      <w:marLeft w:val="0"/>
      <w:marRight w:val="0"/>
      <w:marTop w:val="0"/>
      <w:marBottom w:val="0"/>
      <w:divBdr>
        <w:top w:val="none" w:sz="0" w:space="0" w:color="auto"/>
        <w:left w:val="none" w:sz="0" w:space="0" w:color="auto"/>
        <w:bottom w:val="none" w:sz="0" w:space="0" w:color="auto"/>
        <w:right w:val="none" w:sz="0" w:space="0" w:color="auto"/>
      </w:divBdr>
    </w:div>
    <w:div w:id="926304471">
      <w:bodyDiv w:val="1"/>
      <w:marLeft w:val="0"/>
      <w:marRight w:val="0"/>
      <w:marTop w:val="0"/>
      <w:marBottom w:val="0"/>
      <w:divBdr>
        <w:top w:val="none" w:sz="0" w:space="0" w:color="auto"/>
        <w:left w:val="none" w:sz="0" w:space="0" w:color="auto"/>
        <w:bottom w:val="none" w:sz="0" w:space="0" w:color="auto"/>
        <w:right w:val="none" w:sz="0" w:space="0" w:color="auto"/>
      </w:divBdr>
    </w:div>
    <w:div w:id="1270116015">
      <w:bodyDiv w:val="1"/>
      <w:marLeft w:val="0"/>
      <w:marRight w:val="0"/>
      <w:marTop w:val="0"/>
      <w:marBottom w:val="0"/>
      <w:divBdr>
        <w:top w:val="none" w:sz="0" w:space="0" w:color="auto"/>
        <w:left w:val="none" w:sz="0" w:space="0" w:color="auto"/>
        <w:bottom w:val="none" w:sz="0" w:space="0" w:color="auto"/>
        <w:right w:val="none" w:sz="0" w:space="0" w:color="auto"/>
      </w:divBdr>
    </w:div>
    <w:div w:id="1490558002">
      <w:bodyDiv w:val="1"/>
      <w:marLeft w:val="0"/>
      <w:marRight w:val="0"/>
      <w:marTop w:val="0"/>
      <w:marBottom w:val="0"/>
      <w:divBdr>
        <w:top w:val="none" w:sz="0" w:space="0" w:color="auto"/>
        <w:left w:val="none" w:sz="0" w:space="0" w:color="auto"/>
        <w:bottom w:val="none" w:sz="0" w:space="0" w:color="auto"/>
        <w:right w:val="none" w:sz="0" w:space="0" w:color="auto"/>
      </w:divBdr>
      <w:divsChild>
        <w:div w:id="7612933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99B1E7-F206-44E8-8966-E8B6EDD4D2C4}">
  <we:reference id="wa104382081" version="1.55.1.0" store="da-DK" storeType="OMEX"/>
  <we:alternateReferences>
    <we:reference id="WA104382081" version="1.55.1.0" store="" storeType="OMEX"/>
  </we:alternateReferences>
  <we:properties>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168B5-8B7E-4B2A-B94C-78989AEE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2604</Words>
  <Characters>14843</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Nordjylland</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Runason Simonsen</dc:creator>
  <cp:keywords/>
  <dc:description/>
  <cp:lastModifiedBy>Thadani, Lavina</cp:lastModifiedBy>
  <cp:revision>3</cp:revision>
  <dcterms:created xsi:type="dcterms:W3CDTF">2024-12-16T08:51:00Z</dcterms:created>
  <dcterms:modified xsi:type="dcterms:W3CDTF">2024-12-27T00:23:00Z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5f1e83c2-3ac3-3fef-8ec0-8cd8a770d7ac</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lassificationContentMarkingFooterShapeIds">
    <vt:lpwstr>45c1bd7c,2ebffcff,21ddba5c</vt:lpwstr>
  </property>
  <property fmtid="{D5CDD505-2E9C-101B-9397-08002B2CF9AE}" pid="26" name="ClassificationContentMarkingFooterFontProps">
    <vt:lpwstr>#0078d7,9,Rockwell</vt:lpwstr>
  </property>
  <property fmtid="{D5CDD505-2E9C-101B-9397-08002B2CF9AE}" pid="27" name="ClassificationContentMarkingFooterText">
    <vt:lpwstr>Information Classification: General</vt:lpwstr>
  </property>
  <property fmtid="{D5CDD505-2E9C-101B-9397-08002B2CF9AE}" pid="28" name="MSIP_Label_2bbab825-a111-45e4-86a1-18cee0005896_Enabled">
    <vt:lpwstr>true</vt:lpwstr>
  </property>
  <property fmtid="{D5CDD505-2E9C-101B-9397-08002B2CF9AE}" pid="29" name="MSIP_Label_2bbab825-a111-45e4-86a1-18cee0005896_SetDate">
    <vt:lpwstr>2024-12-27T00:23:51Z</vt:lpwstr>
  </property>
  <property fmtid="{D5CDD505-2E9C-101B-9397-08002B2CF9AE}" pid="30" name="MSIP_Label_2bbab825-a111-45e4-86a1-18cee0005896_Method">
    <vt:lpwstr>Standard</vt:lpwstr>
  </property>
  <property fmtid="{D5CDD505-2E9C-101B-9397-08002B2CF9AE}" pid="31" name="MSIP_Label_2bbab825-a111-45e4-86a1-18cee0005896_Name">
    <vt:lpwstr>2bbab825-a111-45e4-86a1-18cee0005896</vt:lpwstr>
  </property>
  <property fmtid="{D5CDD505-2E9C-101B-9397-08002B2CF9AE}" pid="32" name="MSIP_Label_2bbab825-a111-45e4-86a1-18cee0005896_SiteId">
    <vt:lpwstr>2567d566-604c-408a-8a60-55d0dc9d9d6b</vt:lpwstr>
  </property>
  <property fmtid="{D5CDD505-2E9C-101B-9397-08002B2CF9AE}" pid="33" name="MSIP_Label_2bbab825-a111-45e4-86a1-18cee0005896_ActionId">
    <vt:lpwstr>514719ca-e994-4e3b-b42b-73f2467fb900</vt:lpwstr>
  </property>
  <property fmtid="{D5CDD505-2E9C-101B-9397-08002B2CF9AE}" pid="34" name="MSIP_Label_2bbab825-a111-45e4-86a1-18cee0005896_ContentBits">
    <vt:lpwstr>2</vt:lpwstr>
  </property>
</Properties>
</file>