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BA1617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Figure S1</w:t>
      </w:r>
    </w:p>
    <w:p w14:paraId="6BD51495">
      <w:pPr>
        <w:spacing w:line="480" w:lineRule="auto"/>
        <w:rPr>
          <w:rFonts w:ascii="Arial" w:hAnsi="Arial" w:cs="Arial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A81F69C">
      <w:pPr>
        <w:spacing w:line="480" w:lineRule="auto"/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Figure S1</w:t>
      </w:r>
      <w:r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Scatter plot analysis of the selected modules</w:t>
      </w:r>
    </w:p>
    <w:p w14:paraId="2F97A8D1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221990"/>
            <wp:effectExtent l="0" t="0" r="9525" b="8890"/>
            <wp:docPr id="1" name="图片 1" descr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5421">
      <w:pPr>
        <w:spacing w:line="480" w:lineRule="auto"/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44E53F30">
      <w:pPr>
        <w:spacing w:line="480" w:lineRule="auto"/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7ADD97BD">
      <w:pPr>
        <w:spacing w:line="480" w:lineRule="auto"/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(A–E)</w:t>
      </w:r>
      <w:r>
        <w:rPr>
          <w:rFonts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Scatterplots of gene significance versus module membership showing 2380 key module genes related to asthma.</w:t>
      </w:r>
    </w:p>
    <w:p w14:paraId="4726F05A"/>
    <w:p w14:paraId="35EABD2B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52104B38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54EBA67D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CC92C48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9A3CD08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4F6A8469">
      <w:pPr>
        <w:spacing w:line="480" w:lineRule="auto"/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</w:p>
    <w:p w14:paraId="0A3F5A6A">
      <w:pPr>
        <w:spacing w:line="480" w:lineRule="auto"/>
        <w:rPr>
          <w:rFonts w:hint="eastAsia"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Table S1</w:t>
      </w:r>
      <w:r>
        <w:rPr>
          <w:rFonts w:hint="eastAsia" w:ascii="Arial" w:hAnsi="Arial" w:cs="Arial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Primers used for real-time quantitative PCR</w:t>
      </w:r>
    </w:p>
    <w:p w14:paraId="01EA8C0C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14800" cy="2987040"/>
            <wp:effectExtent l="0" t="0" r="0" b="0"/>
            <wp:docPr id="2" name="图片 2" descr="90b5cf781e6f9e5c9722ef53db6c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b5cf781e6f9e5c9722ef53db6ca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73B0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4344761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199087A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9089D2E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7D40C198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6E948A6C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97AE068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3A15D08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13C76EF8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A15487F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9759F2F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F7D7C20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0BA2F38">
      <w:pPr>
        <w:spacing w:line="480" w:lineRule="auto"/>
        <w:rPr>
          <w:rFonts w:hint="eastAsia" w:ascii="Arial" w:hAnsi="Arial" w:cs="Arial" w:eastAsiaTheme="minorEastAsia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F07347A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 xml:space="preserve">Table S2 </w:t>
      </w: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The clinical characteristics of the asthma patients</w:t>
      </w:r>
    </w:p>
    <w:p w14:paraId="267CDBD6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102485"/>
            <wp:effectExtent l="0" t="0" r="4445" b="635"/>
            <wp:docPr id="3" name="图片 3" descr="微信图片_2024110221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022103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A247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6C37DFCE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A01245B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97C63F5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0D5AF258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0A963A7C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F07953A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33238A9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128A16AA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D18CEBB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09C7DA40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00CFD3F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77709D39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5FA0D0A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445E05D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1F29B007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2B62974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 xml:space="preserve">Table S3 </w:t>
      </w: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Differentially expressed genes of the GSE63142 dataset</w:t>
      </w:r>
    </w:p>
    <w:p w14:paraId="7042A11B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68575" cy="8327390"/>
            <wp:effectExtent l="0" t="0" r="6985" b="8890"/>
            <wp:docPr id="4" name="图片 4" descr="微信图片_202411022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022113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832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2CF73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 xml:space="preserve">Table S4  </w:t>
      </w: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Key module genes related to asthma</w:t>
      </w:r>
    </w:p>
    <w:p w14:paraId="1435EDAE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32555" cy="8199755"/>
            <wp:effectExtent l="0" t="0" r="14605" b="14605"/>
            <wp:docPr id="5" name="图片 5" descr="微信图片_2024110221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02212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81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57A0B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 xml:space="preserve">Table S5 </w:t>
      </w: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The transcription factors that may regulate key glycosylation-related genes</w:t>
      </w:r>
    </w:p>
    <w:p w14:paraId="677A157A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42060" cy="5615940"/>
            <wp:effectExtent l="0" t="0" r="7620" b="7620"/>
            <wp:docPr id="6" name="图片 6" descr="微信图片_2024110221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022127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06C28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F2918D7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3A754EB9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66F35FD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26C90055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5E548C41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449754A8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</w:p>
    <w:p w14:paraId="08C56E30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Arial" w:hAnsi="Arial" w:cs="Arial"/>
          <w:b/>
          <w:bCs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 xml:space="preserve">Table S6 </w:t>
      </w:r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The proportion of immune infiltrating cells in the asthma immune microenvironment using the GSE63142 database</w:t>
      </w:r>
    </w:p>
    <w:p w14:paraId="43C26ED5">
      <w:pPr>
        <w:spacing w:line="480" w:lineRule="auto"/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Arial" w:hAnsi="Arial" w:cs="Arial"/>
          <w:b w:val="0"/>
          <w:bCs w:val="0"/>
          <w:color w:val="000000" w:themeColor="text1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7858760"/>
            <wp:effectExtent l="0" t="0" r="8255" b="5080"/>
            <wp:docPr id="7" name="图片 7" descr="微信图片_2024110221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022138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8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lZjk4ODA1N2EwMzFiZDRkMGM0NzFkYjAyZTRjNDQifQ=="/>
  </w:docVars>
  <w:rsids>
    <w:rsidRoot w:val="00000000"/>
    <w:rsid w:val="0DC74752"/>
    <w:rsid w:val="4ACF3643"/>
    <w:rsid w:val="778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</Words>
  <Characters>153</Characters>
  <Lines>0</Lines>
  <Paragraphs>0</Paragraphs>
  <TotalTime>50</TotalTime>
  <ScaleCrop>false</ScaleCrop>
  <LinksUpToDate>false</LinksUpToDate>
  <CharactersWithSpaces>177</CharactersWithSpaces>
  <Application>WPS Office_12.1.0.18909_F1E327BC-269C-435d-A152-05C5408002CA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2024-10-23T15:06:00Z</dcterms:created>
  <dc:creator>huawei</dc:creator>
  <cp:lastModifiedBy>萌萌</cp:lastModifiedBy>
  <dcterms:modified xsi:type="dcterms:W3CDTF">2024-11-02T13:39:06Z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2052-12.1.0.18909</vt:lpwstr>
  </property>
  <property fmtid="{D5CDD505-2E9C-101B-9397-08002B2CF9AE}" pid="3" name="ICV">
    <vt:lpwstr>DD20FF63C77147749CCD1B648F6F4046_12</vt:lpwstr>
  </property>
</Properties>
</file>