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A1617">
      <w:pPr>
        <w:spacing w:line="480" w:lineRule="auto"/>
        <w:rPr>
          <w:rFonts w:ascii="Arial" w:hAnsi="Arial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Figure S1</w:t>
      </w:r>
    </w:p>
    <w:p w14:paraId="6BD51495">
      <w:pPr>
        <w:spacing w:line="480" w:lineRule="auto"/>
        <w:rPr>
          <w:rFonts w:ascii="Arial" w:hAnsi="Arial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A81F69C">
      <w:pPr>
        <w:spacing w:line="480" w:lineRule="auto"/>
        <w:rPr>
          <w:rFonts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Figure S1</w:t>
      </w:r>
      <w:r>
        <w:rPr>
          <w:rFonts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Scatter plot analysis of the selected modules</w:t>
      </w:r>
    </w:p>
    <w:p w14:paraId="2F97A8D1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3515" cy="3221990"/>
            <wp:effectExtent l="0" t="0" r="9525" b="8890"/>
            <wp:docPr id="1" name="图片 1" descr="Supplementary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65421">
      <w:pPr>
        <w:spacing w:line="480" w:lineRule="auto"/>
        <w:rPr>
          <w:rFonts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4E53F30">
      <w:pPr>
        <w:spacing w:line="480" w:lineRule="auto"/>
        <w:rPr>
          <w:rFonts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7ADD97BD">
      <w:pPr>
        <w:spacing w:line="480" w:lineRule="auto"/>
        <w:rPr>
          <w:rFonts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(A–E)</w:t>
      </w:r>
      <w:r>
        <w:rPr>
          <w:rFonts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Scatterplots of gene significance versus module membership showing 2380 key module genes related to asthma.</w:t>
      </w:r>
    </w:p>
    <w:p w14:paraId="4726F05A"/>
    <w:p w14:paraId="35EABD2B">
      <w:pPr>
        <w:spacing w:line="480" w:lineRule="auto"/>
        <w:rPr>
          <w:rFonts w:hint="eastAsia"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2104B38">
      <w:pPr>
        <w:spacing w:line="480" w:lineRule="auto"/>
        <w:rPr>
          <w:rFonts w:hint="eastAsia"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4EBA67D">
      <w:pPr>
        <w:spacing w:line="480" w:lineRule="auto"/>
        <w:rPr>
          <w:rFonts w:hint="eastAsia"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CC92C48">
      <w:pPr>
        <w:spacing w:line="480" w:lineRule="auto"/>
        <w:rPr>
          <w:rFonts w:hint="eastAsia"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9A3CD08">
      <w:pPr>
        <w:spacing w:line="480" w:lineRule="auto"/>
        <w:rPr>
          <w:rFonts w:hint="eastAsia"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F6A8469">
      <w:pPr>
        <w:spacing w:line="480" w:lineRule="auto"/>
        <w:rPr>
          <w:rFonts w:hint="eastAsia"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A3F5A6A">
      <w:pPr>
        <w:spacing w:line="480" w:lineRule="auto"/>
        <w:rPr>
          <w:rFonts w:hint="eastAsia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S1</w:t>
      </w:r>
      <w:r>
        <w:rPr>
          <w:rFonts w:hint="eastAsia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Primers used for real-time quantitative PCR</w:t>
      </w:r>
    </w:p>
    <w:p w14:paraId="01EA8C0C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114800" cy="2987040"/>
            <wp:effectExtent l="0" t="0" r="0" b="0"/>
            <wp:docPr id="2" name="图片 2" descr="90b5cf781e6f9e5c9722ef53db6ca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0b5cf781e6f9e5c9722ef53db6ca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F73B0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34344761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2199087A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39089D2E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7D40C198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6E948A6C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497AE068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23A15D08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13C76EF8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2A15487F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59759F2F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3F7D7C20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40BA2F38">
      <w:pPr>
        <w:spacing w:line="480" w:lineRule="auto"/>
        <w:rPr>
          <w:rFonts w:hint="eastAsia" w:ascii="Arial" w:hAnsi="Arial" w:cs="Arial" w:eastAsiaTheme="minorEastAsia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3F07347A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 xml:space="preserve">Table S2 </w:t>
      </w: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The clinical characteristics of the asthma patients</w:t>
      </w:r>
    </w:p>
    <w:p w14:paraId="267CDBD6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2102485"/>
            <wp:effectExtent l="0" t="0" r="4445" b="635"/>
            <wp:docPr id="3" name="图片 3" descr="微信图片_2024110221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11022103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6A247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6C37DFCE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2A01245B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597C63F5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0D5AF258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0A963A7C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4F07953A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433238A9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128A16AA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5D18CEBB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09C7DA40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300CFD3F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77709D39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45FA0D0A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5445E05D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1F29B007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22B62974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 xml:space="preserve">Table S3 </w:t>
      </w: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Differentially expressed genes of the GSE63142 dataset</w:t>
      </w:r>
    </w:p>
    <w:p w14:paraId="7042A11B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568575" cy="8327390"/>
            <wp:effectExtent l="0" t="0" r="6985" b="8890"/>
            <wp:docPr id="4" name="图片 4" descr="微信图片_2024110221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1022113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832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2CF73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 xml:space="preserve">Table S4  </w:t>
      </w: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Key module genes related to asthma</w:t>
      </w:r>
    </w:p>
    <w:p w14:paraId="1435EDAE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932555" cy="8199755"/>
            <wp:effectExtent l="0" t="0" r="14605" b="14605"/>
            <wp:docPr id="5" name="图片 5" descr="微信图片_20241102212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11022122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57A0B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 xml:space="preserve">Table S5 </w:t>
      </w: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The transcription factors that may regulate key glycosylation-related genes</w:t>
      </w:r>
    </w:p>
    <w:p w14:paraId="677A157A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242060" cy="5615940"/>
            <wp:effectExtent l="0" t="0" r="7620" b="7620"/>
            <wp:docPr id="6" name="图片 6" descr="微信图片_20241102212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11022127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06C28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5F2918D7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3A754EB9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566F35FD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26C90055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5E548C41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449754A8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</w:p>
    <w:p w14:paraId="08C56E30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 xml:space="preserve">Table S6 </w:t>
      </w:r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The proportion of immune infiltrating cells in the asthma immune microenvironment using the GSE63142 database</w:t>
      </w:r>
    </w:p>
    <w:p w14:paraId="43C26ED5">
      <w:pPr>
        <w:spacing w:line="480" w:lineRule="auto"/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Arial" w:hAnsi="Arial" w:cs="Arial"/>
          <w:b w:val="0"/>
          <w:bCs w:val="0"/>
          <w:color w:val="000000" w:themeColor="text1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7858760"/>
            <wp:effectExtent l="0" t="0" r="8255" b="5080"/>
            <wp:docPr id="7" name="图片 7" descr="微信图片_20241102213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11022138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lZjk4ODA1N2EwMzFiZDRkMGM0NzFkYjAyZTRjNDQifQ=="/>
  </w:docVars>
  <w:rsids>
    <w:rsidRoot w:val="00000000"/>
    <w:rsid w:val="0DC74752"/>
    <w:rsid w:val="4ACF3643"/>
    <w:rsid w:val="778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</Words>
  <Characters>153</Characters>
  <Lines>0</Lines>
  <Paragraphs>0</Paragraphs>
  <TotalTime>50</TotalTime>
  <ScaleCrop>false</ScaleCrop>
  <LinksUpToDate>false</LinksUpToDate>
  <CharactersWithSpaces>177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2024-10-23T15:06:00Z</dcterms:created>
  <dc:creator>huawei</dc:creator>
  <cp:lastModifiedBy>萌萌</cp:lastModifiedBy>
  <dcterms:modified xsi:type="dcterms:W3CDTF">2024-11-02T13:39:06Z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DD20FF63C77147749CCD1B648F6F4046_12</vt:lpwstr>
  </property>
</Properties>
</file>