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7817D" w14:textId="77777777" w:rsidR="00FA6D04" w:rsidRDefault="00FA6D04" w:rsidP="00FA6D04">
      <w:pPr>
        <w:spacing w:before="240" w:after="240" w:line="480" w:lineRule="auto"/>
        <w:jc w:val="both"/>
        <w:rPr>
          <w:rFonts w:asciiTheme="majorBidi" w:hAnsiTheme="majorBidi" w:cstheme="majorBidi"/>
          <w:b/>
          <w:bCs/>
          <w:color w:val="000000" w:themeColor="text1"/>
        </w:rPr>
      </w:pPr>
      <w:r w:rsidRPr="00DA7B14">
        <w:rPr>
          <w:b/>
          <w:bCs/>
        </w:rPr>
        <w:t xml:space="preserve">Supplementary file </w:t>
      </w:r>
      <w:r>
        <w:rPr>
          <w:b/>
          <w:bCs/>
        </w:rPr>
        <w:t xml:space="preserve">1: </w:t>
      </w:r>
      <w:r>
        <w:rPr>
          <w:rFonts w:asciiTheme="majorBidi" w:hAnsiTheme="majorBidi" w:cstheme="majorBidi"/>
          <w:b/>
          <w:bCs/>
          <w:color w:val="000000" w:themeColor="text1"/>
        </w:rPr>
        <w:t>Detailed methods</w:t>
      </w:r>
    </w:p>
    <w:p w14:paraId="5E7C3019" w14:textId="1ACCB2D5" w:rsidR="00FA6D04" w:rsidRDefault="00FA6D04" w:rsidP="00FA6D04">
      <w:pPr>
        <w:spacing w:before="240" w:after="240" w:line="48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Study setting</w:t>
      </w:r>
    </w:p>
    <w:p w14:paraId="4BDA5AB1" w14:textId="56F3D02B" w:rsidR="00FA6D04" w:rsidRDefault="00FA6D04" w:rsidP="00FA6D04">
      <w:pPr>
        <w:spacing w:line="480" w:lineRule="auto"/>
        <w:jc w:val="both"/>
        <w:rPr>
          <w:rFonts w:asciiTheme="majorBidi" w:hAnsiTheme="majorBidi" w:cstheme="majorBidi"/>
          <w:color w:val="C00000"/>
        </w:rPr>
      </w:pPr>
      <w:r w:rsidRPr="00FD2B7B">
        <w:rPr>
          <w:rFonts w:asciiTheme="majorBidi" w:hAnsiTheme="majorBidi" w:cstheme="majorBidi"/>
        </w:rPr>
        <w:t xml:space="preserve">The </w:t>
      </w:r>
      <w:r>
        <w:rPr>
          <w:rFonts w:asciiTheme="majorBidi" w:hAnsiTheme="majorBidi" w:cstheme="majorBidi"/>
        </w:rPr>
        <w:t>data was collected from</w:t>
      </w:r>
      <w:r w:rsidRPr="00FD2B7B">
        <w:rPr>
          <w:rFonts w:asciiTheme="majorBidi" w:hAnsiTheme="majorBidi" w:cstheme="majorBidi"/>
        </w:rPr>
        <w:t xml:space="preserve"> five hospitals in Saudi Arabia: King Abdulaziz Medical City (Riyadh &amp; Jeddah), King Abdulaziz University Hospital (Jeddah), King Abdullah bin Abdulaziz University Hospital (KAAUH) (Riyadh), and King Salman Specialist Hospital (Hail). These centers were selected based on the geographic distribution, the availability of electronic records, and the center's willingness to participate in the national project. The primary site was King Abdulaziz Medical City (Riyadh)</w:t>
      </w:r>
      <w:r w:rsidR="003573C1">
        <w:rPr>
          <w:rFonts w:asciiTheme="majorBidi" w:hAnsiTheme="majorBidi" w:cstheme="majorBidi"/>
          <w:color w:val="C00000"/>
        </w:rPr>
        <w:t xml:space="preserve">. </w:t>
      </w:r>
    </w:p>
    <w:p w14:paraId="4CEBD1DB" w14:textId="77777777" w:rsidR="00FA6D04" w:rsidRDefault="00FA6D04" w:rsidP="00FA6D04">
      <w:pPr>
        <w:spacing w:before="280" w:after="280" w:line="480" w:lineRule="auto"/>
        <w:jc w:val="both"/>
        <w:rPr>
          <w:rFonts w:asciiTheme="majorBidi" w:hAnsiTheme="majorBidi" w:cstheme="majorBidi"/>
          <w:b/>
        </w:rPr>
      </w:pPr>
      <w:r w:rsidRPr="00FD2B7B">
        <w:rPr>
          <w:rFonts w:asciiTheme="majorBidi" w:hAnsiTheme="majorBidi" w:cstheme="majorBidi"/>
          <w:b/>
        </w:rPr>
        <w:t>Data collection</w:t>
      </w:r>
    </w:p>
    <w:p w14:paraId="64778DEC" w14:textId="77777777" w:rsidR="00FA6D04" w:rsidRPr="00FD2B7B" w:rsidRDefault="00FA6D04" w:rsidP="00FA6D04">
      <w:pPr>
        <w:spacing w:before="280" w:after="280" w:line="480" w:lineRule="auto"/>
        <w:jc w:val="both"/>
        <w:rPr>
          <w:rFonts w:asciiTheme="majorBidi" w:hAnsiTheme="majorBidi" w:cstheme="majorBidi"/>
        </w:rPr>
      </w:pPr>
      <w:r>
        <w:rPr>
          <w:rFonts w:asciiTheme="majorBidi" w:hAnsiTheme="majorBidi" w:cstheme="majorBidi"/>
        </w:rPr>
        <w:t>Participants'</w:t>
      </w:r>
      <w:r w:rsidRPr="00FD2B7B">
        <w:rPr>
          <w:rFonts w:asciiTheme="majorBidi" w:hAnsiTheme="majorBidi" w:cstheme="majorBidi"/>
        </w:rPr>
        <w:t xml:space="preserve"> data were collected and controlled using King Abdullah International Medical Research Center's Research Electronic Data Capture (</w:t>
      </w:r>
      <w:proofErr w:type="spellStart"/>
      <w:r w:rsidRPr="00FD2B7B">
        <w:rPr>
          <w:rFonts w:asciiTheme="majorBidi" w:hAnsiTheme="majorBidi" w:cstheme="majorBidi"/>
        </w:rPr>
        <w:t>REDCap</w:t>
      </w:r>
      <w:proofErr w:type="spellEnd"/>
      <w:r w:rsidRPr="00FD2B7B">
        <w:rPr>
          <w:rFonts w:asciiTheme="majorBidi" w:hAnsiTheme="majorBidi" w:cstheme="majorBidi"/>
        </w:rPr>
        <w:t>®) software. We collected patients' demographic data, comorbidities, vital signs and laboratory tests, baseline severity scores (i.e., Acute Physiology and Chronic Health Evaluation II (APACHE II), and Sequential Organ Failure Assessment (SOFA)), MV parameters (e.g., PaO2/FiO2 ratio) and oxygenation index (OI) within 24 hours of ICU admission. Moreover, coagulation and hematological tests (i.e., Hematocrit, platelets, INR, aPTT, fibrinogen, D-dimer), inflammatory markers (i.e., Ferritin, and C-reactive protein), renal (i.e., Serum creatinine, Blood urea nitrogen (BUN)), and liver function tests (e.g.</w:t>
      </w:r>
      <w:r>
        <w:rPr>
          <w:rFonts w:asciiTheme="majorBidi" w:hAnsiTheme="majorBidi" w:cstheme="majorBidi"/>
        </w:rPr>
        <w:t>,</w:t>
      </w:r>
      <w:r w:rsidRPr="00FD2B7B">
        <w:rPr>
          <w:rFonts w:asciiTheme="majorBidi" w:hAnsiTheme="majorBidi" w:cstheme="majorBidi"/>
        </w:rPr>
        <w:t xml:space="preserve"> Alanine transaminase (ALT) and total bilirubin) within 24 hours of ICU admission were collected. In addition, ventilator</w:t>
      </w:r>
      <w:r>
        <w:rPr>
          <w:rFonts w:asciiTheme="majorBidi" w:hAnsiTheme="majorBidi" w:cstheme="majorBidi"/>
        </w:rPr>
        <w:t>-</w:t>
      </w:r>
      <w:r w:rsidRPr="00FD2B7B">
        <w:rPr>
          <w:rFonts w:asciiTheme="majorBidi" w:hAnsiTheme="majorBidi" w:cstheme="majorBidi"/>
        </w:rPr>
        <w:t xml:space="preserve">free days (VFDs), length of stay, and blood product transfusion were recorded for the eligible patients. </w:t>
      </w:r>
    </w:p>
    <w:p w14:paraId="6B7D3C48" w14:textId="3D49E76E" w:rsidR="001C0DAF" w:rsidRDefault="001C0DAF"/>
    <w:sectPr w:rsidR="001C0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04"/>
    <w:rsid w:val="001C0DAF"/>
    <w:rsid w:val="003573C1"/>
    <w:rsid w:val="003F78C4"/>
    <w:rsid w:val="004A348E"/>
    <w:rsid w:val="007D7C59"/>
    <w:rsid w:val="008A1512"/>
    <w:rsid w:val="00B3286B"/>
    <w:rsid w:val="00BE728E"/>
    <w:rsid w:val="00BF23C4"/>
    <w:rsid w:val="00D57E92"/>
    <w:rsid w:val="00DE035F"/>
    <w:rsid w:val="00EA1500"/>
    <w:rsid w:val="00FA51CB"/>
    <w:rsid w:val="00FA6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5643"/>
  <w15:chartTrackingRefBased/>
  <w15:docId w15:val="{0735D0CA-91FA-1547-9EA5-D08A3729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D04"/>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5098-EA30-8F44-8B97-6928546D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مي أحمد محمد العلوي</dc:creator>
  <cp:keywords/>
  <dc:description/>
  <cp:lastModifiedBy>AL SULAIMAN, KHALID</cp:lastModifiedBy>
  <cp:revision>3</cp:revision>
  <dcterms:created xsi:type="dcterms:W3CDTF">2023-06-08T07:37:00Z</dcterms:created>
  <dcterms:modified xsi:type="dcterms:W3CDTF">2024-10-29T09:30:00Z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http://www.zotero.org/styles/american-medical-association-10th-edition</vt:lpwstr>
  </property>
  <property fmtid="{D5CDD505-2E9C-101B-9397-08002B2CF9AE}" pid="3" name="Mendeley Recent Style Name 0_1">
    <vt:lpwstr>American Medical Association 10th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http://www.zotero.org/styles/antibiotics</vt:lpwstr>
  </property>
  <property fmtid="{D5CDD505-2E9C-101B-9397-08002B2CF9AE}" pid="7" name="Mendeley Recent Style Name 2_1">
    <vt:lpwstr>Antibiotics</vt:lpwstr>
  </property>
  <property fmtid="{D5CDD505-2E9C-101B-9397-08002B2CF9AE}" pid="8" name="Mendeley Recent Style Id 3_1">
    <vt:lpwstr>http://www.zotero.org/styles/chest</vt:lpwstr>
  </property>
  <property fmtid="{D5CDD505-2E9C-101B-9397-08002B2CF9AE}" pid="9" name="Mendeley Recent Style Name 3_1">
    <vt:lpwstr>Chest</vt:lpwstr>
  </property>
  <property fmtid="{D5CDD505-2E9C-101B-9397-08002B2CF9AE}" pid="10" name="Mendeley Recent Style Id 4_1">
    <vt:lpwstr>http://www.zotero.org/styles/frontiers-in-public-health</vt:lpwstr>
  </property>
  <property fmtid="{D5CDD505-2E9C-101B-9397-08002B2CF9AE}" pid="11" name="Mendeley Recent Style Name 4_1">
    <vt:lpwstr>Frontiers in Public Health</vt:lpwstr>
  </property>
  <property fmtid="{D5CDD505-2E9C-101B-9397-08002B2CF9AE}" pid="12" name="Mendeley Recent Style Id 5_1">
    <vt:lpwstr>http://www.zotero.org/styles/intensive-care-medicine</vt:lpwstr>
  </property>
  <property fmtid="{D5CDD505-2E9C-101B-9397-08002B2CF9AE}" pid="13" name="Mendeley Recent Style Name 5_1">
    <vt:lpwstr>Intensive Care Medicine</vt:lpwstr>
  </property>
  <property fmtid="{D5CDD505-2E9C-101B-9397-08002B2CF9AE}" pid="14" name="Mendeley Recent Style Id 6_1">
    <vt:lpwstr>http://www.zotero.org/styles/journal-of-infection-and-public-health</vt:lpwstr>
  </property>
  <property fmtid="{D5CDD505-2E9C-101B-9397-08002B2CF9AE}" pid="15" name="Mendeley Recent Style Name 6_1">
    <vt:lpwstr>Journal of Infection and Public Health</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http://www.zotero.org/styles/the-annals-of-pharmacotherapy</vt:lpwstr>
  </property>
  <property fmtid="{D5CDD505-2E9C-101B-9397-08002B2CF9AE}" pid="19" name="Mendeley Recent Style Name 8_1">
    <vt:lpwstr>The Annals of Pharmacotherapy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487151b2-dfea-33a5-aa5a-8bb1698f4c3f</vt:lpwstr>
  </property>
  <property fmtid="{D5CDD505-2E9C-101B-9397-08002B2CF9AE}" pid="24" name="Mendeley Citation Style_1">
    <vt:lpwstr>http://www.zotero.org/styles/american-medical-association-10th-edition</vt:lpwstr>
  </property>
</Properties>
</file>