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D05F1" w14:textId="25431A8C" w:rsidR="004C5DF4" w:rsidRDefault="00E263AB">
      <w:pPr>
        <w:rPr>
          <w:rFonts w:ascii="Times New Roman" w:hAnsi="Times New Roman" w:cs="Times New Roman"/>
          <w:b/>
          <w:bCs/>
        </w:rPr>
      </w:pPr>
      <w:r>
        <w:rPr>
          <w:rFonts w:ascii="Times New Roman" w:hAnsi="Times New Roman" w:cs="Times New Roman" w:hint="eastAsia"/>
          <w:b/>
          <w:bCs/>
        </w:rPr>
        <w:t>S</w:t>
      </w:r>
      <w:r w:rsidRPr="00E263AB">
        <w:rPr>
          <w:rFonts w:ascii="Times New Roman" w:hAnsi="Times New Roman" w:cs="Times New Roman" w:hint="eastAsia"/>
          <w:b/>
          <w:bCs/>
        </w:rPr>
        <w:t>upplementary information 1</w:t>
      </w:r>
      <w:r w:rsidR="00000000">
        <w:rPr>
          <w:rFonts w:ascii="Times New Roman" w:hAnsi="Times New Roman" w:cs="Times New Roman" w:hint="eastAsia"/>
          <w:b/>
          <w:bCs/>
        </w:rPr>
        <w:t>:</w:t>
      </w:r>
    </w:p>
    <w:p w14:paraId="7CEA2341" w14:textId="77777777" w:rsidR="004C5DF4" w:rsidRDefault="004C5DF4">
      <w:pPr>
        <w:rPr>
          <w:rFonts w:ascii="Times New Roman" w:hAnsi="Times New Roman" w:cs="Times New Roman"/>
        </w:rPr>
      </w:pPr>
    </w:p>
    <w:p w14:paraId="26588AE0" w14:textId="77777777" w:rsidR="004C5DF4" w:rsidRDefault="00000000">
      <w:pPr>
        <w:rPr>
          <w:rFonts w:ascii="Times New Roman" w:hAnsi="Times New Roman" w:cs="Times New Roman"/>
        </w:rPr>
      </w:pPr>
      <w:r>
        <w:rPr>
          <w:rFonts w:ascii="Times New Roman" w:hAnsi="Times New Roman" w:cs="Times New Roman" w:hint="eastAsia"/>
        </w:rPr>
        <w:t>All administered tests in this study were developed and validated using the CHARLS database. The MMSE is a widely recognized cognitive function assessment tool. The Chinese version of the MMSE, validated for use in Alzheimer</w:t>
      </w:r>
      <w:proofErr w:type="gramStart"/>
      <w:r>
        <w:rPr>
          <w:rFonts w:ascii="Times New Roman" w:hAnsi="Times New Roman" w:cs="Times New Roman" w:hint="eastAsia"/>
        </w:rPr>
        <w:t>’</w:t>
      </w:r>
      <w:proofErr w:type="gramEnd"/>
      <w:r>
        <w:rPr>
          <w:rFonts w:ascii="Times New Roman" w:hAnsi="Times New Roman" w:cs="Times New Roman" w:hint="eastAsia"/>
        </w:rPr>
        <w:t>s disease patients, individuals with depression, and the general population, demonstrates strong validity and reliability. Studies report a Cronbach</w:t>
      </w:r>
      <w:proofErr w:type="gramStart"/>
      <w:r>
        <w:rPr>
          <w:rFonts w:ascii="Times New Roman" w:hAnsi="Times New Roman" w:cs="Times New Roman" w:hint="eastAsia"/>
        </w:rPr>
        <w:t>’</w:t>
      </w:r>
      <w:proofErr w:type="gramEnd"/>
      <w:r>
        <w:rPr>
          <w:rFonts w:ascii="Times New Roman" w:hAnsi="Times New Roman" w:cs="Times New Roman" w:hint="eastAsia"/>
        </w:rPr>
        <w:t>s alpha value of 0.902 for the Chinese MMSE</w:t>
      </w:r>
      <w:r>
        <w:rPr>
          <w:rFonts w:ascii="Times New Roman" w:hAnsi="Times New Roman" w:cs="Times New Roman" w:hint="eastAsia"/>
          <w:vertAlign w:val="superscript"/>
        </w:rPr>
        <w:t>1</w:t>
      </w:r>
      <w:r>
        <w:rPr>
          <w:rFonts w:ascii="Times New Roman" w:hAnsi="Times New Roman" w:cs="Times New Roman" w:hint="eastAsia"/>
        </w:rPr>
        <w:t>. Fried</w:t>
      </w:r>
      <w:proofErr w:type="gramStart"/>
      <w:r>
        <w:rPr>
          <w:rFonts w:ascii="Times New Roman" w:hAnsi="Times New Roman" w:cs="Times New Roman" w:hint="eastAsia"/>
        </w:rPr>
        <w:t>’</w:t>
      </w:r>
      <w:proofErr w:type="gramEnd"/>
      <w:r>
        <w:rPr>
          <w:rFonts w:ascii="Times New Roman" w:hAnsi="Times New Roman" w:cs="Times New Roman" w:hint="eastAsia"/>
        </w:rPr>
        <w:t>s Frailty Phenotype (FFP) is a well-established method for identifying frailty by assessing symptoms and signs associated with biological aging, including atrophy, exhaustion, weakness, slowness, and low levels of physical activity. The latter three measures were evaluated using grip strength, gait speed, and a physical activity scale, respectively. Frailty was assessed according to the FFP criteria. A Chinese-modified frailty phenotype (CMFP) was developed, incorporating specific cutoffs for grip strength and alternative tests for walking speed. Internal consistency reliability of the CMFP, measured by Cronbach</w:t>
      </w:r>
      <w:proofErr w:type="gramStart"/>
      <w:r>
        <w:rPr>
          <w:rFonts w:ascii="Times New Roman" w:hAnsi="Times New Roman" w:cs="Times New Roman" w:hint="eastAsia"/>
        </w:rPr>
        <w:t>’</w:t>
      </w:r>
      <w:proofErr w:type="gramEnd"/>
      <w:r>
        <w:rPr>
          <w:rFonts w:ascii="Times New Roman" w:hAnsi="Times New Roman" w:cs="Times New Roman" w:hint="eastAsia"/>
        </w:rPr>
        <w:t>s alpha, yielded values above 0.60, indicating good reliability</w:t>
      </w:r>
      <w:r>
        <w:rPr>
          <w:rFonts w:ascii="Times New Roman" w:hAnsi="Times New Roman" w:cs="Times New Roman" w:hint="eastAsia"/>
          <w:vertAlign w:val="superscript"/>
        </w:rPr>
        <w:t>2</w:t>
      </w:r>
      <w:r>
        <w:rPr>
          <w:rFonts w:ascii="Times New Roman" w:hAnsi="Times New Roman" w:cs="Times New Roman" w:hint="eastAsia"/>
        </w:rPr>
        <w:t>.</w:t>
      </w:r>
    </w:p>
    <w:p w14:paraId="3F905DD9" w14:textId="77777777" w:rsidR="004C5DF4" w:rsidRDefault="004C5DF4">
      <w:pPr>
        <w:rPr>
          <w:rFonts w:ascii="Times New Roman" w:hAnsi="Times New Roman" w:cs="Times New Roman"/>
        </w:rPr>
      </w:pPr>
    </w:p>
    <w:p w14:paraId="2AE41E26" w14:textId="77777777" w:rsidR="004C5DF4" w:rsidRDefault="00000000">
      <w:pPr>
        <w:rPr>
          <w:rFonts w:ascii="Times New Roman" w:hAnsi="Times New Roman" w:cs="Times New Roman"/>
        </w:rPr>
      </w:pPr>
      <w:r>
        <w:rPr>
          <w:rFonts w:ascii="Times New Roman" w:hAnsi="Times New Roman" w:cs="Times New Roman" w:hint="eastAsia"/>
        </w:rPr>
        <w:t>In this study, the Center for Epidemiologic Studies Depression Scale (CES-D-10) was used to assess depressive symptoms based on the CHARLS questionnaire. The CES-D-10 has proven to be highly reliable and valid for evaluating depressive symptoms in middle-aged and older adults</w:t>
      </w:r>
      <w:r>
        <w:rPr>
          <w:rFonts w:ascii="Times New Roman" w:hAnsi="Times New Roman" w:cs="Times New Roman" w:hint="eastAsia"/>
          <w:vertAlign w:val="superscript"/>
        </w:rPr>
        <w:t>3</w:t>
      </w:r>
      <w:r>
        <w:rPr>
          <w:rFonts w:ascii="Times New Roman" w:hAnsi="Times New Roman" w:cs="Times New Roman" w:hint="eastAsia"/>
        </w:rPr>
        <w:t>. Previous studies have demonstrated reasonable sensitivity (0.85) and specificity (0.80) of the CES-D-10 among Chinese adults. The CES-D-10 also exhibits satisfactory reliability in terms of internal consistency, with Cronbach</w:t>
      </w:r>
      <w:proofErr w:type="gramStart"/>
      <w:r>
        <w:rPr>
          <w:rFonts w:ascii="Times New Roman" w:hAnsi="Times New Roman" w:cs="Times New Roman" w:hint="eastAsia"/>
        </w:rPr>
        <w:t>’</w:t>
      </w:r>
      <w:proofErr w:type="gramEnd"/>
      <w:r>
        <w:rPr>
          <w:rFonts w:ascii="Times New Roman" w:hAnsi="Times New Roman" w:cs="Times New Roman" w:hint="eastAsia"/>
        </w:rPr>
        <w:t>s alpha ranging from 0.78 to 0.79</w:t>
      </w:r>
      <w:r>
        <w:rPr>
          <w:rFonts w:ascii="Times New Roman" w:hAnsi="Times New Roman" w:cs="Times New Roman" w:hint="eastAsia"/>
          <w:vertAlign w:val="superscript"/>
        </w:rPr>
        <w:t>4</w:t>
      </w:r>
      <w:r>
        <w:rPr>
          <w:rFonts w:ascii="Times New Roman" w:hAnsi="Times New Roman" w:cs="Times New Roman" w:hint="eastAsia"/>
        </w:rPr>
        <w:t>.</w:t>
      </w:r>
    </w:p>
    <w:p w14:paraId="744FD4F7" w14:textId="77777777" w:rsidR="004C5DF4" w:rsidRDefault="004C5DF4">
      <w:pPr>
        <w:rPr>
          <w:rFonts w:ascii="Times New Roman" w:hAnsi="Times New Roman" w:cs="Times New Roman"/>
        </w:rPr>
      </w:pPr>
    </w:p>
    <w:p w14:paraId="409DDEC8" w14:textId="77777777" w:rsidR="004C5DF4" w:rsidRDefault="004C5DF4">
      <w:pPr>
        <w:rPr>
          <w:rFonts w:ascii="Times New Roman" w:hAnsi="Times New Roman" w:cs="Times New Roman"/>
        </w:rPr>
      </w:pPr>
    </w:p>
    <w:p w14:paraId="50F451FF" w14:textId="77777777" w:rsidR="004C5DF4" w:rsidRDefault="004C5DF4">
      <w:pPr>
        <w:ind w:firstLineChars="100" w:firstLine="210"/>
        <w:rPr>
          <w:rFonts w:ascii="Times New Roman" w:hAnsi="Times New Roman" w:cs="Times New Roman"/>
        </w:rPr>
      </w:pPr>
    </w:p>
    <w:p w14:paraId="47FA7383" w14:textId="77777777" w:rsidR="004C5DF4" w:rsidRDefault="00000000">
      <w:pPr>
        <w:pStyle w:val="EndNoteBibliography"/>
        <w:ind w:left="720" w:hanging="720"/>
      </w:pPr>
      <w:r>
        <w:t>1.</w:t>
      </w:r>
      <w:r>
        <w:tab/>
        <w:t xml:space="preserve">Katzman R, Zhang MY, </w:t>
      </w:r>
      <w:proofErr w:type="spellStart"/>
      <w:r>
        <w:t>Ouang</w:t>
      </w:r>
      <w:proofErr w:type="spellEnd"/>
      <w:r>
        <w:t xml:space="preserve"> Ya Q, et al. A Chinese version of the Mini-Mental State Examination; impact of illiteracy in a Shanghai dementia survey. </w:t>
      </w:r>
      <w:r>
        <w:rPr>
          <w:i/>
        </w:rPr>
        <w:t xml:space="preserve">J Clin Epidemiol. </w:t>
      </w:r>
      <w:r>
        <w:t>1988;41(10):971-978.</w:t>
      </w:r>
    </w:p>
    <w:p w14:paraId="6E2E3431" w14:textId="77777777" w:rsidR="004C5DF4" w:rsidRDefault="00000000">
      <w:pPr>
        <w:pStyle w:val="EndNoteBibliography"/>
        <w:ind w:left="720" w:hanging="720"/>
      </w:pPr>
      <w:r>
        <w:t>2.</w:t>
      </w:r>
      <w:r>
        <w:tab/>
        <w:t xml:space="preserve">Ye B, Li Y, Wang Y, et al. A Modified Frailty Phenotype Used for Identifying Frailty in Health Care Practice: Validation Among Chinese Older Adults. </w:t>
      </w:r>
      <w:r>
        <w:rPr>
          <w:i/>
        </w:rPr>
        <w:t xml:space="preserve">J Am Med Dir Assoc. </w:t>
      </w:r>
      <w:r>
        <w:t>2024;25(7):105016.</w:t>
      </w:r>
    </w:p>
    <w:p w14:paraId="7D952034" w14:textId="77777777" w:rsidR="004C5DF4" w:rsidRDefault="00000000">
      <w:pPr>
        <w:pStyle w:val="EndNoteBibliography"/>
        <w:ind w:left="720" w:hanging="720"/>
      </w:pPr>
      <w:r>
        <w:t>3.</w:t>
      </w:r>
      <w:r>
        <w:tab/>
        <w:t xml:space="preserve">Chen H, Mui AC. Factorial validity of the Center for Epidemiologic Studies Depression Scale short form in older population in China. </w:t>
      </w:r>
      <w:r>
        <w:rPr>
          <w:i/>
        </w:rPr>
        <w:t xml:space="preserve">Int </w:t>
      </w:r>
      <w:proofErr w:type="spellStart"/>
      <w:r>
        <w:rPr>
          <w:i/>
        </w:rPr>
        <w:t>Psychogeriatr</w:t>
      </w:r>
      <w:proofErr w:type="spellEnd"/>
      <w:r>
        <w:rPr>
          <w:i/>
        </w:rPr>
        <w:t xml:space="preserve">. </w:t>
      </w:r>
      <w:r>
        <w:t>2014;26(1):49-57.</w:t>
      </w:r>
    </w:p>
    <w:p w14:paraId="5D015403" w14:textId="77777777" w:rsidR="004C5DF4" w:rsidRDefault="00000000">
      <w:pPr>
        <w:pStyle w:val="EndNoteBibliography"/>
        <w:ind w:left="720" w:hanging="720"/>
      </w:pPr>
      <w:r>
        <w:t>4.</w:t>
      </w:r>
      <w:r>
        <w:tab/>
      </w:r>
      <w:proofErr w:type="spellStart"/>
      <w:r>
        <w:t>Iulita</w:t>
      </w:r>
      <w:proofErr w:type="spellEnd"/>
      <w:r>
        <w:t xml:space="preserve"> MF, </w:t>
      </w:r>
      <w:proofErr w:type="spellStart"/>
      <w:r>
        <w:t>Bejanin</w:t>
      </w:r>
      <w:proofErr w:type="spellEnd"/>
      <w:r>
        <w:t xml:space="preserve"> A, Vilaplana E, et al. Association of biological sex with clinical outcomes and biomarkers of Alzheimer's disease in adults with Down syndrome. </w:t>
      </w:r>
      <w:r>
        <w:rPr>
          <w:i/>
        </w:rPr>
        <w:t xml:space="preserve">Brain Commun. </w:t>
      </w:r>
      <w:r>
        <w:t>2023;5(2</w:t>
      </w:r>
      <w:proofErr w:type="gramStart"/>
      <w:r>
        <w:t>):fcad</w:t>
      </w:r>
      <w:proofErr w:type="gramEnd"/>
      <w:r>
        <w:t>074.</w:t>
      </w:r>
    </w:p>
    <w:p w14:paraId="1700F14D" w14:textId="77777777" w:rsidR="004C5DF4" w:rsidRDefault="004C5DF4">
      <w:pPr>
        <w:ind w:firstLineChars="100" w:firstLine="210"/>
        <w:rPr>
          <w:rFonts w:ascii="Times New Roman" w:hAnsi="Times New Roman" w:cs="Times New Roman"/>
        </w:rPr>
      </w:pPr>
    </w:p>
    <w:p w14:paraId="67CBDE4D" w14:textId="77777777" w:rsidR="004C5DF4" w:rsidRDefault="004C5DF4">
      <w:pPr>
        <w:rPr>
          <w:rFonts w:hint="eastAsia"/>
        </w:rPr>
        <w:sectPr w:rsidR="004C5DF4">
          <w:pgSz w:w="12756" w:h="16838"/>
          <w:pgMar w:top="1440" w:right="1800" w:bottom="1440" w:left="1800" w:header="851" w:footer="992" w:gutter="0"/>
          <w:cols w:space="425"/>
          <w:docGrid w:type="lines" w:linePitch="312"/>
        </w:sectPr>
      </w:pPr>
    </w:p>
    <w:p w14:paraId="3812B137" w14:textId="77777777" w:rsidR="004C5DF4" w:rsidRDefault="00000000">
      <w:pPr>
        <w:pStyle w:val="a3"/>
        <w:keepNext/>
        <w:rPr>
          <w:rFonts w:ascii="Times New Roman" w:hAnsi="Times New Roman"/>
          <w:b/>
          <w:sz w:val="21"/>
          <w:szCs w:val="21"/>
        </w:rPr>
      </w:pPr>
      <w:r>
        <w:rPr>
          <w:rFonts w:ascii="Times New Roman" w:hAnsi="Times New Roman"/>
          <w:b/>
          <w:sz w:val="21"/>
          <w:szCs w:val="21"/>
        </w:rPr>
        <w:lastRenderedPageBreak/>
        <w:t>Supplementary Table 1</w:t>
      </w:r>
      <w:r>
        <w:rPr>
          <w:rFonts w:ascii="Times New Roman" w:hAnsi="Times New Roman" w:hint="eastAsia"/>
          <w:b/>
          <w:sz w:val="21"/>
          <w:szCs w:val="21"/>
        </w:rPr>
        <w:t>.</w:t>
      </w:r>
      <w:r>
        <w:rPr>
          <w:rFonts w:ascii="Times New Roman" w:hAnsi="Times New Roman" w:hint="eastAsia"/>
          <w:sz w:val="21"/>
          <w:szCs w:val="21"/>
        </w:rPr>
        <w:t xml:space="preserve"> </w:t>
      </w:r>
      <w:r>
        <w:rPr>
          <w:rFonts w:ascii="Times New Roman" w:hAnsi="Times New Roman"/>
          <w:sz w:val="21"/>
          <w:szCs w:val="21"/>
        </w:rPr>
        <w:t>The proportion of patients with no diseased, frailty, cognitive impairment, and cognitive frailty across different age groups (N=4514)</w:t>
      </w:r>
      <w:r>
        <w:rPr>
          <w:rFonts w:ascii="Times New Roman" w:hAnsi="Times New Roman" w:hint="eastAsia"/>
          <w:sz w:val="21"/>
          <w:szCs w:val="21"/>
        </w:rPr>
        <w:t>.</w:t>
      </w:r>
    </w:p>
    <w:tbl>
      <w:tblPr>
        <w:tblW w:w="10454" w:type="dxa"/>
        <w:tblInd w:w="96" w:type="dxa"/>
        <w:tblBorders>
          <w:top w:val="single" w:sz="12" w:space="0" w:color="auto"/>
          <w:bottom w:val="single" w:sz="12" w:space="0" w:color="auto"/>
        </w:tblBorders>
        <w:tblLayout w:type="fixed"/>
        <w:tblLook w:val="04A0" w:firstRow="1" w:lastRow="0" w:firstColumn="1" w:lastColumn="0" w:noHBand="0" w:noVBand="1"/>
      </w:tblPr>
      <w:tblGrid>
        <w:gridCol w:w="1288"/>
        <w:gridCol w:w="1639"/>
        <w:gridCol w:w="1621"/>
        <w:gridCol w:w="1560"/>
        <w:gridCol w:w="2382"/>
        <w:gridCol w:w="1964"/>
      </w:tblGrid>
      <w:tr w:rsidR="004C5DF4" w14:paraId="6736FE91" w14:textId="77777777">
        <w:trPr>
          <w:trHeight w:val="288"/>
        </w:trPr>
        <w:tc>
          <w:tcPr>
            <w:tcW w:w="1288" w:type="dxa"/>
            <w:tcBorders>
              <w:top w:val="single" w:sz="12" w:space="0" w:color="auto"/>
              <w:left w:val="nil"/>
              <w:bottom w:val="single" w:sz="8" w:space="0" w:color="auto"/>
              <w:right w:val="nil"/>
              <w:tl2br w:val="nil"/>
              <w:tr2bl w:val="nil"/>
            </w:tcBorders>
          </w:tcPr>
          <w:p w14:paraId="2211BD10" w14:textId="77777777" w:rsidR="004C5DF4" w:rsidRDefault="00000000">
            <w:pPr>
              <w:widowControl/>
              <w:jc w:val="left"/>
              <w:textAlignment w:val="center"/>
              <w:rPr>
                <w:rFonts w:ascii="Times New Roman" w:hAnsi="Times New Roman"/>
                <w:color w:val="000000"/>
                <w:kern w:val="0"/>
                <w:szCs w:val="21"/>
                <w:lang w:bidi="ar"/>
              </w:rPr>
            </w:pPr>
            <w:r>
              <w:rPr>
                <w:rFonts w:ascii="Times New Roman" w:hAnsi="Times New Roman"/>
                <w:szCs w:val="21"/>
              </w:rPr>
              <w:t>Age</w:t>
            </w:r>
          </w:p>
        </w:tc>
        <w:tc>
          <w:tcPr>
            <w:tcW w:w="1639" w:type="dxa"/>
            <w:tcBorders>
              <w:top w:val="single" w:sz="12" w:space="0" w:color="auto"/>
              <w:left w:val="nil"/>
              <w:bottom w:val="single" w:sz="8" w:space="0" w:color="auto"/>
              <w:right w:val="nil"/>
              <w:tl2br w:val="nil"/>
              <w:tr2bl w:val="nil"/>
            </w:tcBorders>
          </w:tcPr>
          <w:p w14:paraId="1B0CA1B9" w14:textId="77777777" w:rsidR="004C5DF4" w:rsidRDefault="00000000">
            <w:pPr>
              <w:widowControl/>
              <w:jc w:val="left"/>
              <w:textAlignment w:val="center"/>
              <w:rPr>
                <w:rFonts w:ascii="Times New Roman" w:hAnsi="Times New Roman"/>
                <w:color w:val="000000"/>
                <w:kern w:val="0"/>
                <w:szCs w:val="21"/>
                <w:lang w:bidi="ar"/>
              </w:rPr>
            </w:pPr>
            <w:r>
              <w:rPr>
                <w:rFonts w:ascii="Times New Roman" w:hAnsi="Times New Roman"/>
                <w:szCs w:val="21"/>
              </w:rPr>
              <w:t>Total (%)</w:t>
            </w:r>
          </w:p>
        </w:tc>
        <w:tc>
          <w:tcPr>
            <w:tcW w:w="1621" w:type="dxa"/>
            <w:tcBorders>
              <w:top w:val="single" w:sz="12" w:space="0" w:color="auto"/>
              <w:left w:val="nil"/>
              <w:bottom w:val="single" w:sz="8" w:space="0" w:color="auto"/>
              <w:right w:val="nil"/>
              <w:tl2br w:val="nil"/>
              <w:tr2bl w:val="nil"/>
            </w:tcBorders>
            <w:noWrap/>
            <w:vAlign w:val="center"/>
          </w:tcPr>
          <w:p w14:paraId="763EC4CB" w14:textId="77777777" w:rsidR="004C5DF4" w:rsidRDefault="00000000">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No diseased</w:t>
            </w:r>
            <w:r>
              <w:rPr>
                <w:rFonts w:ascii="Times New Roman" w:hAnsi="Times New Roman" w:hint="eastAsia"/>
                <w:color w:val="000000"/>
                <w:kern w:val="0"/>
                <w:szCs w:val="21"/>
                <w:lang w:bidi="ar"/>
              </w:rPr>
              <w:t xml:space="preserve"> </w:t>
            </w:r>
            <w:r>
              <w:rPr>
                <w:rFonts w:ascii="Times New Roman" w:hAnsi="Times New Roman"/>
                <w:color w:val="000000"/>
                <w:kern w:val="0"/>
                <w:szCs w:val="21"/>
                <w:lang w:bidi="ar"/>
              </w:rPr>
              <w:t>(%)</w:t>
            </w:r>
            <w:r>
              <w:rPr>
                <w:rFonts w:ascii="Times New Roman" w:hAnsi="Times New Roman" w:hint="eastAsia"/>
                <w:color w:val="000000"/>
                <w:kern w:val="0"/>
                <w:szCs w:val="21"/>
                <w:lang w:bidi="ar"/>
              </w:rPr>
              <w:t xml:space="preserve"> </w:t>
            </w:r>
            <w:r>
              <w:rPr>
                <w:rFonts w:ascii="Times New Roman" w:hAnsi="Times New Roman" w:hint="eastAsia"/>
                <w:color w:val="000000"/>
                <w:kern w:val="0"/>
                <w:szCs w:val="21"/>
                <w:vertAlign w:val="superscript"/>
                <w:lang w:bidi="ar"/>
              </w:rPr>
              <w:t>b</w:t>
            </w:r>
          </w:p>
        </w:tc>
        <w:tc>
          <w:tcPr>
            <w:tcW w:w="1560" w:type="dxa"/>
            <w:tcBorders>
              <w:top w:val="single" w:sz="12" w:space="0" w:color="auto"/>
              <w:left w:val="nil"/>
              <w:bottom w:val="single" w:sz="8" w:space="0" w:color="auto"/>
              <w:right w:val="nil"/>
              <w:tl2br w:val="nil"/>
              <w:tr2bl w:val="nil"/>
            </w:tcBorders>
            <w:noWrap/>
            <w:vAlign w:val="center"/>
          </w:tcPr>
          <w:p w14:paraId="6AEEB911" w14:textId="77777777" w:rsidR="004C5DF4" w:rsidRDefault="00000000">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Frailty</w:t>
            </w:r>
            <w:r>
              <w:rPr>
                <w:rFonts w:ascii="Times New Roman" w:hAnsi="Times New Roman" w:hint="eastAsia"/>
                <w:color w:val="000000"/>
                <w:kern w:val="0"/>
                <w:szCs w:val="21"/>
                <w:lang w:bidi="ar"/>
              </w:rPr>
              <w:t xml:space="preserve"> </w:t>
            </w:r>
            <w:r>
              <w:rPr>
                <w:rFonts w:ascii="Times New Roman" w:hAnsi="Times New Roman"/>
                <w:color w:val="000000"/>
                <w:kern w:val="0"/>
                <w:szCs w:val="21"/>
                <w:lang w:bidi="ar"/>
              </w:rPr>
              <w:t>(%)</w:t>
            </w:r>
          </w:p>
        </w:tc>
        <w:tc>
          <w:tcPr>
            <w:tcW w:w="2382" w:type="dxa"/>
            <w:tcBorders>
              <w:top w:val="single" w:sz="12" w:space="0" w:color="auto"/>
              <w:left w:val="nil"/>
              <w:bottom w:val="single" w:sz="8" w:space="0" w:color="auto"/>
              <w:right w:val="nil"/>
              <w:tl2br w:val="nil"/>
              <w:tr2bl w:val="nil"/>
            </w:tcBorders>
            <w:noWrap/>
            <w:vAlign w:val="center"/>
          </w:tcPr>
          <w:p w14:paraId="4010D723" w14:textId="77777777" w:rsidR="004C5DF4" w:rsidRDefault="00000000">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Cognitive impairment</w:t>
            </w:r>
            <w:r>
              <w:rPr>
                <w:rFonts w:ascii="Times New Roman" w:hAnsi="Times New Roman" w:hint="eastAsia"/>
                <w:color w:val="000000"/>
                <w:kern w:val="0"/>
                <w:szCs w:val="21"/>
                <w:lang w:bidi="ar"/>
              </w:rPr>
              <w:t xml:space="preserve"> </w:t>
            </w:r>
            <w:r>
              <w:rPr>
                <w:rFonts w:ascii="Times New Roman" w:hAnsi="Times New Roman"/>
                <w:color w:val="000000"/>
                <w:kern w:val="0"/>
                <w:szCs w:val="21"/>
                <w:lang w:bidi="ar"/>
              </w:rPr>
              <w:t>(%)</w:t>
            </w:r>
          </w:p>
        </w:tc>
        <w:tc>
          <w:tcPr>
            <w:tcW w:w="1964" w:type="dxa"/>
            <w:tcBorders>
              <w:top w:val="single" w:sz="12" w:space="0" w:color="auto"/>
              <w:left w:val="nil"/>
              <w:bottom w:val="single" w:sz="8" w:space="0" w:color="auto"/>
              <w:right w:val="nil"/>
              <w:tl2br w:val="nil"/>
              <w:tr2bl w:val="nil"/>
            </w:tcBorders>
            <w:noWrap/>
            <w:vAlign w:val="center"/>
          </w:tcPr>
          <w:p w14:paraId="73BD3116" w14:textId="77777777" w:rsidR="004C5DF4" w:rsidRDefault="00000000">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Cognitive frailty</w:t>
            </w:r>
            <w:r>
              <w:rPr>
                <w:rFonts w:ascii="Times New Roman" w:hAnsi="Times New Roman" w:hint="eastAsia"/>
                <w:color w:val="000000"/>
                <w:kern w:val="0"/>
                <w:szCs w:val="21"/>
                <w:lang w:bidi="ar"/>
              </w:rPr>
              <w:t xml:space="preserve"> </w:t>
            </w:r>
            <w:r>
              <w:rPr>
                <w:rFonts w:ascii="Times New Roman" w:hAnsi="Times New Roman"/>
                <w:color w:val="000000"/>
                <w:kern w:val="0"/>
                <w:szCs w:val="21"/>
                <w:lang w:bidi="ar"/>
              </w:rPr>
              <w:t>(%)</w:t>
            </w:r>
          </w:p>
        </w:tc>
      </w:tr>
      <w:tr w:rsidR="004C5DF4" w14:paraId="08EE9DC0" w14:textId="77777777">
        <w:trPr>
          <w:trHeight w:val="288"/>
        </w:trPr>
        <w:tc>
          <w:tcPr>
            <w:tcW w:w="1288" w:type="dxa"/>
            <w:tcBorders>
              <w:top w:val="single" w:sz="8" w:space="0" w:color="auto"/>
              <w:left w:val="nil"/>
              <w:bottom w:val="nil"/>
              <w:right w:val="nil"/>
              <w:tl2br w:val="nil"/>
              <w:tr2bl w:val="nil"/>
            </w:tcBorders>
          </w:tcPr>
          <w:p w14:paraId="215CBDBF" w14:textId="77777777" w:rsidR="004C5DF4" w:rsidRDefault="00000000">
            <w:pPr>
              <w:widowControl/>
              <w:jc w:val="left"/>
              <w:textAlignment w:val="center"/>
              <w:rPr>
                <w:rFonts w:ascii="Times New Roman" w:hAnsi="Times New Roman"/>
                <w:color w:val="000000"/>
                <w:kern w:val="0"/>
                <w:szCs w:val="21"/>
                <w:lang w:bidi="ar"/>
              </w:rPr>
            </w:pPr>
            <w:r>
              <w:rPr>
                <w:rFonts w:ascii="Times New Roman" w:hAnsi="Times New Roman"/>
                <w:szCs w:val="21"/>
              </w:rPr>
              <w:t>45-65</w:t>
            </w:r>
          </w:p>
        </w:tc>
        <w:tc>
          <w:tcPr>
            <w:tcW w:w="1639" w:type="dxa"/>
            <w:tcBorders>
              <w:top w:val="single" w:sz="8" w:space="0" w:color="auto"/>
              <w:left w:val="nil"/>
              <w:bottom w:val="nil"/>
              <w:right w:val="nil"/>
              <w:tl2br w:val="nil"/>
              <w:tr2bl w:val="nil"/>
            </w:tcBorders>
          </w:tcPr>
          <w:p w14:paraId="712D0273" w14:textId="77777777" w:rsidR="004C5DF4" w:rsidRDefault="00000000">
            <w:pPr>
              <w:widowControl/>
              <w:jc w:val="left"/>
              <w:textAlignment w:val="center"/>
              <w:rPr>
                <w:rFonts w:ascii="Times New Roman" w:hAnsi="Times New Roman"/>
                <w:color w:val="000000"/>
                <w:kern w:val="0"/>
                <w:szCs w:val="21"/>
                <w:lang w:bidi="ar"/>
              </w:rPr>
            </w:pPr>
            <w:r>
              <w:rPr>
                <w:rFonts w:ascii="Times New Roman" w:hAnsi="Times New Roman"/>
                <w:szCs w:val="21"/>
              </w:rPr>
              <w:t>3085 (68.34%)</w:t>
            </w:r>
            <w:r>
              <w:rPr>
                <w:rFonts w:ascii="Times New Roman" w:hAnsi="Times New Roman" w:hint="eastAsia"/>
                <w:szCs w:val="21"/>
              </w:rPr>
              <w:t xml:space="preserve"> </w:t>
            </w:r>
            <w:r>
              <w:rPr>
                <w:rFonts w:ascii="Times New Roman" w:hAnsi="Times New Roman" w:hint="eastAsia"/>
                <w:szCs w:val="21"/>
                <w:vertAlign w:val="superscript"/>
              </w:rPr>
              <w:t>a</w:t>
            </w:r>
          </w:p>
        </w:tc>
        <w:tc>
          <w:tcPr>
            <w:tcW w:w="1621" w:type="dxa"/>
            <w:tcBorders>
              <w:top w:val="single" w:sz="8" w:space="0" w:color="auto"/>
              <w:left w:val="nil"/>
              <w:bottom w:val="nil"/>
              <w:right w:val="nil"/>
              <w:tl2br w:val="nil"/>
              <w:tr2bl w:val="nil"/>
            </w:tcBorders>
            <w:noWrap/>
            <w:vAlign w:val="center"/>
          </w:tcPr>
          <w:p w14:paraId="49080779" w14:textId="77777777" w:rsidR="004C5DF4" w:rsidRDefault="00000000">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1847 (59.87%)</w:t>
            </w:r>
            <w:r>
              <w:rPr>
                <w:rFonts w:ascii="Times New Roman" w:hAnsi="Times New Roman" w:hint="eastAsia"/>
                <w:color w:val="000000"/>
                <w:kern w:val="0"/>
                <w:szCs w:val="21"/>
                <w:vertAlign w:val="superscript"/>
                <w:lang w:bidi="ar"/>
              </w:rPr>
              <w:t xml:space="preserve"> b</w:t>
            </w:r>
          </w:p>
        </w:tc>
        <w:tc>
          <w:tcPr>
            <w:tcW w:w="1560" w:type="dxa"/>
            <w:tcBorders>
              <w:top w:val="single" w:sz="8" w:space="0" w:color="auto"/>
              <w:left w:val="nil"/>
              <w:bottom w:val="nil"/>
              <w:right w:val="nil"/>
              <w:tl2br w:val="nil"/>
              <w:tr2bl w:val="nil"/>
            </w:tcBorders>
            <w:noWrap/>
            <w:vAlign w:val="center"/>
          </w:tcPr>
          <w:p w14:paraId="67390A5A" w14:textId="77777777" w:rsidR="004C5DF4" w:rsidRDefault="00000000">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698 (22.63%)</w:t>
            </w:r>
            <w:r>
              <w:rPr>
                <w:rFonts w:ascii="Times New Roman" w:hAnsi="Times New Roman" w:hint="eastAsia"/>
                <w:color w:val="000000"/>
                <w:kern w:val="0"/>
                <w:szCs w:val="21"/>
                <w:lang w:bidi="ar"/>
              </w:rPr>
              <w:t xml:space="preserve"> </w:t>
            </w:r>
            <w:r>
              <w:rPr>
                <w:rFonts w:ascii="Times New Roman" w:hAnsi="Times New Roman" w:hint="eastAsia"/>
                <w:color w:val="000000"/>
                <w:kern w:val="0"/>
                <w:szCs w:val="21"/>
                <w:vertAlign w:val="superscript"/>
                <w:lang w:bidi="ar"/>
              </w:rPr>
              <w:t>b</w:t>
            </w:r>
          </w:p>
        </w:tc>
        <w:tc>
          <w:tcPr>
            <w:tcW w:w="2382" w:type="dxa"/>
            <w:tcBorders>
              <w:top w:val="single" w:sz="8" w:space="0" w:color="auto"/>
              <w:left w:val="nil"/>
              <w:bottom w:val="nil"/>
              <w:right w:val="nil"/>
              <w:tl2br w:val="nil"/>
              <w:tr2bl w:val="nil"/>
            </w:tcBorders>
            <w:noWrap/>
            <w:vAlign w:val="center"/>
          </w:tcPr>
          <w:p w14:paraId="3600D006" w14:textId="77777777" w:rsidR="004C5DF4" w:rsidRDefault="00000000">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340 (11.02%)</w:t>
            </w:r>
            <w:r>
              <w:rPr>
                <w:rFonts w:ascii="Times New Roman" w:hAnsi="Times New Roman" w:hint="eastAsia"/>
                <w:color w:val="000000"/>
                <w:kern w:val="0"/>
                <w:szCs w:val="21"/>
                <w:vertAlign w:val="superscript"/>
                <w:lang w:bidi="ar"/>
              </w:rPr>
              <w:t xml:space="preserve"> b</w:t>
            </w:r>
          </w:p>
        </w:tc>
        <w:tc>
          <w:tcPr>
            <w:tcW w:w="1964" w:type="dxa"/>
            <w:tcBorders>
              <w:top w:val="single" w:sz="8" w:space="0" w:color="auto"/>
              <w:left w:val="nil"/>
              <w:bottom w:val="nil"/>
              <w:right w:val="nil"/>
              <w:tl2br w:val="nil"/>
              <w:tr2bl w:val="nil"/>
            </w:tcBorders>
            <w:noWrap/>
            <w:vAlign w:val="center"/>
          </w:tcPr>
          <w:p w14:paraId="60725647" w14:textId="77777777" w:rsidR="004C5DF4" w:rsidRDefault="00000000">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200 (6.48%)</w:t>
            </w:r>
            <w:r>
              <w:rPr>
                <w:rFonts w:ascii="Times New Roman" w:hAnsi="Times New Roman" w:hint="eastAsia"/>
                <w:color w:val="000000"/>
                <w:kern w:val="0"/>
                <w:szCs w:val="21"/>
                <w:vertAlign w:val="superscript"/>
                <w:lang w:bidi="ar"/>
              </w:rPr>
              <w:t xml:space="preserve"> b</w:t>
            </w:r>
          </w:p>
        </w:tc>
      </w:tr>
      <w:tr w:rsidR="004C5DF4" w14:paraId="4108E557" w14:textId="77777777">
        <w:trPr>
          <w:trHeight w:val="288"/>
        </w:trPr>
        <w:tc>
          <w:tcPr>
            <w:tcW w:w="1288" w:type="dxa"/>
            <w:tcBorders>
              <w:top w:val="nil"/>
              <w:left w:val="nil"/>
              <w:bottom w:val="single" w:sz="12" w:space="0" w:color="auto"/>
              <w:right w:val="nil"/>
              <w:tl2br w:val="nil"/>
              <w:tr2bl w:val="nil"/>
            </w:tcBorders>
          </w:tcPr>
          <w:p w14:paraId="7E85F344" w14:textId="77777777" w:rsidR="004C5DF4" w:rsidRDefault="00000000">
            <w:pPr>
              <w:widowControl/>
              <w:jc w:val="left"/>
              <w:textAlignment w:val="center"/>
              <w:rPr>
                <w:rFonts w:ascii="Times New Roman" w:hAnsi="Times New Roman"/>
                <w:color w:val="000000"/>
                <w:kern w:val="0"/>
                <w:szCs w:val="21"/>
                <w:lang w:bidi="ar"/>
              </w:rPr>
            </w:pPr>
            <w:r>
              <w:rPr>
                <w:rFonts w:ascii="Times New Roman" w:hAnsi="Times New Roman"/>
                <w:szCs w:val="21"/>
              </w:rPr>
              <w:t>≥65</w:t>
            </w:r>
          </w:p>
        </w:tc>
        <w:tc>
          <w:tcPr>
            <w:tcW w:w="1639" w:type="dxa"/>
            <w:tcBorders>
              <w:top w:val="nil"/>
              <w:left w:val="nil"/>
              <w:bottom w:val="single" w:sz="12" w:space="0" w:color="auto"/>
              <w:right w:val="nil"/>
              <w:tl2br w:val="nil"/>
              <w:tr2bl w:val="nil"/>
            </w:tcBorders>
          </w:tcPr>
          <w:p w14:paraId="6836F714" w14:textId="77777777" w:rsidR="004C5DF4" w:rsidRDefault="00000000">
            <w:pPr>
              <w:widowControl/>
              <w:jc w:val="left"/>
              <w:textAlignment w:val="center"/>
              <w:rPr>
                <w:rFonts w:ascii="Times New Roman" w:hAnsi="Times New Roman"/>
                <w:color w:val="000000"/>
                <w:kern w:val="0"/>
                <w:szCs w:val="21"/>
                <w:lang w:bidi="ar"/>
              </w:rPr>
            </w:pPr>
            <w:r>
              <w:rPr>
                <w:rFonts w:ascii="Times New Roman" w:hAnsi="Times New Roman"/>
                <w:szCs w:val="21"/>
              </w:rPr>
              <w:t>1429 (31.66%)</w:t>
            </w:r>
            <w:r>
              <w:rPr>
                <w:rFonts w:ascii="Times New Roman" w:hAnsi="Times New Roman" w:hint="eastAsia"/>
                <w:szCs w:val="21"/>
              </w:rPr>
              <w:t xml:space="preserve"> </w:t>
            </w:r>
            <w:r>
              <w:rPr>
                <w:rFonts w:ascii="Times New Roman" w:hAnsi="Times New Roman" w:hint="eastAsia"/>
                <w:szCs w:val="21"/>
                <w:vertAlign w:val="superscript"/>
              </w:rPr>
              <w:t>a</w:t>
            </w:r>
          </w:p>
        </w:tc>
        <w:tc>
          <w:tcPr>
            <w:tcW w:w="1621" w:type="dxa"/>
            <w:tcBorders>
              <w:top w:val="nil"/>
              <w:left w:val="nil"/>
              <w:bottom w:val="single" w:sz="12" w:space="0" w:color="auto"/>
              <w:right w:val="nil"/>
              <w:tl2br w:val="nil"/>
              <w:tr2bl w:val="nil"/>
            </w:tcBorders>
            <w:noWrap/>
            <w:vAlign w:val="center"/>
          </w:tcPr>
          <w:p w14:paraId="4195E2EC" w14:textId="77777777" w:rsidR="004C5DF4" w:rsidRDefault="00000000">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507 (35.48%)</w:t>
            </w:r>
            <w:r>
              <w:rPr>
                <w:rFonts w:ascii="Times New Roman" w:hAnsi="Times New Roman" w:hint="eastAsia"/>
                <w:color w:val="000000"/>
                <w:kern w:val="0"/>
                <w:szCs w:val="21"/>
                <w:lang w:bidi="ar"/>
              </w:rPr>
              <w:t xml:space="preserve"> </w:t>
            </w:r>
            <w:r>
              <w:rPr>
                <w:rFonts w:ascii="Times New Roman" w:hAnsi="Times New Roman" w:hint="eastAsia"/>
                <w:color w:val="000000"/>
                <w:kern w:val="0"/>
                <w:szCs w:val="21"/>
                <w:vertAlign w:val="superscript"/>
                <w:lang w:bidi="ar"/>
              </w:rPr>
              <w:t>b</w:t>
            </w:r>
          </w:p>
        </w:tc>
        <w:tc>
          <w:tcPr>
            <w:tcW w:w="1560" w:type="dxa"/>
            <w:tcBorders>
              <w:top w:val="nil"/>
              <w:left w:val="nil"/>
              <w:bottom w:val="single" w:sz="12" w:space="0" w:color="auto"/>
              <w:right w:val="nil"/>
              <w:tl2br w:val="nil"/>
              <w:tr2bl w:val="nil"/>
            </w:tcBorders>
            <w:noWrap/>
            <w:vAlign w:val="center"/>
          </w:tcPr>
          <w:p w14:paraId="14942178" w14:textId="77777777" w:rsidR="004C5DF4" w:rsidRDefault="00000000">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630 (44.09%)</w:t>
            </w:r>
            <w:r>
              <w:rPr>
                <w:rFonts w:ascii="Times New Roman" w:hAnsi="Times New Roman" w:hint="eastAsia"/>
                <w:color w:val="000000"/>
                <w:kern w:val="0"/>
                <w:szCs w:val="21"/>
                <w:lang w:bidi="ar"/>
              </w:rPr>
              <w:t xml:space="preserve"> </w:t>
            </w:r>
            <w:r>
              <w:rPr>
                <w:rFonts w:ascii="Times New Roman" w:hAnsi="Times New Roman" w:hint="eastAsia"/>
                <w:color w:val="000000"/>
                <w:kern w:val="0"/>
                <w:szCs w:val="21"/>
                <w:vertAlign w:val="superscript"/>
                <w:lang w:bidi="ar"/>
              </w:rPr>
              <w:t>b</w:t>
            </w:r>
          </w:p>
        </w:tc>
        <w:tc>
          <w:tcPr>
            <w:tcW w:w="2382" w:type="dxa"/>
            <w:tcBorders>
              <w:top w:val="nil"/>
              <w:left w:val="nil"/>
              <w:bottom w:val="single" w:sz="12" w:space="0" w:color="auto"/>
              <w:right w:val="nil"/>
              <w:tl2br w:val="nil"/>
              <w:tr2bl w:val="nil"/>
            </w:tcBorders>
            <w:noWrap/>
            <w:vAlign w:val="center"/>
          </w:tcPr>
          <w:p w14:paraId="1C446F89" w14:textId="77777777" w:rsidR="004C5DF4" w:rsidRDefault="00000000">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86 (6.02%)</w:t>
            </w:r>
            <w:r>
              <w:rPr>
                <w:rFonts w:ascii="Times New Roman" w:hAnsi="Times New Roman" w:hint="eastAsia"/>
                <w:color w:val="000000"/>
                <w:kern w:val="0"/>
                <w:szCs w:val="21"/>
                <w:vertAlign w:val="superscript"/>
                <w:lang w:bidi="ar"/>
              </w:rPr>
              <w:t xml:space="preserve"> b</w:t>
            </w:r>
          </w:p>
        </w:tc>
        <w:tc>
          <w:tcPr>
            <w:tcW w:w="1964" w:type="dxa"/>
            <w:tcBorders>
              <w:top w:val="nil"/>
              <w:left w:val="nil"/>
              <w:bottom w:val="single" w:sz="12" w:space="0" w:color="auto"/>
              <w:right w:val="nil"/>
              <w:tl2br w:val="nil"/>
              <w:tr2bl w:val="nil"/>
            </w:tcBorders>
            <w:noWrap/>
            <w:vAlign w:val="center"/>
          </w:tcPr>
          <w:p w14:paraId="09AB5AE7" w14:textId="77777777" w:rsidR="004C5DF4" w:rsidRDefault="00000000">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206 (14.42%)</w:t>
            </w:r>
            <w:r>
              <w:rPr>
                <w:rFonts w:ascii="Times New Roman" w:hAnsi="Times New Roman" w:hint="eastAsia"/>
                <w:color w:val="000000"/>
                <w:kern w:val="0"/>
                <w:szCs w:val="21"/>
                <w:lang w:bidi="ar"/>
              </w:rPr>
              <w:t xml:space="preserve"> </w:t>
            </w:r>
            <w:r>
              <w:rPr>
                <w:rFonts w:ascii="Times New Roman" w:hAnsi="Times New Roman" w:hint="eastAsia"/>
                <w:color w:val="000000"/>
                <w:kern w:val="0"/>
                <w:szCs w:val="21"/>
                <w:vertAlign w:val="superscript"/>
                <w:lang w:bidi="ar"/>
              </w:rPr>
              <w:t>b</w:t>
            </w:r>
          </w:p>
        </w:tc>
      </w:tr>
    </w:tbl>
    <w:p w14:paraId="50799E45" w14:textId="77777777" w:rsidR="004C5DF4" w:rsidRDefault="00000000">
      <w:pPr>
        <w:rPr>
          <w:rFonts w:ascii="Times New Roman" w:hAnsi="Times New Roman"/>
          <w:sz w:val="13"/>
          <w:szCs w:val="13"/>
        </w:rPr>
      </w:pPr>
      <w:r>
        <w:rPr>
          <w:rFonts w:ascii="Times New Roman" w:hAnsi="Times New Roman"/>
          <w:sz w:val="13"/>
          <w:szCs w:val="13"/>
        </w:rPr>
        <w:t>a</w:t>
      </w:r>
      <w:r>
        <w:rPr>
          <w:rFonts w:ascii="Times New Roman" w:hAnsi="Times New Roman" w:hint="eastAsia"/>
          <w:sz w:val="13"/>
          <w:szCs w:val="13"/>
        </w:rPr>
        <w:t xml:space="preserve">: </w:t>
      </w:r>
      <w:r>
        <w:rPr>
          <w:rFonts w:ascii="Times New Roman" w:hAnsi="Times New Roman"/>
          <w:sz w:val="13"/>
          <w:szCs w:val="13"/>
        </w:rPr>
        <w:t>Number in different age groups</w:t>
      </w:r>
      <w:r>
        <w:rPr>
          <w:rFonts w:ascii="Times New Roman" w:hAnsi="Times New Roman" w:hint="eastAsia"/>
          <w:sz w:val="13"/>
          <w:szCs w:val="13"/>
        </w:rPr>
        <w:t xml:space="preserve"> </w:t>
      </w:r>
      <w:r>
        <w:rPr>
          <w:rFonts w:ascii="Times New Roman" w:hAnsi="Times New Roman"/>
          <w:sz w:val="13"/>
          <w:szCs w:val="13"/>
        </w:rPr>
        <w:t>(percentage of total number in different age groups)</w:t>
      </w:r>
    </w:p>
    <w:p w14:paraId="25A6450D" w14:textId="77777777" w:rsidR="004C5DF4" w:rsidRDefault="00000000">
      <w:pPr>
        <w:rPr>
          <w:rFonts w:ascii="Times New Roman" w:hAnsi="Times New Roman"/>
          <w:sz w:val="13"/>
          <w:szCs w:val="13"/>
        </w:rPr>
      </w:pPr>
      <w:r>
        <w:rPr>
          <w:rFonts w:ascii="Times New Roman" w:hAnsi="Times New Roman"/>
          <w:sz w:val="13"/>
          <w:szCs w:val="13"/>
        </w:rPr>
        <w:t>b: Number</w:t>
      </w:r>
      <w:r>
        <w:rPr>
          <w:rFonts w:ascii="Times New Roman" w:hAnsi="Times New Roman" w:hint="eastAsia"/>
          <w:sz w:val="13"/>
          <w:szCs w:val="13"/>
        </w:rPr>
        <w:t xml:space="preserve"> of people with different groups (percentage of people with different groups in each age group)</w:t>
      </w:r>
    </w:p>
    <w:p w14:paraId="5EFA8F0D" w14:textId="77777777" w:rsidR="004C5DF4" w:rsidRDefault="004C5DF4">
      <w:pPr>
        <w:rPr>
          <w:rFonts w:hint="eastAsia"/>
        </w:rPr>
      </w:pPr>
    </w:p>
    <w:sectPr w:rsidR="004C5DF4">
      <w:pgSz w:w="12756" w:h="16838"/>
      <w:pgMar w:top="1701" w:right="1134" w:bottom="1701" w:left="1134" w:header="17008" w:footer="10205"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72A27"/>
    <w:rsid w:val="001202C1"/>
    <w:rsid w:val="00172A27"/>
    <w:rsid w:val="002D3710"/>
    <w:rsid w:val="003C3803"/>
    <w:rsid w:val="003F55DE"/>
    <w:rsid w:val="004C5DF4"/>
    <w:rsid w:val="00900971"/>
    <w:rsid w:val="00B33925"/>
    <w:rsid w:val="00BA009D"/>
    <w:rsid w:val="00BF22B5"/>
    <w:rsid w:val="00DF5118"/>
    <w:rsid w:val="00E24623"/>
    <w:rsid w:val="00E263AB"/>
    <w:rsid w:val="01313718"/>
    <w:rsid w:val="272A2BE1"/>
    <w:rsid w:val="565E4286"/>
    <w:rsid w:val="79440EAD"/>
    <w:rsid w:val="7EC11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1102E"/>
  <w15:docId w15:val="{21980F74-5605-4473-9B90-120A3FDE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Calibri Light" w:eastAsia="黑体" w:hAnsi="Calibri Light"/>
      <w:sz w:val="20"/>
      <w:szCs w:val="20"/>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character" w:customStyle="1" w:styleId="a7">
    <w:name w:val="页眉 字符"/>
    <w:basedOn w:val="a0"/>
    <w:link w:val="a6"/>
    <w:qFormat/>
    <w:rPr>
      <w:sz w:val="18"/>
      <w:szCs w:val="18"/>
      <w14:ligatures w14:val="none"/>
    </w:rPr>
  </w:style>
  <w:style w:type="character" w:customStyle="1" w:styleId="a5">
    <w:name w:val="页脚 字符"/>
    <w:basedOn w:val="a0"/>
    <w:link w:val="a4"/>
    <w:qFormat/>
    <w:rPr>
      <w:sz w:val="18"/>
      <w:szCs w:val="18"/>
      <w14:ligatures w14:val="none"/>
    </w:rPr>
  </w:style>
  <w:style w:type="paragraph" w:customStyle="1" w:styleId="EndNoteBibliographyTitle">
    <w:name w:val="EndNote Bibliography Title"/>
    <w:basedOn w:val="a"/>
    <w:link w:val="EndNoteBibliographyTitle0"/>
    <w:pPr>
      <w:jc w:val="center"/>
    </w:pPr>
    <w:rPr>
      <w:rFonts w:ascii="Calibri" w:hAnsi="Calibri" w:cs="Calibri"/>
      <w:sz w:val="20"/>
    </w:rPr>
  </w:style>
  <w:style w:type="character" w:customStyle="1" w:styleId="EndNoteBibliographyTitle0">
    <w:name w:val="EndNote Bibliography Title 字符"/>
    <w:basedOn w:val="a0"/>
    <w:link w:val="EndNoteBibliographyTitle"/>
    <w:qFormat/>
    <w:rPr>
      <w:rFonts w:ascii="Calibri" w:hAnsi="Calibri" w:cs="Calibri"/>
      <w:sz w:val="20"/>
      <w:szCs w:val="24"/>
      <w14:ligatures w14:val="none"/>
    </w:rPr>
  </w:style>
  <w:style w:type="paragraph" w:customStyle="1" w:styleId="EndNoteBibliography">
    <w:name w:val="EndNote Bibliography"/>
    <w:basedOn w:val="a"/>
    <w:link w:val="EndNoteBibliography0"/>
    <w:rPr>
      <w:rFonts w:ascii="Calibri" w:hAnsi="Calibri" w:cs="Calibri"/>
      <w:sz w:val="20"/>
    </w:rPr>
  </w:style>
  <w:style w:type="character" w:customStyle="1" w:styleId="EndNoteBibliography0">
    <w:name w:val="EndNote Bibliography 字符"/>
    <w:basedOn w:val="a0"/>
    <w:link w:val="EndNoteBibliography"/>
    <w:qFormat/>
    <w:rPr>
      <w:rFonts w:ascii="Calibri" w:hAnsi="Calibri" w:cs="Calibri"/>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爱璋 朱</dc:creator>
  <cp:lastModifiedBy>Administrator</cp:lastModifiedBy>
  <cp:revision>2</cp:revision>
  <dcterms:created xsi:type="dcterms:W3CDTF">2024-12-05T03:20:00Z</dcterms:created>
  <dcterms:modified xsi:type="dcterms:W3CDTF">2024-12-05T03:20:00Z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BB9CDAC9652B4AB79A6D5A9E3B961C26_13</vt:lpwstr>
  </property>
</Properties>
</file>