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06"/>
      </w:tblGrid>
      <w:tr w:rsidR="006D7D96" w:rsidRPr="006D7D96" w14:paraId="4FD2BE5F" w14:textId="77777777" w:rsidTr="002B2997">
        <w:tc>
          <w:tcPr>
            <w:tcW w:w="8306" w:type="dxa"/>
          </w:tcPr>
          <w:p w14:paraId="6BBB0D5D" w14:textId="4DC6009C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Supplementary Figure </w:t>
            </w:r>
            <w:r w:rsidR="002B2997"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  <w:p w14:paraId="01FC86F9" w14:textId="77777777" w:rsidR="00CE15E6" w:rsidRPr="006D7D96" w:rsidRDefault="00CE15E6" w:rsidP="002F2523">
            <w:pPr>
              <w:rPr>
                <w:sz w:val="24"/>
                <w:szCs w:val="24"/>
              </w:rPr>
            </w:pPr>
            <w:r w:rsidRPr="006D7D96">
              <w:rPr>
                <w:noProof/>
                <w:sz w:val="24"/>
                <w:szCs w:val="24"/>
              </w:rPr>
              <w:drawing>
                <wp:inline distT="0" distB="0" distL="0" distR="0" wp14:anchorId="6FB7E6B1" wp14:editId="7D1A127A">
                  <wp:extent cx="5165725" cy="4140200"/>
                  <wp:effectExtent l="0" t="0" r="0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0565" cy="4144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7D96" w:rsidRPr="006D7D96" w14:paraId="4FD70EAB" w14:textId="77777777" w:rsidTr="002B2997">
        <w:tc>
          <w:tcPr>
            <w:tcW w:w="8306" w:type="dxa"/>
          </w:tcPr>
          <w:p w14:paraId="62DE1A07" w14:textId="28DA078F" w:rsidR="00CE15E6" w:rsidRPr="006D7D96" w:rsidRDefault="00CE15E6" w:rsidP="002F252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Supplementary Figure </w:t>
            </w:r>
            <w:r w:rsidR="002B2997"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Pr="006D7D96">
              <w:rPr>
                <w:rFonts w:ascii="Times New Roman" w:hAnsi="Times New Roman" w:cs="Times New Roman"/>
                <w:sz w:val="24"/>
                <w:szCs w:val="24"/>
              </w:rPr>
              <w:t xml:space="preserve"> Survival analysis of prognostic genes according to the optimal cut-off expression value in TCGA cohort.</w:t>
            </w:r>
          </w:p>
          <w:p w14:paraId="7D997560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338E73A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90B5F95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45EA3DD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DC0F967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F2CAD06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FF69964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26785D8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8867441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926B1B6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C7C739F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D6C992A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A3CCA95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9348661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F13FF53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D36BC97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7EDB17E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4BEF0EF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C2DE992" w14:textId="4105754D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Supplementary Figure </w:t>
            </w:r>
            <w:r w:rsidR="002B2997"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  <w:p w14:paraId="386683B2" w14:textId="77777777" w:rsidR="00CE15E6" w:rsidRPr="006D7D96" w:rsidRDefault="00CE15E6" w:rsidP="002F2523">
            <w:pPr>
              <w:rPr>
                <w:sz w:val="24"/>
                <w:szCs w:val="24"/>
              </w:rPr>
            </w:pPr>
            <w:r w:rsidRPr="006D7D96">
              <w:rPr>
                <w:noProof/>
                <w:sz w:val="24"/>
                <w:szCs w:val="24"/>
              </w:rPr>
              <w:drawing>
                <wp:inline distT="0" distB="0" distL="0" distR="0" wp14:anchorId="6C43CE06" wp14:editId="0043B831">
                  <wp:extent cx="4951730" cy="3999865"/>
                  <wp:effectExtent l="0" t="0" r="1270" b="635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6086" cy="4003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7D96" w:rsidRPr="006D7D96" w14:paraId="44BA8EF9" w14:textId="77777777" w:rsidTr="002B2997">
        <w:tc>
          <w:tcPr>
            <w:tcW w:w="8306" w:type="dxa"/>
          </w:tcPr>
          <w:p w14:paraId="085A8925" w14:textId="40124227" w:rsidR="00CE15E6" w:rsidRPr="006D7D96" w:rsidRDefault="00CE15E6" w:rsidP="002F252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Supplementary Figure </w:t>
            </w:r>
            <w:r w:rsidR="002B2997"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Pr="006D7D96">
              <w:rPr>
                <w:rFonts w:ascii="Times New Roman" w:hAnsi="Times New Roman" w:cs="Times New Roman"/>
                <w:sz w:val="24"/>
                <w:szCs w:val="24"/>
              </w:rPr>
              <w:t xml:space="preserve"> Each prognostic gene expression between HCC tissues and adjacent non-tumorous tissues in TCGA. P values were shown as: ***P&lt; 0.001.</w:t>
            </w:r>
          </w:p>
          <w:p w14:paraId="1780B813" w14:textId="40226594" w:rsidR="002B2997" w:rsidRPr="006D7D96" w:rsidRDefault="002B2997" w:rsidP="002F252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9FACD8" w14:textId="42B69849" w:rsidR="002B2997" w:rsidRPr="006D7D96" w:rsidRDefault="002B2997" w:rsidP="002F252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FCFCBD" w14:textId="1178D5CD" w:rsidR="002B2997" w:rsidRPr="006D7D96" w:rsidRDefault="002B2997" w:rsidP="002F252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AEC5C1" w14:textId="42E5645D" w:rsidR="002B2997" w:rsidRPr="006D7D96" w:rsidRDefault="002B2997" w:rsidP="002F252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482929" w14:textId="6C6000E1" w:rsidR="002B2997" w:rsidRPr="006D7D96" w:rsidRDefault="002B2997" w:rsidP="002F252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0EA2A9" w14:textId="5E830F06" w:rsidR="002B2997" w:rsidRPr="006D7D96" w:rsidRDefault="002B2997" w:rsidP="002F252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E44D04" w14:textId="256B8B9D" w:rsidR="002B2997" w:rsidRPr="006D7D96" w:rsidRDefault="002B2997" w:rsidP="002F252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D7D4DD" w14:textId="580DD90E" w:rsidR="002B2997" w:rsidRPr="006D7D96" w:rsidRDefault="002B2997" w:rsidP="002F252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64CE5D3" w14:textId="6F198D2A" w:rsidR="002B2997" w:rsidRPr="006D7D96" w:rsidRDefault="002B2997" w:rsidP="002F252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498955" w14:textId="5D484A03" w:rsidR="002B2997" w:rsidRPr="006D7D96" w:rsidRDefault="002B2997" w:rsidP="002B299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Supplementary Figure 3</w:t>
            </w:r>
          </w:p>
          <w:p w14:paraId="5E1EAA81" w14:textId="16A8F408" w:rsidR="002B2997" w:rsidRPr="006D7D96" w:rsidRDefault="002B2997" w:rsidP="002F252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7D96">
              <w:rPr>
                <w:noProof/>
                <w:sz w:val="24"/>
                <w:szCs w:val="24"/>
              </w:rPr>
              <w:drawing>
                <wp:inline distT="0" distB="0" distL="0" distR="0" wp14:anchorId="6AA69804" wp14:editId="1422CBBD">
                  <wp:extent cx="5207000" cy="2424430"/>
                  <wp:effectExtent l="0" t="0" r="0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7227" cy="2429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4C0DD0" w14:textId="77777777" w:rsidR="00CE15E6" w:rsidRPr="006D7D96" w:rsidRDefault="00CE15E6" w:rsidP="002F2523">
            <w:pPr>
              <w:rPr>
                <w:sz w:val="24"/>
                <w:szCs w:val="24"/>
              </w:rPr>
            </w:pPr>
          </w:p>
        </w:tc>
      </w:tr>
      <w:tr w:rsidR="006D7D96" w:rsidRPr="006D7D96" w14:paraId="51A7DB43" w14:textId="77777777" w:rsidTr="002B2997">
        <w:tc>
          <w:tcPr>
            <w:tcW w:w="8306" w:type="dxa"/>
          </w:tcPr>
          <w:p w14:paraId="2F93750E" w14:textId="673E54CE" w:rsidR="002B2997" w:rsidRPr="006D7D96" w:rsidRDefault="002B2997" w:rsidP="002B299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Supplementary Figure 3.</w:t>
            </w:r>
            <w:r w:rsidRPr="006D7D96">
              <w:rPr>
                <w:rFonts w:ascii="Times New Roman" w:hAnsi="Times New Roman" w:cs="Times New Roman"/>
                <w:sz w:val="24"/>
                <w:szCs w:val="24"/>
              </w:rPr>
              <w:t xml:space="preserve"> Constructed a 4-GRGs prognostic model in the TCGA cohort. (A, B) LASSO regression analysis and optimal parameter (λ) selection of the </w:t>
            </w:r>
            <w:r w:rsidRPr="006D7D96">
              <w:rPr>
                <w:rFonts w:ascii="Times New Roman" w:hAnsi="Times New Roman" w:cs="Times New Roman" w:hint="eastAsia"/>
                <w:sz w:val="24"/>
                <w:szCs w:val="24"/>
              </w:rPr>
              <w:t>nine</w:t>
            </w:r>
            <w:r w:rsidRPr="006D7D96">
              <w:rPr>
                <w:rFonts w:ascii="Times New Roman" w:hAnsi="Times New Roman" w:cs="Times New Roman"/>
                <w:sz w:val="24"/>
                <w:szCs w:val="24"/>
              </w:rPr>
              <w:t xml:space="preserve"> prognostic genes by using 10-fold cross-validation. Dotted vertical lines represents the optimal values selected by the minimum criteria (right) and the 1- standard error (SE) of the minimum criteria (left).</w:t>
            </w:r>
          </w:p>
          <w:p w14:paraId="3E72B573" w14:textId="77777777" w:rsidR="002B2997" w:rsidRPr="006D7D96" w:rsidRDefault="002B2997" w:rsidP="002F2523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D7D96" w:rsidRPr="006D7D96" w14:paraId="5E8ADC08" w14:textId="77777777" w:rsidTr="002B2997">
        <w:tc>
          <w:tcPr>
            <w:tcW w:w="8306" w:type="dxa"/>
          </w:tcPr>
          <w:p w14:paraId="440BB8F4" w14:textId="77777777" w:rsidR="00CE15E6" w:rsidRPr="006D7D96" w:rsidRDefault="00CE15E6" w:rsidP="002F2523">
            <w:pPr>
              <w:rPr>
                <w:sz w:val="24"/>
                <w:szCs w:val="24"/>
              </w:rPr>
            </w:pPr>
          </w:p>
          <w:p w14:paraId="10C341F5" w14:textId="77777777" w:rsidR="00CE15E6" w:rsidRPr="006D7D96" w:rsidRDefault="00CE15E6" w:rsidP="002F2523">
            <w:pPr>
              <w:rPr>
                <w:sz w:val="24"/>
                <w:szCs w:val="24"/>
              </w:rPr>
            </w:pPr>
          </w:p>
          <w:p w14:paraId="2DC61B43" w14:textId="77777777" w:rsidR="00CE15E6" w:rsidRPr="006D7D96" w:rsidRDefault="00CE15E6" w:rsidP="002F2523">
            <w:pPr>
              <w:rPr>
                <w:sz w:val="24"/>
                <w:szCs w:val="24"/>
              </w:rPr>
            </w:pPr>
          </w:p>
          <w:p w14:paraId="2410A937" w14:textId="77777777" w:rsidR="00CE15E6" w:rsidRPr="006D7D96" w:rsidRDefault="00CE15E6" w:rsidP="002F2523">
            <w:pPr>
              <w:rPr>
                <w:sz w:val="24"/>
                <w:szCs w:val="24"/>
              </w:rPr>
            </w:pPr>
          </w:p>
          <w:p w14:paraId="2E386E96" w14:textId="77777777" w:rsidR="00CE15E6" w:rsidRPr="006D7D96" w:rsidRDefault="00CE15E6" w:rsidP="002F2523">
            <w:pPr>
              <w:rPr>
                <w:sz w:val="24"/>
                <w:szCs w:val="24"/>
              </w:rPr>
            </w:pPr>
          </w:p>
          <w:p w14:paraId="45F72E88" w14:textId="77777777" w:rsidR="00CE15E6" w:rsidRPr="006D7D96" w:rsidRDefault="00CE15E6" w:rsidP="002F2523">
            <w:pPr>
              <w:rPr>
                <w:sz w:val="24"/>
                <w:szCs w:val="24"/>
              </w:rPr>
            </w:pPr>
          </w:p>
          <w:p w14:paraId="36C10088" w14:textId="77777777" w:rsidR="00CE15E6" w:rsidRPr="006D7D96" w:rsidRDefault="00CE15E6" w:rsidP="002F2523">
            <w:pPr>
              <w:rPr>
                <w:sz w:val="24"/>
                <w:szCs w:val="24"/>
              </w:rPr>
            </w:pPr>
          </w:p>
          <w:p w14:paraId="253E352E" w14:textId="77777777" w:rsidR="00CE15E6" w:rsidRPr="006D7D96" w:rsidRDefault="00CE15E6" w:rsidP="002F2523">
            <w:pPr>
              <w:rPr>
                <w:sz w:val="24"/>
                <w:szCs w:val="24"/>
              </w:rPr>
            </w:pPr>
          </w:p>
        </w:tc>
      </w:tr>
      <w:tr w:rsidR="006D7D96" w:rsidRPr="006D7D96" w14:paraId="6874E13E" w14:textId="77777777" w:rsidTr="002B2997">
        <w:tc>
          <w:tcPr>
            <w:tcW w:w="8306" w:type="dxa"/>
          </w:tcPr>
          <w:p w14:paraId="10281333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Supplementary Figure 4</w:t>
            </w:r>
          </w:p>
          <w:p w14:paraId="6C753B67" w14:textId="3692EA9B" w:rsidR="00CE15E6" w:rsidRPr="006D7D96" w:rsidRDefault="004676DF" w:rsidP="002F2523">
            <w:pPr>
              <w:rPr>
                <w:sz w:val="24"/>
                <w:szCs w:val="24"/>
              </w:rPr>
            </w:pPr>
            <w:r w:rsidRPr="006D7D96">
              <w:rPr>
                <w:noProof/>
              </w:rPr>
              <w:drawing>
                <wp:inline distT="0" distB="0" distL="0" distR="0" wp14:anchorId="2FF22537" wp14:editId="5E60C9E7">
                  <wp:extent cx="5090615" cy="5278770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5613" cy="5283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7D96" w:rsidRPr="006D7D96" w14:paraId="1A39308D" w14:textId="77777777" w:rsidTr="002B2997">
        <w:tc>
          <w:tcPr>
            <w:tcW w:w="8306" w:type="dxa"/>
          </w:tcPr>
          <w:p w14:paraId="66F1E70E" w14:textId="77777777" w:rsidR="00CE15E6" w:rsidRPr="006D7D96" w:rsidRDefault="00CE15E6" w:rsidP="002F252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Supplementary Figure 4.</w:t>
            </w:r>
            <w:r w:rsidRPr="006D7D96">
              <w:rPr>
                <w:rFonts w:ascii="Times New Roman" w:hAnsi="Times New Roman" w:cs="Times New Roman"/>
                <w:sz w:val="24"/>
                <w:szCs w:val="24"/>
              </w:rPr>
              <w:t xml:space="preserve"> Each prognostic gene expression in different groups divided by clinical characteristics. (A) Age. (B) Gender. (C) Tumor grade. (D) Tumor stage. P values were shown as: ns, not significant; *P &lt; 0.05; **P &lt; 0.01; ***P&lt; 0.001.</w:t>
            </w:r>
          </w:p>
          <w:p w14:paraId="6939F4A0" w14:textId="77777777" w:rsidR="00CE15E6" w:rsidRPr="006D7D96" w:rsidRDefault="00CE15E6" w:rsidP="002F2523">
            <w:pPr>
              <w:rPr>
                <w:sz w:val="24"/>
                <w:szCs w:val="24"/>
              </w:rPr>
            </w:pPr>
          </w:p>
          <w:p w14:paraId="3932F69D" w14:textId="77777777" w:rsidR="00CE15E6" w:rsidRPr="006D7D96" w:rsidRDefault="00CE15E6" w:rsidP="002F2523">
            <w:pPr>
              <w:rPr>
                <w:sz w:val="24"/>
                <w:szCs w:val="24"/>
              </w:rPr>
            </w:pPr>
          </w:p>
          <w:p w14:paraId="7012AB5F" w14:textId="77777777" w:rsidR="004676DF" w:rsidRPr="006D7D96" w:rsidRDefault="004676DF" w:rsidP="002F2523">
            <w:pPr>
              <w:rPr>
                <w:sz w:val="24"/>
                <w:szCs w:val="24"/>
              </w:rPr>
            </w:pPr>
          </w:p>
          <w:p w14:paraId="4C7AB331" w14:textId="732BBD86" w:rsidR="004676DF" w:rsidRPr="006D7D96" w:rsidRDefault="004676DF" w:rsidP="002F2523">
            <w:pPr>
              <w:rPr>
                <w:sz w:val="24"/>
                <w:szCs w:val="24"/>
              </w:rPr>
            </w:pPr>
          </w:p>
        </w:tc>
      </w:tr>
      <w:tr w:rsidR="006D7D96" w:rsidRPr="006D7D96" w14:paraId="78A8C58F" w14:textId="77777777" w:rsidTr="002B2997">
        <w:tc>
          <w:tcPr>
            <w:tcW w:w="8306" w:type="dxa"/>
          </w:tcPr>
          <w:p w14:paraId="1F084B38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Supplementary Figure 5</w:t>
            </w:r>
          </w:p>
          <w:p w14:paraId="1C3A6D73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7D96">
              <w:rPr>
                <w:noProof/>
              </w:rPr>
              <w:drawing>
                <wp:inline distT="0" distB="0" distL="0" distR="0" wp14:anchorId="5507666F" wp14:editId="17F1A36B">
                  <wp:extent cx="5274310" cy="5269865"/>
                  <wp:effectExtent l="0" t="0" r="2540" b="698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526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85A0E8" w14:textId="77777777" w:rsidR="00CE15E6" w:rsidRPr="006D7D96" w:rsidRDefault="00CE15E6" w:rsidP="002F25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Supplementary Figure 5.</w:t>
            </w:r>
            <w:r w:rsidRPr="006D7D96">
              <w:rPr>
                <w:rFonts w:ascii="Times New Roman" w:hAnsi="Times New Roman" w:cs="Times New Roman"/>
                <w:sz w:val="24"/>
                <w:szCs w:val="24"/>
              </w:rPr>
              <w:t xml:space="preserve"> GSVA </w:t>
            </w:r>
            <w:r w:rsidRPr="006D7D96">
              <w:rPr>
                <w:rFonts w:ascii="Times New Roman" w:hAnsi="Times New Roman" w:cs="Times New Roman" w:hint="eastAsia"/>
                <w:sz w:val="24"/>
                <w:szCs w:val="24"/>
              </w:rPr>
              <w:t>in</w:t>
            </w:r>
            <w:r w:rsidRPr="006D7D96">
              <w:rPr>
                <w:rFonts w:ascii="Times New Roman" w:hAnsi="Times New Roman" w:cs="Times New Roman"/>
                <w:sz w:val="24"/>
                <w:szCs w:val="24"/>
              </w:rPr>
              <w:t xml:space="preserve"> two risk groups</w:t>
            </w:r>
          </w:p>
          <w:p w14:paraId="097AACBE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42419AF0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69E1BF94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147F7B2B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79A4D165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43021969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4295A597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01FE6089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16CA109C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60EBE3EC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5493CEDE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4573F756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0CE46C2C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321683DD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24CD91C0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7D5D2BC4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Supplementary Figure 6</w:t>
            </w:r>
          </w:p>
          <w:p w14:paraId="7A65072B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7D9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C16F359" wp14:editId="07826F02">
                  <wp:extent cx="5219205" cy="2625940"/>
                  <wp:effectExtent l="0" t="0" r="635" b="317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5677" cy="2629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D0FE53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CB979D0" w14:textId="193AB9B0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Supplementary Figure 6.</w:t>
            </w:r>
            <w:r w:rsidRPr="006D7D96">
              <w:rPr>
                <w:rFonts w:ascii="Times New Roman" w:hAnsi="Times New Roman" w:cs="Times New Roman"/>
                <w:sz w:val="24"/>
                <w:szCs w:val="24"/>
              </w:rPr>
              <w:t xml:space="preserve"> GSEA </w:t>
            </w:r>
            <w:r w:rsidRPr="006D7D96">
              <w:rPr>
                <w:rFonts w:ascii="Times New Roman" w:hAnsi="Times New Roman" w:cs="Times New Roman" w:hint="eastAsia"/>
                <w:sz w:val="24"/>
                <w:szCs w:val="24"/>
              </w:rPr>
              <w:t>in</w:t>
            </w:r>
            <w:r w:rsidRPr="006D7D96">
              <w:rPr>
                <w:rFonts w:ascii="Times New Roman" w:hAnsi="Times New Roman" w:cs="Times New Roman"/>
                <w:sz w:val="24"/>
                <w:szCs w:val="24"/>
              </w:rPr>
              <w:t xml:space="preserve"> two risk groups. (A) GSEA of the high-risk group. (</w:t>
            </w:r>
            <w:r w:rsidR="004676DF" w:rsidRPr="006D7D9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6D7D96">
              <w:rPr>
                <w:rFonts w:ascii="Times New Roman" w:hAnsi="Times New Roman" w:cs="Times New Roman"/>
                <w:sz w:val="24"/>
                <w:szCs w:val="24"/>
              </w:rPr>
              <w:t>) GSEA of the low-risk group.</w:t>
            </w:r>
          </w:p>
          <w:p w14:paraId="3282FB3A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5ECB1AA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468BF8B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18909D9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14B6EDA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5E84A55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B787980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7DA1431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4457CD5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8D2D9D5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BFBB425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23ABB44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22F1903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3DF64EC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C2FB3F5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D17B285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1285D1B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4887E8C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36B7B02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D5AB8E6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C7440D3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2E7AAEF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C9542DB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5328F98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FBBA85B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D367610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D5C16D6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0E4CD1B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Supplementary Figure 7</w:t>
            </w:r>
          </w:p>
          <w:p w14:paraId="149D7BF3" w14:textId="69195ADF" w:rsidR="00CE15E6" w:rsidRPr="006D7D96" w:rsidRDefault="008E225E" w:rsidP="002F2523">
            <w:pPr>
              <w:rPr>
                <w:sz w:val="24"/>
                <w:szCs w:val="24"/>
              </w:rPr>
            </w:pPr>
            <w:r w:rsidRPr="006D7D96">
              <w:rPr>
                <w:noProof/>
              </w:rPr>
              <w:drawing>
                <wp:inline distT="0" distB="0" distL="0" distR="0" wp14:anchorId="20FAD6A5" wp14:editId="1BF03476">
                  <wp:extent cx="5274310" cy="3195955"/>
                  <wp:effectExtent l="0" t="0" r="2540" b="444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3195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AFE632" w14:textId="77777777" w:rsidR="00CE15E6" w:rsidRPr="006D7D96" w:rsidRDefault="00CE15E6" w:rsidP="00CE15E6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6D7D96"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 Figure 7.</w:t>
      </w:r>
      <w:r w:rsidRPr="006D7D96">
        <w:rPr>
          <w:rFonts w:ascii="Times New Roman" w:hAnsi="Times New Roman" w:cs="Times New Roman"/>
          <w:sz w:val="24"/>
          <w:szCs w:val="24"/>
        </w:rPr>
        <w:t xml:space="preserve"> Drug prediction based on the expression pattern of GRGs risk groups.</w:t>
      </w:r>
    </w:p>
    <w:p w14:paraId="601F180E" w14:textId="77777777" w:rsidR="00CE15E6" w:rsidRPr="006D7D96" w:rsidRDefault="00CE15E6" w:rsidP="00CE15E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23EAAFB9" w14:textId="77777777" w:rsidR="00CE15E6" w:rsidRPr="006D7D96" w:rsidRDefault="00CE15E6" w:rsidP="00CE15E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7D640F7D" w14:textId="77777777" w:rsidR="00CE15E6" w:rsidRPr="006D7D96" w:rsidRDefault="00CE15E6" w:rsidP="00CE15E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02B332F6" w14:textId="77777777" w:rsidR="00CE15E6" w:rsidRPr="006D7D96" w:rsidRDefault="00CE15E6" w:rsidP="00CE15E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2FB6C748" w14:textId="77777777" w:rsidR="00CE15E6" w:rsidRPr="006D7D96" w:rsidRDefault="00CE15E6" w:rsidP="00CE15E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1207ECAE" w14:textId="77777777" w:rsidR="00CE15E6" w:rsidRPr="006D7D96" w:rsidRDefault="00CE15E6" w:rsidP="00CE15E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550F7952" w14:textId="77777777" w:rsidR="00CE15E6" w:rsidRPr="006D7D96" w:rsidRDefault="00CE15E6" w:rsidP="00CE15E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4DAE1BC6" w14:textId="77777777" w:rsidR="00CE15E6" w:rsidRPr="006D7D96" w:rsidRDefault="00CE15E6" w:rsidP="00CE15E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2B6C64BB" w14:textId="77777777" w:rsidR="00CE15E6" w:rsidRPr="006D7D96" w:rsidRDefault="00CE15E6" w:rsidP="00CE15E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78611FB0" w14:textId="77777777" w:rsidR="00CE15E6" w:rsidRPr="006D7D96" w:rsidRDefault="00CE15E6" w:rsidP="00CE15E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4109A743" w14:textId="77777777" w:rsidR="00CE15E6" w:rsidRPr="006D7D96" w:rsidRDefault="00CE15E6" w:rsidP="00CE15E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06"/>
      </w:tblGrid>
      <w:tr w:rsidR="00CE15E6" w:rsidRPr="006D7D96" w14:paraId="7374CCDC" w14:textId="77777777" w:rsidTr="002F2523">
        <w:tc>
          <w:tcPr>
            <w:tcW w:w="8296" w:type="dxa"/>
          </w:tcPr>
          <w:p w14:paraId="20D9B7DF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Supplementary Figure 8</w:t>
            </w:r>
          </w:p>
          <w:p w14:paraId="5B6F9A3C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37CE0C9" w14:textId="77777777" w:rsidR="00CE15E6" w:rsidRPr="006D7D96" w:rsidRDefault="00CE15E6" w:rsidP="002F2523">
            <w:pPr>
              <w:jc w:val="lef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7D96">
              <w:rPr>
                <w:noProof/>
              </w:rPr>
              <w:drawing>
                <wp:inline distT="0" distB="0" distL="0" distR="0" wp14:anchorId="4A99C95C" wp14:editId="08CE9A67">
                  <wp:extent cx="5274310" cy="3623310"/>
                  <wp:effectExtent l="0" t="0" r="254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3623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C87BED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6D7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Supplementary Figure 8.</w:t>
            </w:r>
            <w:r w:rsidRPr="006D7D96">
              <w:rPr>
                <w:rFonts w:ascii="Times New Roman" w:hAnsi="Times New Roman" w:cs="Times New Roman"/>
                <w:sz w:val="24"/>
                <w:szCs w:val="24"/>
              </w:rPr>
              <w:t xml:space="preserve"> KEGG pathway enrichment of two subgroups. (A) GSVA. (B) GSEA of subgroup A. (C) GSEA of subgroup B.</w:t>
            </w:r>
          </w:p>
          <w:p w14:paraId="4E470512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159A5271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5C5976CA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6F2F16FF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7C9218E3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0BD1BE2B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08793B49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2DE413D2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21D930E3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243546E3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2AED44D0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6B75AAF0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1C2BAF0D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52E754EC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0FB1BB5A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306D2877" w14:textId="77777777" w:rsidR="00CE15E6" w:rsidRPr="006D7D96" w:rsidRDefault="00CE15E6" w:rsidP="002F2523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66B61C9E" w14:textId="77777777" w:rsidR="00CE15E6" w:rsidRPr="006D7D96" w:rsidRDefault="00CE15E6" w:rsidP="002F2523">
            <w:pPr>
              <w:rPr>
                <w:sz w:val="24"/>
                <w:szCs w:val="24"/>
              </w:rPr>
            </w:pPr>
          </w:p>
        </w:tc>
      </w:tr>
    </w:tbl>
    <w:p w14:paraId="0B10DDF9" w14:textId="2120516E" w:rsidR="00E91367" w:rsidRPr="006D7D96" w:rsidRDefault="00E91367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06"/>
      </w:tblGrid>
      <w:tr w:rsidR="001D7925" w:rsidRPr="006D7D96" w14:paraId="2E738E97" w14:textId="77777777" w:rsidTr="001D7925">
        <w:tc>
          <w:tcPr>
            <w:tcW w:w="8296" w:type="dxa"/>
          </w:tcPr>
          <w:p w14:paraId="71D98B47" w14:textId="3BC34F57" w:rsidR="00AB7039" w:rsidRPr="006D7D96" w:rsidRDefault="00AB7039" w:rsidP="00910821">
            <w:pPr>
              <w:rPr>
                <w:rFonts w:ascii="Times New Roman" w:eastAsia="DengXian" w:hAnsi="Times New Roman" w:cs="Times New Roman"/>
                <w:b/>
                <w:bCs/>
                <w:sz w:val="28"/>
                <w:szCs w:val="28"/>
              </w:rPr>
            </w:pPr>
            <w:bookmarkStart w:id="0" w:name="_Hlk176344461"/>
            <w:r w:rsidRPr="006D7D96">
              <w:rPr>
                <w:rFonts w:ascii="Times New Roman" w:eastAsia="DengXian" w:hAnsi="Times New Roman" w:cs="Times New Roman"/>
                <w:b/>
                <w:bCs/>
                <w:sz w:val="28"/>
                <w:szCs w:val="28"/>
              </w:rPr>
              <w:lastRenderedPageBreak/>
              <w:t>Supplementary Material 1</w:t>
            </w:r>
          </w:p>
          <w:bookmarkEnd w:id="0"/>
          <w:p w14:paraId="03DCD0A2" w14:textId="6E162937" w:rsidR="00910821" w:rsidRPr="006D7D96" w:rsidRDefault="00910821" w:rsidP="00910821">
            <w:pPr>
              <w:rPr>
                <w:rFonts w:ascii="Times New Roman" w:eastAsia="DengXian" w:hAnsi="Times New Roman" w:cs="Times New Roman"/>
                <w:b/>
                <w:bCs/>
                <w:sz w:val="24"/>
                <w:szCs w:val="24"/>
              </w:rPr>
            </w:pPr>
            <w:r w:rsidRPr="006D7D96">
              <w:rPr>
                <w:rFonts w:ascii="Times New Roman" w:eastAsia="DengXian" w:hAnsi="Times New Roman" w:cs="Times New Roman"/>
                <w:b/>
                <w:bCs/>
                <w:sz w:val="24"/>
                <w:szCs w:val="24"/>
              </w:rPr>
              <w:t xml:space="preserve">All gene sets </w:t>
            </w:r>
            <w:r w:rsidR="00D747C2" w:rsidRPr="006D7D96">
              <w:rPr>
                <w:rFonts w:ascii="Times New Roman" w:eastAsia="DengXian" w:hAnsi="Times New Roman" w:cs="Times New Roman"/>
                <w:b/>
                <w:bCs/>
                <w:sz w:val="24"/>
                <w:szCs w:val="24"/>
              </w:rPr>
              <w:t>involved in both glycolysis and gluconeogenesis</w:t>
            </w:r>
            <w:r w:rsidRPr="006D7D96">
              <w:rPr>
                <w:rFonts w:ascii="Times New Roman" w:eastAsia="DengXian" w:hAnsi="Times New Roman" w:cs="Times New Roman"/>
                <w:b/>
                <w:bCs/>
                <w:sz w:val="24"/>
                <w:szCs w:val="24"/>
              </w:rPr>
              <w:t xml:space="preserve"> in MSigDB database</w:t>
            </w:r>
          </w:p>
          <w:p w14:paraId="63381C23" w14:textId="77777777" w:rsidR="00862D66" w:rsidRPr="006D7D96" w:rsidRDefault="00862D66" w:rsidP="00910821">
            <w:pPr>
              <w:rPr>
                <w:rFonts w:ascii="Times New Roman" w:eastAsia="DengXian" w:hAnsi="Times New Roman" w:cs="Times New Roman"/>
                <w:b/>
                <w:bCs/>
                <w:sz w:val="24"/>
                <w:szCs w:val="24"/>
              </w:rPr>
            </w:pPr>
          </w:p>
          <w:p w14:paraId="59240F58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b/>
                <w:bCs/>
                <w:sz w:val="22"/>
              </w:rPr>
              <w:t>1. GOBP_NEGATIVE_REGULATION_OF_GLUCONEOGENESIS</w:t>
            </w:r>
          </w:p>
          <w:p w14:paraId="576D7803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Gene count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：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19</w:t>
            </w:r>
          </w:p>
          <w:p w14:paraId="1DA1EB26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C1QTNF3, CLK2, CRY1, SOGA1, SERPINA12, SIK1, ERFE, EP300, GCK, KAT2A, PGP, INS, C1QTNF12, LEPR, MST1, SIRT6, TCF7L2, USP7, ADIPOQ</w:t>
            </w:r>
          </w:p>
          <w:p w14:paraId="67C6E566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</w:p>
          <w:p w14:paraId="545B56AA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b/>
                <w:bCs/>
                <w:sz w:val="22"/>
              </w:rPr>
              <w:t>2. GOBP_POSITIVE_REGULATION_OF_GLUCONEOGENESIS</w:t>
            </w:r>
          </w:p>
          <w:p w14:paraId="4F18A514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Gene count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：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21</w:t>
            </w:r>
          </w:p>
          <w:p w14:paraId="7F81CAA0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ARPP19, PPARGC1A, WDR5, CRY1, DDB1, FOXO1, SIRT1, GCG, KAT2A, GPT, MIR103A1, MIR107, NNMT, SIRT7, PPARA, PRKACA, PPP4R3B, PTPN2, STK11, GPT2, KAT2B</w:t>
            </w:r>
          </w:p>
          <w:p w14:paraId="31475E94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</w:p>
          <w:p w14:paraId="1A041063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b/>
                <w:bCs/>
                <w:sz w:val="22"/>
              </w:rPr>
              <w:t>3. GOBP_REGULATION_OF_GLUCONEOGENESIS</w:t>
            </w:r>
          </w:p>
          <w:p w14:paraId="28F5576B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Gene count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：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53</w:t>
            </w:r>
          </w:p>
          <w:p w14:paraId="67277936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ARPP19, PPARGC1A, WDR5, C1QTNF3, CLK2, CRY1, SOGA1, SERPINA12, SIK1, ERFE, DGKQ, DDB1, EP300, FBP1, FOXO1, SIRT1, GCG, GCK, KAT2A, GNMT, PGP, GPT, NR3C1, ACADM, INS, C1QTNF12, LEP, LEPR, MIR103A1, MIR107, MST1, NNMT, SIRT7, SIRT6, PDK2, PPARA, ZNF692, PRKACA, SELENOS, SDHAF3, PPP4R3B, NLN, PTPN2, RANBP2, STK11, TCF7L2, USP7, SESN2, GPT2, OGT, SLC35B4, KAT2B, ADIPOQ</w:t>
            </w:r>
          </w:p>
          <w:p w14:paraId="7062088C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</w:p>
          <w:p w14:paraId="7BEECD54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b/>
                <w:bCs/>
                <w:sz w:val="22"/>
              </w:rPr>
              <w:t>4. KEGG_GLYCOLYSIS_GLUCONEOGENESIS</w:t>
            </w:r>
          </w:p>
          <w:p w14:paraId="13481411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Gene count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：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62</w:t>
            </w:r>
          </w:p>
          <w:p w14:paraId="4F369017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AKR1A1, ADH1A, ADH1B, ADH1C, ADH4, ADH5, ADH6, GALM, ADH7, LDHAL6A, DLAT, DLD, ENO1, ENO2, ENO3, ALDH2, ALDH3A1, ALDH1B1, ALDH1A3, FBP1, ALDH3B1, ALDH3B2, ALDH9A1, ALDH3A2, ALDOA, ALDOB, ALDOC, G6PC1, GAPDH, GCK, GPI, HK1, HK2, HK3, LDHA, LDHB, LDHC, PGAM4, ALDH7A1, PCK1, PCK2, PDHA1, PDHA2, PDHB, PFKL, PFKM, PFKP, PGAM1, PGAM2, PGK1, PGK2, PGM1, PKLR, PKM, PGM2, ACSS2, G6PC2, BPGM, TPI1, ACSS1, FBP2, LDHAL6B</w:t>
            </w:r>
          </w:p>
          <w:p w14:paraId="7B4299DE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</w:p>
          <w:p w14:paraId="4515DFD8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b/>
                <w:bCs/>
                <w:sz w:val="22"/>
              </w:rPr>
              <w:t>5. KEGG_MEDICUS_REFERENCE_GLUCONEOGENESIS</w:t>
            </w:r>
          </w:p>
          <w:p w14:paraId="73394798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Gene count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：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5</w:t>
            </w:r>
          </w:p>
          <w:p w14:paraId="777C8229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MDH1, MDH2, PC, PCK1, PCK2</w:t>
            </w:r>
          </w:p>
          <w:p w14:paraId="7E9A471E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</w:p>
          <w:p w14:paraId="7FA73D36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b/>
                <w:bCs/>
                <w:sz w:val="22"/>
              </w:rPr>
              <w:t>6. MOOTHA_GLUCONEOGENESIS</w:t>
            </w:r>
          </w:p>
          <w:p w14:paraId="4DE42F70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Gene count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：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31</w:t>
            </w:r>
          </w:p>
          <w:p w14:paraId="45FCA80A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LDHA, PGK1, PGK1, TPI1, ALDOA, MDH1, LDHB, ENO1, ENO2, ALDOC, PCK2, CD4, ME1, PC, ENO3, ME3, ALDOB, GPD1, PGAM2, GPT, FBP2, LDHC, GAPDHS, GK, GPI, PCK1, MDH2, ME2, FBP1, GPD2, TPI1, ME2, ME2, PFKM, ALDOB, BID, ALDOA, GK, GK, ALDOB, ENO1</w:t>
            </w:r>
          </w:p>
          <w:p w14:paraId="08C764FF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</w:p>
          <w:p w14:paraId="647A4A8C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b/>
                <w:bCs/>
                <w:sz w:val="22"/>
              </w:rPr>
              <w:t>7. REACTOME_GLUCONEOGENESIS</w:t>
            </w:r>
          </w:p>
          <w:p w14:paraId="428ADABD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Gene count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：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35</w:t>
            </w:r>
          </w:p>
          <w:p w14:paraId="63F6647E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SLC25A13, MDH1, ENO1, SLC25A1, PCK2, PGK1, GPI, GAPDHS, ENO3, SLC25A11, ALDOC, GAPDH, TPI1, ENO2, SLC25A12, GOT1, PCK1, GOT2, FBP2, G6PC1, SLC37A2, ALDOB, G6PC3, MDH2, ALDOA, G6PC2, SLC37A1, PGAM2, FBP1, PGK2, PGAM1, PC, SLC25A10, ENO4, G6PC2, SLC37A4, PCK2</w:t>
            </w:r>
          </w:p>
          <w:p w14:paraId="7E7A1BD3" w14:textId="77777777" w:rsidR="00862D66" w:rsidRPr="006D7D96" w:rsidRDefault="00862D66" w:rsidP="00862D66">
            <w:pPr>
              <w:jc w:val="left"/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</w:p>
          <w:p w14:paraId="2D8A56A1" w14:textId="77777777" w:rsidR="00862D66" w:rsidRPr="006D7D96" w:rsidRDefault="00862D66" w:rsidP="00862D66">
            <w:pPr>
              <w:jc w:val="left"/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b/>
                <w:bCs/>
                <w:sz w:val="22"/>
              </w:rPr>
              <w:t>8.REACTOME_NR1H2_NR1H3_REGULATE_GENE_EXPRESSION_LINKED_TO_GLUCONEOGENESIS</w:t>
            </w:r>
          </w:p>
          <w:p w14:paraId="2F2A2466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Gene count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：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5</w:t>
            </w:r>
          </w:p>
          <w:p w14:paraId="7EC32296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NR1H3, PCK1, NRIP1, RXRA, RXRB</w:t>
            </w:r>
          </w:p>
          <w:p w14:paraId="1F12C3EA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</w:p>
          <w:p w14:paraId="2DF29F62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b/>
                <w:bCs/>
                <w:sz w:val="22"/>
              </w:rPr>
              <w:t>9. WP_GLYCOLYSIS_AND_GLUCONEOGENESIS</w:t>
            </w:r>
          </w:p>
          <w:p w14:paraId="4FD92EFE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Gene count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：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45</w:t>
            </w:r>
          </w:p>
          <w:p w14:paraId="59ECAF8C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DLAT, DLD, ENO1, ENO2, ENO3, FBP1, ALDOA, ALDOB, ALDOC, G6PC1, MPC2, GAPDH, GCK, GOT1, GOT2, GPI, HK1, HK2, HK3, LDHA, LDHB, LDHC, MDH1, MDH2, PC, PCK1, PDHA1, MPC1, PFKL, PFKM, PFKP, PGAM1, PGAM2, PGK1, PGK2, PKLR, PKM, SLC2A1, SLC2A2, SLC2A3, SLC2A4, SLC2A5, TPI1, FBP2, LDHAL6B</w:t>
            </w:r>
          </w:p>
          <w:p w14:paraId="68176F90" w14:textId="77777777" w:rsidR="00862D66" w:rsidRPr="006D7D96" w:rsidRDefault="00862D66" w:rsidP="00862D66"/>
          <w:p w14:paraId="25208CC5" w14:textId="77777777" w:rsidR="00910821" w:rsidRPr="006D7D96" w:rsidRDefault="00910821" w:rsidP="00910821">
            <w:pPr>
              <w:rPr>
                <w:rFonts w:ascii="Times New Roman" w:eastAsia="DengXian" w:hAnsi="Times New Roman" w:cs="Times New Roman"/>
                <w:sz w:val="22"/>
              </w:rPr>
            </w:pPr>
          </w:p>
          <w:p w14:paraId="6CC52C6B" w14:textId="3638EE55" w:rsidR="00910821" w:rsidRPr="006D7D96" w:rsidRDefault="0020795A" w:rsidP="00910821">
            <w:pPr>
              <w:rPr>
                <w:rFonts w:ascii="Times New Roman" w:eastAsia="DengXian" w:hAnsi="Times New Roman" w:cs="Times New Roman"/>
                <w:b/>
                <w:bCs/>
                <w:sz w:val="24"/>
                <w:szCs w:val="24"/>
              </w:rPr>
            </w:pPr>
            <w:r w:rsidRPr="006D7D96">
              <w:rPr>
                <w:rFonts w:ascii="Times New Roman" w:eastAsia="DengXian" w:hAnsi="Times New Roman" w:cs="Times New Roman"/>
                <w:b/>
                <w:bCs/>
                <w:sz w:val="24"/>
                <w:szCs w:val="24"/>
              </w:rPr>
              <w:t>Excluding overlapping genes from the aforementioned nine gene sets</w:t>
            </w:r>
          </w:p>
          <w:p w14:paraId="6345F051" w14:textId="77777777" w:rsidR="00910821" w:rsidRPr="006D7D96" w:rsidRDefault="00910821" w:rsidP="00910821">
            <w:pPr>
              <w:rPr>
                <w:rFonts w:ascii="Times New Roman" w:eastAsia="DengXian" w:hAnsi="Times New Roman" w:cs="Times New Roman"/>
                <w:b/>
                <w:bCs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Gene count</w:t>
            </w:r>
            <w:r w:rsidRPr="006D7D96">
              <w:rPr>
                <w:rFonts w:ascii="Times New Roman" w:eastAsia="DengXian" w:hAnsi="Times New Roman" w:cs="Times New Roman"/>
                <w:sz w:val="22"/>
              </w:rPr>
              <w:t>：</w:t>
            </w:r>
            <w:r w:rsidRPr="006D7D96">
              <w:rPr>
                <w:rFonts w:ascii="Times New Roman" w:eastAsia="DengXian" w:hAnsi="Times New Roman" w:cs="Times New Roman"/>
                <w:b/>
                <w:bCs/>
                <w:sz w:val="22"/>
              </w:rPr>
              <w:t>148</w:t>
            </w:r>
          </w:p>
          <w:p w14:paraId="4E9512F6" w14:textId="77777777" w:rsidR="00862D66" w:rsidRPr="006D7D96" w:rsidRDefault="00862D66" w:rsidP="00862D66">
            <w:pPr>
              <w:rPr>
                <w:rFonts w:ascii="Times New Roman" w:eastAsia="DengXian" w:hAnsi="Times New Roman" w:cs="Times New Roman"/>
                <w:sz w:val="22"/>
              </w:rPr>
            </w:pPr>
            <w:r w:rsidRPr="006D7D96">
              <w:rPr>
                <w:rFonts w:ascii="Times New Roman" w:eastAsia="DengXian" w:hAnsi="Times New Roman" w:cs="Times New Roman"/>
                <w:sz w:val="22"/>
              </w:rPr>
              <w:t>C1QTNF3, CLK2, CRY1, SOGA1, SEPINA12, SIK1, ERFE, EP300, GCK, KAT2A, PGP, INS, C1QTNF12, LEPR, MST1, SIRT6, TCF7L2, USP7, ADPOQ, ARPP19, PPARGC1A, WDR5, DDB1, FOXO1, SIRT1, GCG, GPT, MIR103A1, MIR107, NNMT, SIRT7, PPARA, PRKACA, PPP4R3B, PTPN2, STK11, GPT2, KAT2B, DGKQ, FBP1, GNMT, NR3C1, ACADM, LEP, PDK2, ZNF692, SELNOS, SDHAF3, NLN, RANBP2, SESN2, OGT, SLC35B4, AKR1A1, ADH1A, ADH1B, ADH1C, ADH4, ADH5, ADH6, GALM, ADH7, LDHAL6A, DLAT, DLD, ENO1, ENO2, ENO3, ALDH2, ALDH3A1, ALDH1B1, ALDH1A3, ALDH3B1, ALDH3B2, ALDH9A1, ALDH3A2, ALDOA, ALDOB, ALDOC, G6PC1, GAPDH, GPI, HK1, HK2, HK3, LDHA, LDHB, LDHC, PGAM4, ALDH7A1, PCK1, PCK2, PDHA1, PDHA2, PDHB, PFKL, PFKM, PFKP, PGAM1, PGAM2, PGK1, PGK2, PGM, PKLR, PKM, PGM2, ACSS2, G6PC2, BPGM, TPI1, ACSS1, FBP2, LDHAL6B, MDH1, MDH2, PC, SLC25A13, SLC25A1, GAPDHS, SLC25A11, SLC25A12, GOT1, GOT2, SLC37A2, G6PC3, SLC37A1, SLC25A10, ENO4, SLC37A4, NR1H3, NRIP1, RXRA, RXRB, MPC2, MPC1, SLC2A1, SLC2A2, SLC2A3, SLC2A4, SLC2A5, CD4, ME1, ME3, GPD1, GK, ME2, GPD2, BID</w:t>
            </w:r>
          </w:p>
          <w:p w14:paraId="0E083595" w14:textId="440183A5" w:rsidR="001D7925" w:rsidRPr="006D7D96" w:rsidRDefault="001D7925" w:rsidP="002C4EAB">
            <w:pPr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</w:p>
          <w:p w14:paraId="6BFC4E99" w14:textId="77777777" w:rsidR="001D7925" w:rsidRPr="006D7D96" w:rsidRDefault="001D7925" w:rsidP="002C4E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92A14FB" w14:textId="24734CA9" w:rsidR="001D7925" w:rsidRPr="006D7D96" w:rsidRDefault="001D7925" w:rsidP="001D79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FE0B6BC" w14:textId="4A5A96D7" w:rsidR="00E91367" w:rsidRPr="006D7D96" w:rsidRDefault="00E91367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2102879B" w14:textId="77777777" w:rsidR="00D777C9" w:rsidRPr="006D7D96" w:rsidRDefault="00D777C9" w:rsidP="00D747C2">
      <w:pPr>
        <w:rPr>
          <w:rFonts w:ascii="Times New Roman" w:eastAsia="DengXian" w:hAnsi="Times New Roman" w:cs="Times New Roman"/>
          <w:b/>
          <w:bCs/>
          <w:sz w:val="28"/>
          <w:szCs w:val="28"/>
        </w:rPr>
      </w:pPr>
    </w:p>
    <w:p w14:paraId="4B0B7F30" w14:textId="76D57A44" w:rsidR="00D747C2" w:rsidRPr="006D7D96" w:rsidRDefault="00D747C2" w:rsidP="00D747C2">
      <w:pPr>
        <w:rPr>
          <w:rFonts w:ascii="Times New Roman" w:eastAsia="DengXian" w:hAnsi="Times New Roman" w:cs="Times New Roman"/>
          <w:b/>
          <w:bCs/>
          <w:sz w:val="28"/>
          <w:szCs w:val="28"/>
        </w:rPr>
      </w:pPr>
      <w:r w:rsidRPr="006D7D96">
        <w:rPr>
          <w:rFonts w:ascii="Times New Roman" w:eastAsia="DengXian" w:hAnsi="Times New Roman" w:cs="Times New Roman"/>
          <w:b/>
          <w:bCs/>
          <w:sz w:val="28"/>
          <w:szCs w:val="28"/>
        </w:rPr>
        <w:lastRenderedPageBreak/>
        <w:t>Supplementary Material 2</w:t>
      </w:r>
    </w:p>
    <w:p w14:paraId="78A94C7F" w14:textId="190BDD4B" w:rsidR="003E4967" w:rsidRPr="006D7D96" w:rsidRDefault="003E4967" w:rsidP="00D747C2">
      <w:pPr>
        <w:rPr>
          <w:rFonts w:ascii="Times New Roman" w:eastAsia="DengXian" w:hAnsi="Times New Roman" w:cs="Times New Roman"/>
          <w:b/>
          <w:bCs/>
          <w:sz w:val="24"/>
          <w:szCs w:val="24"/>
        </w:rPr>
      </w:pPr>
      <w:r w:rsidRPr="006D7D96">
        <w:rPr>
          <w:rFonts w:ascii="Times New Roman" w:eastAsia="DengXian" w:hAnsi="Times New Roman" w:cs="Times New Roman"/>
          <w:b/>
          <w:bCs/>
          <w:sz w:val="24"/>
          <w:szCs w:val="24"/>
        </w:rPr>
        <w:t>Gene set of Hallmark glycolysis in MSigDB database</w:t>
      </w:r>
    </w:p>
    <w:p w14:paraId="4DB6CC92" w14:textId="75D5CBA2" w:rsidR="00D777C9" w:rsidRPr="006D7D96" w:rsidRDefault="00D747C2" w:rsidP="00D747C2">
      <w:pPr>
        <w:rPr>
          <w:rFonts w:ascii="Times New Roman" w:eastAsia="DengXian" w:hAnsi="Times New Roman" w:cs="Times New Roman"/>
          <w:b/>
          <w:bCs/>
          <w:sz w:val="22"/>
        </w:rPr>
      </w:pPr>
      <w:r w:rsidRPr="006D7D96">
        <w:rPr>
          <w:rFonts w:ascii="Times New Roman" w:eastAsia="DengXian" w:hAnsi="Times New Roman" w:cs="Times New Roman"/>
          <w:b/>
          <w:bCs/>
          <w:sz w:val="22"/>
        </w:rPr>
        <w:t>1. HALLMARK_GLYCOLYSIS</w:t>
      </w:r>
    </w:p>
    <w:p w14:paraId="4CC0B971" w14:textId="18970CE1" w:rsidR="00D777C9" w:rsidRPr="006D7D96" w:rsidRDefault="00D747C2" w:rsidP="00D747C2">
      <w:pPr>
        <w:rPr>
          <w:rFonts w:ascii="Times New Roman" w:eastAsia="DengXian" w:hAnsi="Times New Roman" w:cs="Times New Roman"/>
          <w:b/>
          <w:bCs/>
          <w:sz w:val="22"/>
        </w:rPr>
      </w:pPr>
      <w:r w:rsidRPr="006D7D96">
        <w:rPr>
          <w:rFonts w:ascii="Times New Roman" w:eastAsia="DengXian" w:hAnsi="Times New Roman" w:cs="Times New Roman"/>
          <w:sz w:val="22"/>
        </w:rPr>
        <w:t>Gene count</w:t>
      </w:r>
      <w:r w:rsidRPr="006D7D96">
        <w:rPr>
          <w:rFonts w:ascii="Times New Roman" w:eastAsia="DengXian" w:hAnsi="Times New Roman" w:cs="Times New Roman"/>
          <w:sz w:val="22"/>
        </w:rPr>
        <w:t>：</w:t>
      </w:r>
      <w:r w:rsidRPr="006D7D96">
        <w:rPr>
          <w:rFonts w:ascii="Times New Roman" w:eastAsia="DengXian" w:hAnsi="Times New Roman" w:cs="Times New Roman"/>
          <w:b/>
          <w:bCs/>
          <w:sz w:val="22"/>
        </w:rPr>
        <w:t>200</w:t>
      </w:r>
    </w:p>
    <w:p w14:paraId="5A835EF2" w14:textId="5416615E" w:rsidR="00D777C9" w:rsidRPr="006D7D96" w:rsidRDefault="00D777C9" w:rsidP="00D777C9">
      <w:pPr>
        <w:rPr>
          <w:rFonts w:ascii="Times New Roman" w:hAnsi="Times New Roman" w:cs="Times New Roman"/>
        </w:rPr>
      </w:pPr>
      <w:r w:rsidRPr="006D7D96">
        <w:rPr>
          <w:rFonts w:ascii="Times New Roman" w:hAnsi="Times New Roman" w:cs="Times New Roman"/>
        </w:rPr>
        <w:t>ABCB6, ADORA2B, AGL, AGRN, AK3, AK4, AKR1A1, ALDH7A1, ALDH9A1, ALDOA, ALDOB, ALG1, ANG, ANGPTL4, ANKZF1, ARPP19, ARTN, AURKA, B3GALT6, B3GAT1, B3GAT3, B3GNT3, B4GALT1, B4GALT2, B4GALT4, B4GALT7, BIK, BPNT1, CACNA1H, CAPN5, CASP6, CD44, CDK1, CENPA, CHPF, CHPF2, CHST1, CHST12, CHST2, CHST4, CHST6, CITED2, CLDN3, CLDN9, CLN6, COG2, COL5A1, COPB2, CTH, CXCR4, CYB5A, DCN, DDIT4, DEPDC1, DLD, DPYSL4, DSC2, ECD, EFNA3, EGFR, EGLN3, ELF3, ENO1, ENO2, ERO1A, EXT1, EXT2, FAM162A, FBP2, FKBP4, FUT8, G6PD, GAL3ST1, GALE, GALK1, GALK2, GAPDHS, GCLC, GFPT1, GLCE, GLRX, GMPPA, GMPPB, GNE, GNPDA1, GOT1, GOT2, GPC1, GPC3, GPC4, GPR87, GUSB, GYS1, GYS2, HAX1, HDLBP, HK2, HMMR, HOMER1, HS2ST1, HS6ST2, HSPA5, IDH1, IDUA, IER3, IGFBP3, IL13RA1, IRS2, ISG20, KDELR3, KIF20A, KIF2A, LCT, LDHA, LDHC, LHPP, LHX9, MDH1, MDH2, ME1, ME2, MED24, MERTK, MET, MIF, MIOX, MPI, MXI1, NANP, NASP, NDST3, NDUFV3, NOL3, NSDHL, NT5E, P4HA1, P4HA2, PAM, PAXIP1, PC, PDK3, PFKFB1, PFKP, PGAM1, PGAM2, PGK1, PGLS, PGM2, PHKA2, PKM, PKP2, PLOD1, PLOD2, PMM2, POLR3K, PPFIA4, PPIA, PPP2CB, PRPS1, PSMC4, PYGB, PYGL, QSOX1, RARS1, RBCK1, RPE, RRAGD, SAP30, SDC1, SDC2, SDC3, SDHC, SLC16A3, SLC25A10, SLC25A13, SLC35A3, SLC37A4, SOD1, SOX9, SPAG4, SRD5A3, STC1, STC2, STMN1, TALDO1, TFF3, TGFA, TGFBI, TKTL1, TPBG, TPI1, TPST1, GFUS, TXN, UGP2, VCAN, VEGFA, VLDLR, XYLT2, ZNF292,</w:t>
      </w:r>
    </w:p>
    <w:p w14:paraId="00D0A9EA" w14:textId="77777777" w:rsidR="00D747C2" w:rsidRPr="006D7D96" w:rsidRDefault="00D747C2" w:rsidP="00D747C2">
      <w:pPr>
        <w:rPr>
          <w:rFonts w:ascii="Times New Roman" w:eastAsia="DengXian" w:hAnsi="Times New Roman" w:cs="Times New Roman"/>
          <w:b/>
          <w:bCs/>
          <w:sz w:val="22"/>
        </w:rPr>
      </w:pPr>
    </w:p>
    <w:p w14:paraId="051E676A" w14:textId="77777777" w:rsidR="00D747C2" w:rsidRPr="006D7D96" w:rsidRDefault="00D747C2" w:rsidP="00D747C2">
      <w:pPr>
        <w:rPr>
          <w:rFonts w:ascii="Times New Roman" w:eastAsia="DengXian" w:hAnsi="Times New Roman" w:cs="Times New Roman"/>
          <w:b/>
          <w:bCs/>
          <w:sz w:val="22"/>
        </w:rPr>
      </w:pPr>
    </w:p>
    <w:p w14:paraId="13C71815" w14:textId="77777777" w:rsidR="00D747C2" w:rsidRPr="006D7D96" w:rsidRDefault="00D747C2" w:rsidP="00D747C2">
      <w:pPr>
        <w:rPr>
          <w:rFonts w:ascii="Times New Roman" w:eastAsia="DengXian" w:hAnsi="Times New Roman" w:cs="Times New Roman"/>
          <w:b/>
          <w:bCs/>
          <w:sz w:val="22"/>
        </w:rPr>
      </w:pPr>
    </w:p>
    <w:p w14:paraId="43962AA4" w14:textId="77777777" w:rsidR="00D747C2" w:rsidRPr="006D7D96" w:rsidRDefault="00D747C2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sectPr w:rsidR="00D747C2" w:rsidRPr="006D7D96">
      <w:footerReference w:type="even" r:id="rId14"/>
      <w:footerReference w:type="default" r:id="rId15"/>
      <w:footerReference w:type="firs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A4A8F00" w14:textId="77777777" w:rsidR="00AD605F" w:rsidRDefault="00AD605F" w:rsidP="00F32C11">
      <w:r>
        <w:separator/>
      </w:r>
    </w:p>
  </w:endnote>
  <w:endnote w:type="continuationSeparator" w:id="0">
    <w:p w14:paraId="7995557B" w14:textId="77777777" w:rsidR="00AD605F" w:rsidRDefault="00AD605F" w:rsidP="00F32C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B9052D" w14:textId="102D1627" w:rsidR="006D7D96" w:rsidRDefault="006D7D96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2CB784ED" wp14:editId="72E7771F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77085" cy="324485"/>
              <wp:effectExtent l="0" t="0" r="18415" b="0"/>
              <wp:wrapNone/>
              <wp:docPr id="1256347396" name="Text Box 2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708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883170C" w14:textId="58181128" w:rsidR="006D7D96" w:rsidRPr="006D7D96" w:rsidRDefault="006D7D96" w:rsidP="006D7D96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6D7D96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CB784E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Information Classification: General" style="position:absolute;margin-left:0;margin-top:0;width:163.55pt;height:25.55pt;z-index:25165926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" filled="f" stroked="f">
              <v:fill o:detectmouseclick="t"/>
              <v:textbox style="mso-fit-shape-to-text:t" inset="20pt,0,0,15pt">
                <w:txbxContent>
                  <w:p w14:paraId="7883170C" w14:textId="58181128" w:rsidR="006D7D96" w:rsidRPr="006D7D96" w:rsidRDefault="006D7D96" w:rsidP="006D7D96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6D7D96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D874BA" w14:textId="732CC082" w:rsidR="006D7D96" w:rsidRDefault="006D7D96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16E233B7" wp14:editId="34B25F79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77085" cy="324485"/>
              <wp:effectExtent l="0" t="0" r="18415" b="0"/>
              <wp:wrapNone/>
              <wp:docPr id="1305191144" name="Text Box 3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708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6FC1003" w14:textId="1EFF2E51" w:rsidR="006D7D96" w:rsidRPr="006D7D96" w:rsidRDefault="006D7D96" w:rsidP="006D7D96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6D7D96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E233B7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Information Classification: General" style="position:absolute;margin-left:0;margin-top:0;width:163.55pt;height:25.55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56FC1003" w14:textId="1EFF2E51" w:rsidR="006D7D96" w:rsidRPr="006D7D96" w:rsidRDefault="006D7D96" w:rsidP="006D7D96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6D7D96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D2DAA4" w14:textId="5ACD690B" w:rsidR="006D7D96" w:rsidRDefault="006D7D96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1543B3D3" wp14:editId="51484093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77085" cy="324485"/>
              <wp:effectExtent l="0" t="0" r="18415" b="0"/>
              <wp:wrapNone/>
              <wp:docPr id="2040601831" name="Text Box 1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708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1474C56" w14:textId="77483D34" w:rsidR="006D7D96" w:rsidRPr="006D7D96" w:rsidRDefault="006D7D96" w:rsidP="006D7D96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6D7D96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43B3D3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Information Classification: General" style="position:absolute;margin-left:0;margin-top:0;width:163.55pt;height:25.55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" filled="f" stroked="f">
              <v:fill o:detectmouseclick="t"/>
              <v:textbox style="mso-fit-shape-to-text:t" inset="20pt,0,0,15pt">
                <w:txbxContent>
                  <w:p w14:paraId="11474C56" w14:textId="77483D34" w:rsidR="006D7D96" w:rsidRPr="006D7D96" w:rsidRDefault="006D7D96" w:rsidP="006D7D96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6D7D96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07F2F8E" w14:textId="77777777" w:rsidR="00AD605F" w:rsidRDefault="00AD605F" w:rsidP="00F32C11">
      <w:r>
        <w:separator/>
      </w:r>
    </w:p>
  </w:footnote>
  <w:footnote w:type="continuationSeparator" w:id="0">
    <w:p w14:paraId="4242C7E8" w14:textId="77777777" w:rsidR="00AD605F" w:rsidRDefault="00AD605F" w:rsidP="00F32C1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MDdmMzgxMmZiMGZiZjgwMzFmNjRmZDc5ZDRmNmFlOTcifQ=="/>
  </w:docVars>
  <w:rsids>
    <w:rsidRoot w:val="002F5A9F"/>
    <w:rsid w:val="001A1A3D"/>
    <w:rsid w:val="001D7925"/>
    <w:rsid w:val="001F09D9"/>
    <w:rsid w:val="0020795A"/>
    <w:rsid w:val="002416E2"/>
    <w:rsid w:val="002B2997"/>
    <w:rsid w:val="002F5A9F"/>
    <w:rsid w:val="002F7A20"/>
    <w:rsid w:val="00360661"/>
    <w:rsid w:val="00396B45"/>
    <w:rsid w:val="003E4967"/>
    <w:rsid w:val="004676DF"/>
    <w:rsid w:val="0052053A"/>
    <w:rsid w:val="0052625D"/>
    <w:rsid w:val="005A1C75"/>
    <w:rsid w:val="0060413A"/>
    <w:rsid w:val="00673968"/>
    <w:rsid w:val="0067536D"/>
    <w:rsid w:val="006A4D00"/>
    <w:rsid w:val="006D7D96"/>
    <w:rsid w:val="00733596"/>
    <w:rsid w:val="00735F2E"/>
    <w:rsid w:val="007938A9"/>
    <w:rsid w:val="007B6F7B"/>
    <w:rsid w:val="00821D11"/>
    <w:rsid w:val="00862D66"/>
    <w:rsid w:val="008E225E"/>
    <w:rsid w:val="00910821"/>
    <w:rsid w:val="00920E85"/>
    <w:rsid w:val="0093673F"/>
    <w:rsid w:val="009D5AE4"/>
    <w:rsid w:val="00A50A49"/>
    <w:rsid w:val="00AB7039"/>
    <w:rsid w:val="00AC5E24"/>
    <w:rsid w:val="00AD605F"/>
    <w:rsid w:val="00BE2F22"/>
    <w:rsid w:val="00C679A0"/>
    <w:rsid w:val="00CE15E6"/>
    <w:rsid w:val="00D747C2"/>
    <w:rsid w:val="00D777C9"/>
    <w:rsid w:val="00DA58E1"/>
    <w:rsid w:val="00E45802"/>
    <w:rsid w:val="00E91367"/>
    <w:rsid w:val="00F32C11"/>
    <w:rsid w:val="00FD6203"/>
    <w:rsid w:val="65A63E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5F5B20E"/>
  <w14:defaultImageDpi w14:val="330"/>
  <w15:docId w15:val="{0AC87AD6-9D4B-4D77-9347-2FA1E224D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autoRedefine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TableGrid">
    <w:name w:val="Table Grid"/>
    <w:basedOn w:val="TableNormal"/>
    <w:autoRedefine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">
    <w:name w:val="Header Char"/>
    <w:basedOn w:val="DefaultParagraphFont"/>
    <w:link w:val="Header"/>
    <w:autoRedefine/>
    <w:uiPriority w:val="99"/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3026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1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274</TotalTime>
  <Pages>11</Pages>
  <Words>996</Words>
  <Characters>5683</Characters>
  <Application>Microsoft Office Word</Application>
  <DocSecurity>0</DocSecurity>
  <Lines>47</Lines>
  <Paragraphs>13</Paragraphs>
  <ScaleCrop>false</ScaleCrop>
  <Company/>
  <LinksUpToDate>false</LinksUpToDate>
  <CharactersWithSpaces>6666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禧龙 汤</dc:creator>
  <cp:lastModifiedBy>Olliver, Tania</cp:lastModifiedBy>
  <cp:revision>14</cp:revision>
  <dcterms:created xsi:type="dcterms:W3CDTF">2024-09-04T03:59:00Z</dcterms:created>
  <dcterms:modified xsi:type="dcterms:W3CDTF">2024-10-02T01:02:00Z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66F545C8B37549DAAE3EF28E0DE3A57A_12</vt:lpwstr>
  </property>
  <property fmtid="{D5CDD505-2E9C-101B-9397-08002B2CF9AE}" pid="4" name="ClassificationContentMarkingFooterShapeIds">
    <vt:lpwstr>79a11ce7,4ae25704,4dcba2e8</vt:lpwstr>
  </property>
  <property fmtid="{D5CDD505-2E9C-101B-9397-08002B2CF9AE}" pid="5" name="ClassificationContentMarkingFooterFontProps">
    <vt:lpwstr>#0078d7,9,Rockwell</vt:lpwstr>
  </property>
  <property fmtid="{D5CDD505-2E9C-101B-9397-08002B2CF9AE}" pid="6" name="ClassificationContentMarkingFooterText">
    <vt:lpwstr>Information Classification: General</vt:lpwstr>
  </property>
  <property fmtid="{D5CDD505-2E9C-101B-9397-08002B2CF9AE}" pid="7" name="MSIP_Label_2bbab825-a111-45e4-86a1-18cee0005896_Enabled">
    <vt:lpwstr>true</vt:lpwstr>
  </property>
  <property fmtid="{D5CDD505-2E9C-101B-9397-08002B2CF9AE}" pid="8" name="MSIP_Label_2bbab825-a111-45e4-86a1-18cee0005896_SetDate">
    <vt:lpwstr>2024-10-02T01:02:14Z</vt:lpwstr>
  </property>
  <property fmtid="{D5CDD505-2E9C-101B-9397-08002B2CF9AE}" pid="9" name="MSIP_Label_2bbab825-a111-45e4-86a1-18cee0005896_Method">
    <vt:lpwstr>Standard</vt:lpwstr>
  </property>
  <property fmtid="{D5CDD505-2E9C-101B-9397-08002B2CF9AE}" pid="10" name="MSIP_Label_2bbab825-a111-45e4-86a1-18cee0005896_Name">
    <vt:lpwstr>2bbab825-a111-45e4-86a1-18cee0005896</vt:lpwstr>
  </property>
  <property fmtid="{D5CDD505-2E9C-101B-9397-08002B2CF9AE}" pid="11" name="MSIP_Label_2bbab825-a111-45e4-86a1-18cee0005896_SiteId">
    <vt:lpwstr>2567d566-604c-408a-8a60-55d0dc9d9d6b</vt:lpwstr>
  </property>
  <property fmtid="{D5CDD505-2E9C-101B-9397-08002B2CF9AE}" pid="12" name="MSIP_Label_2bbab825-a111-45e4-86a1-18cee0005896_ActionId">
    <vt:lpwstr>223187a1-19b0-4ebf-a7ec-b1de84de263a</vt:lpwstr>
  </property>
  <property fmtid="{D5CDD505-2E9C-101B-9397-08002B2CF9AE}" pid="13" name="MSIP_Label_2bbab825-a111-45e4-86a1-18cee0005896_ContentBits">
    <vt:lpwstr>2</vt:lpwstr>
  </property>
</Properties>
</file>