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Supplementary Materials</w:t>
      </w:r>
    </w:p>
    <w:p>
      <w:pPr>
        <w:spacing w:line="360" w:lineRule="auto"/>
        <w:jc w:val="left"/>
        <w:rPr>
          <w:rFonts w:hint="eastAsia" w:ascii="Arial" w:hAnsi="Arial" w:eastAsia="Times New Roman" w:cs="Arial"/>
          <w:color w:val="auto"/>
          <w:sz w:val="20"/>
          <w:lang w:val="en-US" w:eastAsia="zh-CN"/>
        </w:rPr>
      </w:pPr>
      <w:r>
        <w:rPr>
          <w:rFonts w:hint="eastAsia" w:ascii="Arial" w:hAnsi="Arial" w:eastAsia="Times New Roman" w:cs="Arial"/>
          <w:b/>
          <w:bCs/>
          <w:sz w:val="20"/>
          <w:lang w:val="en-US" w:eastAsia="zh-CN"/>
        </w:rPr>
        <w:t>Tabel S1</w:t>
      </w: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Times New Roman" w:cs="Arial"/>
          <w:color w:val="auto"/>
          <w:sz w:val="20"/>
          <w:lang w:val="en-US" w:eastAsia="en-US"/>
        </w:rPr>
        <w:t xml:space="preserve">Descriptive Statistics of the </w:t>
      </w:r>
      <w:r>
        <w:rPr>
          <w:rFonts w:hint="eastAsia" w:ascii="Arial" w:hAnsi="Arial" w:eastAsia="Times New Roman" w:cs="Arial"/>
          <w:color w:val="auto"/>
          <w:sz w:val="20"/>
          <w:lang w:val="en-US" w:eastAsia="zh-CN"/>
        </w:rPr>
        <w:t>SAS</w:t>
      </w:r>
      <w:r>
        <w:rPr>
          <w:rFonts w:ascii="Arial" w:hAnsi="Arial" w:eastAsia="Times New Roman" w:cs="Arial"/>
          <w:color w:val="auto"/>
          <w:sz w:val="20"/>
          <w:lang w:val="en-US" w:eastAsia="en-US"/>
        </w:rPr>
        <w:t xml:space="preserve"> and the </w:t>
      </w:r>
      <w:r>
        <w:rPr>
          <w:rFonts w:hint="eastAsia" w:ascii="Arial" w:hAnsi="Arial" w:eastAsia="Times New Roman" w:cs="Arial"/>
          <w:color w:val="auto"/>
          <w:sz w:val="20"/>
          <w:lang w:val="en-US" w:eastAsia="zh-CN"/>
        </w:rPr>
        <w:t>SDS</w:t>
      </w:r>
    </w:p>
    <w:tbl>
      <w:tblPr>
        <w:tblStyle w:val="2"/>
        <w:tblW w:w="828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3154"/>
        <w:gridCol w:w="1346"/>
        <w:gridCol w:w="28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Labels</w:t>
            </w:r>
          </w:p>
        </w:tc>
        <w:tc>
          <w:tcPr>
            <w:tcW w:w="3154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Symptoms</w:t>
            </w:r>
          </w:p>
        </w:tc>
        <w:tc>
          <w:tcPr>
            <w:tcW w:w="1346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Mean</w:t>
            </w:r>
          </w:p>
        </w:tc>
        <w:tc>
          <w:tcPr>
            <w:tcW w:w="2835" w:type="dxa"/>
            <w:tcBorders>
              <w:top w:val="single" w:color="auto" w:sz="8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Standard deviation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</w:t>
            </w:r>
          </w:p>
        </w:tc>
        <w:tc>
          <w:tcPr>
            <w:tcW w:w="315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Anxiousness</w:t>
            </w:r>
          </w:p>
        </w:tc>
        <w:tc>
          <w:tcPr>
            <w:tcW w:w="134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1.93</w:t>
            </w:r>
          </w:p>
        </w:tc>
        <w:tc>
          <w:tcPr>
            <w:tcW w:w="283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SAS2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Fear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SAS3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Panic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SAS4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Mental disintegration</w:t>
            </w:r>
            <w:bookmarkStart w:id="0" w:name="_GoBack"/>
            <w:bookmarkEnd w:id="0"/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SAS5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Apprehension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SAS6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Tremors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SAS7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Body aches &amp; pains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SAS8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Easy fatiguability &amp; weakness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SAS9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Restlessness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SAS10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Palpitation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SAS11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Dizziness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SAS12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Faintness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SAS13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Dyspnea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SAS14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Paresthesias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SAS15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Nausea &amp; vomiting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SAS16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Urinary frequency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SAS17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Sweating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SAS18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Face flushing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SAS19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Insomnia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SAS20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Nightmares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Depressed affect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1.71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SDS2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Diurnal variation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SDS3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Crying spells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1.42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SDS4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Sleep disturbance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SDS5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Decreased appetite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3.01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SDS6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Decreased libido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SDS7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Weight loss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SDS8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Constipation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SDS9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Tachycardia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SDS10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Fatigue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SDS11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Confusion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SDS12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Psychomotor retardation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SDS13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Psychomotor agitation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SDS14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Hopelessness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SDS15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Irritability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SDS16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Indecisiveness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SDS17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Personal devaluation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SDS18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Emptiness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2.84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SDS19</w:t>
            </w:r>
          </w:p>
        </w:tc>
        <w:tc>
          <w:tcPr>
            <w:tcW w:w="3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Suicidal rumination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SDS20</w:t>
            </w:r>
          </w:p>
        </w:tc>
        <w:tc>
          <w:tcPr>
            <w:tcW w:w="315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Interest loss</w:t>
            </w:r>
          </w:p>
        </w:tc>
        <w:tc>
          <w:tcPr>
            <w:tcW w:w="134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2.99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0.935</w:t>
            </w:r>
          </w:p>
        </w:tc>
      </w:tr>
    </w:tbl>
    <w:p>
      <w:pPr>
        <w:rPr>
          <w:rFonts w:hint="eastAsia" w:eastAsia="宋体"/>
          <w:vertAlign w:val="baseline"/>
          <w:lang w:eastAsia="zh-CN"/>
        </w:rPr>
      </w:pPr>
      <w:r>
        <w:rPr>
          <w:rFonts w:hint="eastAsia" w:eastAsia="宋体"/>
          <w:vertAlign w:val="baseline"/>
          <w:lang w:eastAsia="zh-CN"/>
        </w:rPr>
        <w:drawing>
          <wp:inline distT="0" distB="0" distL="114300" distR="114300">
            <wp:extent cx="5272405" cy="3997325"/>
            <wp:effectExtent l="0" t="0" r="10795" b="3175"/>
            <wp:docPr id="3" name="图片 3" descr="bianx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ianxia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sz w:val="20"/>
          <w:szCs w:val="20"/>
          <w:lang w:val="en-US" w:eastAsia="zh-CN"/>
        </w:rPr>
      </w:pPr>
      <w:r>
        <w:rPr>
          <w:rFonts w:ascii="Arial" w:hAnsi="Arial" w:eastAsia="Times New Roman" w:cs="Arial"/>
          <w:b/>
          <w:sz w:val="20"/>
          <w:szCs w:val="20"/>
          <w:lang w:val="en-US" w:eastAsia="en-US"/>
        </w:rPr>
        <w:t>Figure S</w:t>
      </w:r>
      <w:r>
        <w:rPr>
          <w:rFonts w:hint="eastAsia" w:ascii="Arial" w:hAnsi="Arial" w:eastAsia="Times New Roman" w:cs="Arial"/>
          <w:b/>
          <w:sz w:val="20"/>
          <w:szCs w:val="20"/>
          <w:lang w:val="en-US" w:eastAsia="zh-CN"/>
        </w:rPr>
        <w:t>1</w:t>
      </w:r>
      <w:r>
        <w:rPr>
          <w:lang w:val="en-US"/>
        </w:rPr>
        <w:t xml:space="preserve"> 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>Bootstrapped Confidence Intervals of All Edge-Weights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.</w:t>
      </w:r>
    </w:p>
    <w:p>
      <w:pPr>
        <w:rPr>
          <w:rFonts w:hint="eastAsia" w:ascii="Arial" w:hAnsi="Arial" w:eastAsia="Times New Roman" w:cs="Arial"/>
          <w:sz w:val="20"/>
          <w:szCs w:val="20"/>
          <w:lang w:val="en-US" w:eastAsia="zh-CN"/>
        </w:rPr>
      </w:pPr>
      <w:r>
        <w:rPr>
          <w:rFonts w:ascii="Arial" w:hAnsi="Arial" w:eastAsia="Times New Roman" w:cs="Arial"/>
          <w:b/>
          <w:sz w:val="20"/>
          <w:szCs w:val="20"/>
          <w:lang w:val="en-US" w:eastAsia="en-US"/>
        </w:rPr>
        <w:t>Note</w:t>
      </w:r>
      <w:r>
        <w:rPr>
          <w:rFonts w:hint="eastAsia" w:ascii="Arial" w:hAnsi="Arial" w:eastAsia="Times New Roman" w:cs="Arial"/>
          <w:b/>
          <w:sz w:val="20"/>
          <w:szCs w:val="20"/>
          <w:lang w:val="en-US" w:eastAsia="zh-CN"/>
        </w:rPr>
        <w:t>: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>The red dots represent each edge-weight’s score in the network, while the black dots represent each edge-weight’s estimated score estimated by means of non-parametric bootstrapping with</w:t>
      </w:r>
      <w:r>
        <w:rPr>
          <w:rFonts w:hint="eastAsia" w:ascii="Arial" w:hAnsi="Arial" w:eastAsia="Times New Roman" w:cs="Arial"/>
          <w:sz w:val="20"/>
          <w:szCs w:val="20"/>
          <w:lang w:val="en-US" w:eastAsia="zh-CN"/>
        </w:rPr>
        <w:t>1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 xml:space="preserve">,000 bootstraps (nboots = </w:t>
      </w:r>
      <w:r>
        <w:rPr>
          <w:rFonts w:hint="eastAsia" w:ascii="Arial" w:hAnsi="Arial" w:eastAsia="Times New Roman" w:cs="Arial"/>
          <w:sz w:val="20"/>
          <w:szCs w:val="20"/>
          <w:lang w:val="en-US" w:eastAsia="zh-CN"/>
        </w:rPr>
        <w:t>1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 xml:space="preserve">,000. The gray area shows the 95% confidence intervals of each edge-weight, estimated by means of non-parametric bootstrapping with </w:t>
      </w:r>
      <w:r>
        <w:rPr>
          <w:rFonts w:hint="eastAsia" w:ascii="Arial" w:hAnsi="Arial" w:eastAsia="Times New Roman" w:cs="Arial"/>
          <w:sz w:val="20"/>
          <w:szCs w:val="20"/>
          <w:lang w:val="en-US" w:eastAsia="zh-CN"/>
        </w:rPr>
        <w:t>1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 xml:space="preserve">,000 bootstraps (nboots = </w:t>
      </w:r>
      <w:r>
        <w:rPr>
          <w:rFonts w:hint="eastAsia" w:ascii="Arial" w:hAnsi="Arial" w:eastAsia="Times New Roman" w:cs="Arial"/>
          <w:sz w:val="20"/>
          <w:szCs w:val="20"/>
          <w:lang w:val="en-US" w:eastAsia="zh-CN"/>
        </w:rPr>
        <w:t>1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>,000). Wider confidence intervals denote lower stability and narrower intervals denote higher stability.</w:t>
      </w:r>
    </w:p>
    <w:p>
      <w:r>
        <w:br w:type="page"/>
      </w:r>
    </w:p>
    <w:p>
      <w:pPr>
        <w:rPr>
          <w:rFonts w:hint="eastAsia" w:eastAsia="宋体"/>
          <w:vertAlign w:val="baseline"/>
          <w:lang w:eastAsia="zh-CN"/>
        </w:rPr>
      </w:pPr>
      <w:r>
        <w:rPr>
          <w:rFonts w:hint="eastAsia" w:eastAsia="宋体"/>
          <w:vertAlign w:val="baseline"/>
          <w:lang w:eastAsia="zh-CN"/>
        </w:rPr>
        <w:drawing>
          <wp:inline distT="0" distB="0" distL="114300" distR="114300">
            <wp:extent cx="5273675" cy="3693795"/>
            <wp:effectExtent l="0" t="0" r="9525" b="1905"/>
            <wp:docPr id="4" name="图片 4" descr="jie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iedia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eastAsia="宋体" w:cs="Arial"/>
          <w:sz w:val="20"/>
          <w:szCs w:val="20"/>
          <w:lang w:val="en-US" w:eastAsia="zh-CN"/>
        </w:rPr>
      </w:pPr>
      <w:r>
        <w:rPr>
          <w:rFonts w:ascii="Arial" w:hAnsi="Arial" w:eastAsia="Times New Roman" w:cs="Arial"/>
          <w:b/>
          <w:sz w:val="20"/>
          <w:szCs w:val="20"/>
          <w:lang w:val="en-US" w:eastAsia="en-US"/>
        </w:rPr>
        <w:t>Figure S</w:t>
      </w:r>
      <w:r>
        <w:rPr>
          <w:rFonts w:hint="eastAsia" w:ascii="Arial" w:hAnsi="Arial" w:eastAsia="Times New Roman" w:cs="Arial"/>
          <w:b/>
          <w:sz w:val="20"/>
          <w:szCs w:val="20"/>
          <w:lang w:val="en-US" w:eastAsia="zh-CN"/>
        </w:rPr>
        <w:t>2</w:t>
      </w:r>
      <w:r>
        <w:rPr>
          <w:rFonts w:ascii="Arial" w:hAnsi="Arial" w:eastAsia="Times New Roman" w:cs="Arial"/>
          <w:b/>
          <w:sz w:val="20"/>
          <w:szCs w:val="20"/>
          <w:lang w:val="en-US" w:eastAsia="en-US"/>
        </w:rPr>
        <w:t xml:space="preserve"> 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>Bootstrapped Difference Tests for Strength Centrality Index</w:t>
      </w:r>
      <w:r>
        <w:rPr>
          <w:rFonts w:hint="eastAsia" w:ascii="Arial" w:hAnsi="Arial" w:eastAsia="宋体" w:cs="Arial"/>
          <w:sz w:val="20"/>
          <w:szCs w:val="20"/>
          <w:lang w:val="en-US" w:eastAsia="zh-CN"/>
        </w:rPr>
        <w:t>.</w:t>
      </w:r>
    </w:p>
    <w:p>
      <w:pPr>
        <w:rPr>
          <w:rFonts w:hint="eastAsia" w:ascii="Arial" w:hAnsi="Arial" w:eastAsia="Times New Roman" w:cs="Arial"/>
          <w:sz w:val="20"/>
          <w:szCs w:val="20"/>
          <w:lang w:val="en-US" w:eastAsia="zh-CN"/>
        </w:rPr>
      </w:pPr>
      <w:r>
        <w:rPr>
          <w:rFonts w:ascii="Arial" w:hAnsi="Arial" w:eastAsia="Times New Roman" w:cs="Arial"/>
          <w:b/>
          <w:sz w:val="20"/>
          <w:szCs w:val="20"/>
          <w:lang w:val="en-US" w:eastAsia="en-US"/>
        </w:rPr>
        <w:t>Note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>:</w:t>
      </w:r>
      <w:r>
        <w:rPr>
          <w:rFonts w:ascii="Arial" w:hAnsi="Arial" w:eastAsia="Times New Roman" w:cs="Arial"/>
          <w:b/>
          <w:sz w:val="20"/>
          <w:szCs w:val="20"/>
          <w:lang w:val="en-US" w:eastAsia="en-US"/>
        </w:rPr>
        <w:t xml:space="preserve"> </w:t>
      </w:r>
      <w:r>
        <w:rPr>
          <w:rFonts w:ascii="Arial" w:hAnsi="Arial" w:eastAsia="Times New Roman" w:cs="Arial"/>
          <w:sz w:val="20"/>
          <w:szCs w:val="20"/>
          <w:lang w:val="en-US" w:eastAsia="en-US"/>
        </w:rPr>
        <w:t>The difference tests for strength centrality are depicted in this Figure. The color of the boxes indicates whether there is a significant difference in their centrality operationalized by their strength centrality scores between nodes. Grey boxes indicate no significant differences and black boxes indicate significant differences (α = 0.05). The value in the white boxes indicates the value of node strength centrality scores of a specific node.</w:t>
      </w:r>
    </w:p>
    <w:p>
      <w:pPr>
        <w:rPr>
          <w:rFonts w:hint="eastAsia" w:eastAsia="宋体"/>
          <w:vertAlign w:val="baseline"/>
          <w:lang w:eastAsia="zh-CN"/>
        </w:rPr>
      </w:pPr>
    </w:p>
    <w:p>
      <w:pPr>
        <w:rPr>
          <w:rFonts w:hint="eastAsia" w:eastAsia="宋体"/>
          <w:vertAlign w:val="baseline"/>
          <w:lang w:eastAsia="zh-CN"/>
        </w:rPr>
      </w:pP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MjU1Y2Q2NzdkN2NmYzBlODVlNzBmYmJiZTgxMzAifQ=="/>
  </w:docVars>
  <w:rsids>
    <w:rsidRoot w:val="68A43460"/>
    <w:rsid w:val="024740A5"/>
    <w:rsid w:val="2B7D742A"/>
    <w:rsid w:val="30D5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zh-CN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351</Words>
  <Characters>2069</Characters>
  <Lines>0</Lines>
  <Paragraphs>0</Paragraphs>
  <TotalTime>5</TotalTime>
  <ScaleCrop>false</ScaleCrop>
  <LinksUpToDate>false</LinksUpToDate>
  <CharactersWithSpaces>2250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2024-03-19T02:49:00Z</dcterms:created>
  <dc:creator>天涯明月</dc:creator>
  <cp:lastModifiedBy>天涯明月</cp:lastModifiedBy>
  <dcterms:modified xsi:type="dcterms:W3CDTF">2024-06-18T04:12:42Z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2A8DE4B014894165A0F08F5A735019B0_11</vt:lpwstr>
  </property>
</Properties>
</file>