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64B56A" w14:textId="77777777" w:rsidR="00F2627C" w:rsidRPr="00B1206E" w:rsidRDefault="00B1206E">
      <w:pPr>
        <w:pStyle w:val="NormalWeb"/>
        <w:snapToGrid w:val="0"/>
        <w:spacing w:before="0" w:beforeAutospacing="0" w:after="120" w:afterAutospacing="0" w:line="480" w:lineRule="auto"/>
        <w:rPr>
          <w:rFonts w:ascii="Arial" w:eastAsiaTheme="minorEastAsia" w:hAnsi="Arial" w:cs="Arial"/>
          <w:b/>
          <w:bCs/>
          <w:color w:val="000000"/>
          <w:kern w:val="32"/>
          <w:sz w:val="32"/>
          <w:szCs w:val="32"/>
          <w:lang w:eastAsia="en-US"/>
        </w:rPr>
      </w:pPr>
      <w:r w:rsidRPr="00B1206E">
        <w:rPr>
          <w:rFonts w:ascii="Arial" w:eastAsiaTheme="minorEastAsia" w:hAnsi="Arial" w:cs="Arial"/>
          <w:b/>
          <w:bCs/>
          <w:color w:val="000000"/>
          <w:kern w:val="32"/>
          <w:sz w:val="32"/>
          <w:szCs w:val="32"/>
          <w:lang w:eastAsia="en-US"/>
        </w:rPr>
        <w:t xml:space="preserve">Supplemental tables  </w:t>
      </w:r>
    </w:p>
    <w:p w14:paraId="6E8E9371" w14:textId="77777777" w:rsidR="00F2627C" w:rsidRPr="00B1206E" w:rsidRDefault="00B1206E">
      <w:pPr>
        <w:spacing w:after="120"/>
        <w:rPr>
          <w:rFonts w:ascii="Arial" w:hAnsi="Arial" w:cs="Arial"/>
          <w:b/>
          <w:bCs/>
          <w:color w:val="000000"/>
        </w:rPr>
      </w:pPr>
      <w:r w:rsidRPr="00B1206E">
        <w:rPr>
          <w:rFonts w:ascii="Arial" w:hAnsi="Arial" w:cs="Arial"/>
          <w:b/>
          <w:bCs/>
          <w:color w:val="000000"/>
        </w:rPr>
        <w:t>Table S1</w:t>
      </w:r>
      <w:r w:rsidRPr="00B1206E">
        <w:rPr>
          <w:rFonts w:ascii="Arial" w:eastAsia="Microsoft YaHei" w:hAnsi="Arial" w:cs="Arial"/>
          <w:b/>
          <w:bCs/>
          <w:color w:val="000000"/>
        </w:rPr>
        <w:t xml:space="preserve">. </w:t>
      </w:r>
      <w:r w:rsidRPr="00B1206E">
        <w:rPr>
          <w:rFonts w:ascii="Arial" w:hAnsi="Arial" w:cs="Arial"/>
          <w:color w:val="000000"/>
        </w:rPr>
        <w:t xml:space="preserve">Clinical characteristics of the </w:t>
      </w:r>
      <w:r w:rsidRPr="00B1206E">
        <w:rPr>
          <w:rFonts w:ascii="Arial" w:hAnsi="Arial" w:cs="Arial"/>
          <w:bCs/>
          <w:color w:val="000000"/>
        </w:rPr>
        <w:t>MRONJ</w:t>
      </w:r>
      <w:r w:rsidRPr="00B1206E">
        <w:rPr>
          <w:rFonts w:ascii="Arial" w:hAnsi="Arial" w:cs="Arial"/>
          <w:color w:val="000000"/>
        </w:rPr>
        <w:t xml:space="preserve"> patients</w:t>
      </w:r>
      <w:r w:rsidRPr="00B1206E">
        <w:rPr>
          <w:rFonts w:ascii="Arial" w:hAnsi="Arial" w:cs="Arial"/>
          <w:b/>
          <w:color w:val="000000"/>
        </w:rPr>
        <w:t xml:space="preserve"> </w:t>
      </w:r>
    </w:p>
    <w:tbl>
      <w:tblPr>
        <w:tblW w:w="5000" w:type="pct"/>
        <w:tblBorders>
          <w:top w:val="single" w:sz="4" w:space="0" w:color="7F7F7F"/>
          <w:bottom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1015"/>
        <w:gridCol w:w="493"/>
        <w:gridCol w:w="740"/>
        <w:gridCol w:w="1703"/>
        <w:gridCol w:w="1388"/>
        <w:gridCol w:w="1205"/>
        <w:gridCol w:w="1016"/>
        <w:gridCol w:w="740"/>
      </w:tblGrid>
      <w:tr w:rsidR="00F2627C" w:rsidRPr="00B1206E" w14:paraId="1461C65F" w14:textId="77777777">
        <w:tc>
          <w:tcPr>
            <w:tcW w:w="611" w:type="pct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</w:tcPr>
          <w:p w14:paraId="6EBB41CC" w14:textId="77777777" w:rsidR="00F2627C" w:rsidRPr="00B1206E" w:rsidRDefault="00B1206E">
            <w:pPr>
              <w:spacing w:after="120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No.</w:t>
            </w:r>
          </w:p>
        </w:tc>
        <w:tc>
          <w:tcPr>
            <w:tcW w:w="297" w:type="pct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</w:tcPr>
          <w:p w14:paraId="20D810BE" w14:textId="77777777" w:rsidR="00F2627C" w:rsidRPr="00B1206E" w:rsidRDefault="00B1206E">
            <w:pPr>
              <w:spacing w:after="120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Age</w:t>
            </w:r>
          </w:p>
        </w:tc>
        <w:tc>
          <w:tcPr>
            <w:tcW w:w="446" w:type="pct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</w:tcPr>
          <w:p w14:paraId="1C071694" w14:textId="77777777" w:rsidR="00F2627C" w:rsidRPr="00B1206E" w:rsidRDefault="00B1206E">
            <w:pPr>
              <w:spacing w:after="120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Gender</w:t>
            </w:r>
          </w:p>
        </w:tc>
        <w:tc>
          <w:tcPr>
            <w:tcW w:w="1026" w:type="pct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</w:tcPr>
          <w:p w14:paraId="56F9DF2A" w14:textId="77777777" w:rsidR="00F2627C" w:rsidRPr="00B1206E" w:rsidRDefault="00B1206E">
            <w:pPr>
              <w:spacing w:after="120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Disease</w:t>
            </w:r>
          </w:p>
        </w:tc>
        <w:tc>
          <w:tcPr>
            <w:tcW w:w="836" w:type="pct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</w:tcPr>
          <w:p w14:paraId="4AF33F53" w14:textId="77777777" w:rsidR="00F2627C" w:rsidRPr="00B1206E" w:rsidRDefault="00B1206E">
            <w:pPr>
              <w:spacing w:after="120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Bisphosphonate</w:t>
            </w:r>
          </w:p>
        </w:tc>
        <w:tc>
          <w:tcPr>
            <w:tcW w:w="726" w:type="pct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</w:tcPr>
          <w:p w14:paraId="70D130A9" w14:textId="77777777" w:rsidR="00F2627C" w:rsidRPr="00B1206E" w:rsidRDefault="00B1206E">
            <w:pPr>
              <w:spacing w:after="120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Dose (mg)</w:t>
            </w:r>
          </w:p>
        </w:tc>
        <w:tc>
          <w:tcPr>
            <w:tcW w:w="612" w:type="pct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</w:tcPr>
          <w:p w14:paraId="2444B79C" w14:textId="77777777" w:rsidR="00F2627C" w:rsidRPr="00B1206E" w:rsidRDefault="00B1206E">
            <w:pPr>
              <w:spacing w:after="120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Duration</w:t>
            </w:r>
          </w:p>
        </w:tc>
        <w:tc>
          <w:tcPr>
            <w:tcW w:w="446" w:type="pct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</w:tcPr>
          <w:p w14:paraId="7B44AB05" w14:textId="77777777" w:rsidR="00F2627C" w:rsidRPr="00B1206E" w:rsidRDefault="00B1206E">
            <w:pPr>
              <w:spacing w:after="120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Group</w:t>
            </w:r>
          </w:p>
        </w:tc>
      </w:tr>
      <w:tr w:rsidR="00F2627C" w:rsidRPr="00B1206E" w14:paraId="6A42A128" w14:textId="77777777"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</w:tcPr>
          <w:p w14:paraId="0603DF31" w14:textId="77777777" w:rsidR="00F2627C" w:rsidRPr="00B1206E" w:rsidRDefault="00B1206E">
            <w:pPr>
              <w:spacing w:after="120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Patient 1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5D960283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5EEB3FC4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Female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14:paraId="33E08DD5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Maxillary retrusion,</w:t>
            </w:r>
          </w:p>
          <w:p w14:paraId="77FACB26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 xml:space="preserve">Mandibular protrusion 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</w:tcPr>
          <w:p w14:paraId="6B5072BB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No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</w:tcPr>
          <w:p w14:paraId="084E5F81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</w:tcPr>
          <w:p w14:paraId="41B29D2C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7C447B7F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Healthy</w:t>
            </w:r>
          </w:p>
        </w:tc>
      </w:tr>
      <w:tr w:rsidR="00F2627C" w:rsidRPr="00B1206E" w14:paraId="684AF1DC" w14:textId="77777777">
        <w:trPr>
          <w:trHeight w:val="569"/>
        </w:trPr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</w:tcPr>
          <w:p w14:paraId="192D7CA3" w14:textId="77777777" w:rsidR="00F2627C" w:rsidRPr="00B1206E" w:rsidRDefault="00B1206E">
            <w:pPr>
              <w:spacing w:after="120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Patient 2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01132B6C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5775762C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Female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14:paraId="4E9CD532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Maxillary protrusion,</w:t>
            </w:r>
          </w:p>
          <w:p w14:paraId="40491B13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 xml:space="preserve">Mandibular retrusion 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</w:tcPr>
          <w:p w14:paraId="4FA08124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No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</w:tcPr>
          <w:p w14:paraId="5B8728BB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</w:tcPr>
          <w:p w14:paraId="6B3261ED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06E3B2B1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Healthy</w:t>
            </w:r>
          </w:p>
        </w:tc>
      </w:tr>
      <w:tr w:rsidR="00F2627C" w:rsidRPr="00B1206E" w14:paraId="092CC21E" w14:textId="77777777"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</w:tcPr>
          <w:p w14:paraId="1E2D82A7" w14:textId="77777777" w:rsidR="00F2627C" w:rsidRPr="00B1206E" w:rsidRDefault="00B1206E">
            <w:pPr>
              <w:spacing w:after="120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Patient 3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52FA1290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5EA70C9B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Female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14:paraId="6D521AA5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Mandibular protrusion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</w:tcPr>
          <w:p w14:paraId="01D513B9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No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</w:tcPr>
          <w:p w14:paraId="66624359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</w:tcPr>
          <w:p w14:paraId="62BE8E71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436B5F1D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Healthy</w:t>
            </w:r>
          </w:p>
        </w:tc>
      </w:tr>
      <w:tr w:rsidR="00F2627C" w:rsidRPr="00B1206E" w14:paraId="62B2BAC4" w14:textId="77777777"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</w:tcPr>
          <w:p w14:paraId="151F9F90" w14:textId="77777777" w:rsidR="00F2627C" w:rsidRPr="00B1206E" w:rsidRDefault="00B1206E">
            <w:pPr>
              <w:spacing w:after="120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Patient 4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793926A9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208D08F3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Male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14:paraId="6C208CB7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Mandibular protrusion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</w:tcPr>
          <w:p w14:paraId="37C32CA9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No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</w:tcPr>
          <w:p w14:paraId="559523B0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</w:tcPr>
          <w:p w14:paraId="5586FE0A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36CC9D13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Healthy</w:t>
            </w:r>
          </w:p>
        </w:tc>
      </w:tr>
      <w:tr w:rsidR="00F2627C" w:rsidRPr="00B1206E" w14:paraId="55B28F94" w14:textId="77777777"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</w:tcPr>
          <w:p w14:paraId="7DB3DB60" w14:textId="77777777" w:rsidR="00F2627C" w:rsidRPr="00B1206E" w:rsidRDefault="00B1206E">
            <w:pPr>
              <w:spacing w:after="120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Patient 5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77F3DA79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611143AC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Male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14:paraId="6E5E1717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Maxillary retrusion,</w:t>
            </w:r>
          </w:p>
          <w:p w14:paraId="2AA8C5FE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Mandibular protrusion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</w:tcPr>
          <w:p w14:paraId="27C065D6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No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</w:tcPr>
          <w:p w14:paraId="1B0F7DF0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</w:tcPr>
          <w:p w14:paraId="3C5F26B2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295C5195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Healthy</w:t>
            </w:r>
          </w:p>
        </w:tc>
      </w:tr>
      <w:tr w:rsidR="00F2627C" w:rsidRPr="00B1206E" w14:paraId="691EAEE0" w14:textId="77777777"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</w:tcPr>
          <w:p w14:paraId="3E3B016C" w14:textId="77777777" w:rsidR="00F2627C" w:rsidRPr="00B1206E" w:rsidRDefault="00B1206E">
            <w:pPr>
              <w:spacing w:after="120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Patient 6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78B27235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61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70D4639F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Female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14:paraId="1EFEBB15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Breast cancer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</w:tcPr>
          <w:p w14:paraId="2D5BD2E5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Zoledronic acid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</w:tcPr>
          <w:p w14:paraId="36B672DC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4 (/month)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</w:tcPr>
          <w:p w14:paraId="10612955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30 months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7A7B5953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MRONJ</w:t>
            </w:r>
          </w:p>
        </w:tc>
      </w:tr>
      <w:tr w:rsidR="00F2627C" w:rsidRPr="00B1206E" w14:paraId="1F91517D" w14:textId="77777777"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</w:tcPr>
          <w:p w14:paraId="5927AC9A" w14:textId="77777777" w:rsidR="00F2627C" w:rsidRPr="00B1206E" w:rsidRDefault="00B1206E">
            <w:pPr>
              <w:spacing w:after="120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Patient 7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621578FE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58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6CCF9B70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Female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14:paraId="738AF87E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Breast cancer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</w:tcPr>
          <w:p w14:paraId="356BEDB0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Zoledronic acid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</w:tcPr>
          <w:p w14:paraId="088A52C8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4 (/month)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</w:tcPr>
          <w:p w14:paraId="3D966DF7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28 months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4F05761F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MRONJ</w:t>
            </w:r>
          </w:p>
        </w:tc>
      </w:tr>
      <w:tr w:rsidR="00F2627C" w:rsidRPr="00B1206E" w14:paraId="523B7CA0" w14:textId="77777777"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</w:tcPr>
          <w:p w14:paraId="24EFF42A" w14:textId="77777777" w:rsidR="00F2627C" w:rsidRPr="00B1206E" w:rsidRDefault="00B1206E">
            <w:pPr>
              <w:spacing w:after="120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Patient 8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2476BB3D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54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79F9CDAD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Male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14:paraId="7F5460BA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Multiple myeloma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</w:tcPr>
          <w:p w14:paraId="630FBB93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Zoledronic acid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</w:tcPr>
          <w:p w14:paraId="6D9BE7EB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4 (/month)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</w:tcPr>
          <w:p w14:paraId="111D0355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32 months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21158928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MRONJ</w:t>
            </w:r>
          </w:p>
        </w:tc>
      </w:tr>
      <w:tr w:rsidR="00F2627C" w:rsidRPr="00B1206E" w14:paraId="3E31CB37" w14:textId="77777777"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</w:tcPr>
          <w:p w14:paraId="4F28EFB3" w14:textId="77777777" w:rsidR="00F2627C" w:rsidRPr="00B1206E" w:rsidRDefault="00B1206E">
            <w:pPr>
              <w:spacing w:after="120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Patient 9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14:paraId="70807D3E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69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0C519DDA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Male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14:paraId="32215E15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Prostatic cancer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</w:tcPr>
          <w:p w14:paraId="452313B6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Zoledronic acid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</w:tcPr>
          <w:p w14:paraId="6DB7FCEA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4 (/1-3months)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</w:tcPr>
          <w:p w14:paraId="466E8801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36 months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</w:tcPr>
          <w:p w14:paraId="196476E4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MRONJ</w:t>
            </w:r>
          </w:p>
        </w:tc>
      </w:tr>
      <w:tr w:rsidR="00F2627C" w:rsidRPr="00B1206E" w14:paraId="23EB895F" w14:textId="77777777">
        <w:tc>
          <w:tcPr>
            <w:tcW w:w="611" w:type="pct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174DD446" w14:textId="77777777" w:rsidR="00F2627C" w:rsidRPr="00B1206E" w:rsidRDefault="00B1206E">
            <w:pPr>
              <w:spacing w:after="120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Patient 10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1FD54C5C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56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54DF3179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Male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1179D6D0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Lung cancer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0A32939A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Zoledronic acid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51552A99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4 (/month)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4B501D80" w14:textId="77777777" w:rsidR="00F2627C" w:rsidRPr="00B1206E" w:rsidRDefault="00B1206E">
            <w:pPr>
              <w:spacing w:after="120"/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24 months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5B88A33F" w14:textId="77777777" w:rsidR="00F2627C" w:rsidRPr="00B1206E" w:rsidRDefault="00B1206E">
            <w:pPr>
              <w:spacing w:after="120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1206E">
              <w:rPr>
                <w:rFonts w:ascii="Arial" w:hAnsi="Arial" w:cs="Arial"/>
                <w:color w:val="000000"/>
                <w:sz w:val="15"/>
                <w:szCs w:val="15"/>
              </w:rPr>
              <w:t>MRONJ</w:t>
            </w:r>
          </w:p>
        </w:tc>
      </w:tr>
    </w:tbl>
    <w:p w14:paraId="0CF36631" w14:textId="77777777" w:rsidR="00F2627C" w:rsidRPr="00B1206E" w:rsidRDefault="00F2627C">
      <w:pPr>
        <w:pStyle w:val="NormalWeb"/>
        <w:snapToGrid w:val="0"/>
        <w:spacing w:before="0" w:beforeAutospacing="0" w:after="120" w:afterAutospacing="0"/>
        <w:jc w:val="center"/>
        <w:rPr>
          <w:rFonts w:ascii="Arial" w:hAnsi="Arial" w:cs="Arial"/>
          <w:b/>
          <w:bCs/>
          <w:color w:val="000000"/>
          <w:kern w:val="32"/>
          <w:sz w:val="36"/>
          <w:szCs w:val="36"/>
        </w:rPr>
      </w:pPr>
    </w:p>
    <w:p w14:paraId="5DF0E5B8" w14:textId="77777777" w:rsidR="00F2627C" w:rsidRPr="00B1206E" w:rsidRDefault="00F2627C">
      <w:pPr>
        <w:pStyle w:val="NormalWeb"/>
        <w:snapToGrid w:val="0"/>
        <w:spacing w:before="0" w:beforeAutospacing="0" w:after="120" w:afterAutospacing="0"/>
        <w:jc w:val="center"/>
        <w:rPr>
          <w:rFonts w:ascii="Arial" w:hAnsi="Arial" w:cs="Arial"/>
          <w:b/>
          <w:bCs/>
          <w:color w:val="000000"/>
          <w:kern w:val="32"/>
          <w:sz w:val="36"/>
          <w:szCs w:val="36"/>
        </w:rPr>
      </w:pPr>
    </w:p>
    <w:p w14:paraId="7650382B" w14:textId="77777777" w:rsidR="00F2627C" w:rsidRPr="00B1206E" w:rsidRDefault="00F2627C">
      <w:pPr>
        <w:pStyle w:val="NormalWeb"/>
        <w:snapToGrid w:val="0"/>
        <w:spacing w:before="0" w:beforeAutospacing="0" w:after="120" w:afterAutospacing="0"/>
        <w:jc w:val="center"/>
        <w:rPr>
          <w:rFonts w:ascii="Arial" w:hAnsi="Arial" w:cs="Arial"/>
          <w:b/>
          <w:bCs/>
          <w:color w:val="000000"/>
          <w:kern w:val="32"/>
          <w:sz w:val="36"/>
          <w:szCs w:val="36"/>
        </w:rPr>
      </w:pPr>
    </w:p>
    <w:p w14:paraId="2619CCE6" w14:textId="77777777" w:rsidR="00F2627C" w:rsidRPr="00B1206E" w:rsidRDefault="00F2627C">
      <w:pPr>
        <w:pStyle w:val="NormalWeb"/>
        <w:snapToGrid w:val="0"/>
        <w:spacing w:before="0" w:beforeAutospacing="0" w:after="120" w:afterAutospacing="0"/>
        <w:jc w:val="center"/>
        <w:rPr>
          <w:rFonts w:ascii="Arial" w:hAnsi="Arial" w:cs="Arial"/>
          <w:b/>
          <w:bCs/>
          <w:color w:val="000000"/>
          <w:kern w:val="32"/>
          <w:sz w:val="36"/>
          <w:szCs w:val="36"/>
        </w:rPr>
      </w:pPr>
    </w:p>
    <w:p w14:paraId="22CEA947" w14:textId="77777777" w:rsidR="00F2627C" w:rsidRPr="00B1206E" w:rsidRDefault="00F2627C">
      <w:pPr>
        <w:pStyle w:val="NormalWeb"/>
        <w:snapToGrid w:val="0"/>
        <w:spacing w:before="0" w:beforeAutospacing="0" w:after="120" w:afterAutospacing="0"/>
        <w:jc w:val="center"/>
        <w:rPr>
          <w:rFonts w:ascii="Arial" w:hAnsi="Arial" w:cs="Arial"/>
          <w:b/>
          <w:bCs/>
          <w:color w:val="000000"/>
          <w:kern w:val="32"/>
          <w:sz w:val="36"/>
          <w:szCs w:val="36"/>
        </w:rPr>
      </w:pPr>
    </w:p>
    <w:p w14:paraId="6EA56D8B" w14:textId="77777777" w:rsidR="00F2627C" w:rsidRPr="00B1206E" w:rsidRDefault="00F2627C">
      <w:pPr>
        <w:pStyle w:val="NormalWeb"/>
        <w:snapToGrid w:val="0"/>
        <w:spacing w:before="0" w:beforeAutospacing="0" w:after="120" w:afterAutospacing="0"/>
        <w:rPr>
          <w:rFonts w:ascii="Arial" w:hAnsi="Arial" w:cs="Arial"/>
          <w:b/>
          <w:bCs/>
          <w:color w:val="000000"/>
          <w:kern w:val="32"/>
          <w:sz w:val="36"/>
          <w:szCs w:val="36"/>
        </w:rPr>
      </w:pPr>
    </w:p>
    <w:p w14:paraId="78DFC621" w14:textId="77777777" w:rsidR="00F2627C" w:rsidRPr="00B1206E" w:rsidRDefault="00B1206E">
      <w:pPr>
        <w:pStyle w:val="Heading1"/>
        <w:keepLines w:val="0"/>
        <w:spacing w:before="240" w:after="60" w:line="480" w:lineRule="auto"/>
        <w:rPr>
          <w:rFonts w:ascii="Arial" w:eastAsiaTheme="minorEastAsia" w:hAnsi="Arial" w:cs="Arial"/>
          <w:color w:val="000000"/>
          <w:kern w:val="32"/>
          <w:sz w:val="32"/>
          <w:szCs w:val="32"/>
          <w:lang w:eastAsia="en-US"/>
        </w:rPr>
      </w:pPr>
      <w:r w:rsidRPr="00B1206E">
        <w:rPr>
          <w:rFonts w:ascii="Arial" w:eastAsiaTheme="minorEastAsia" w:hAnsi="Arial" w:cs="Arial"/>
          <w:color w:val="000000"/>
          <w:kern w:val="32"/>
          <w:sz w:val="32"/>
          <w:szCs w:val="32"/>
          <w:lang w:eastAsia="en-US"/>
        </w:rPr>
        <w:lastRenderedPageBreak/>
        <w:t>Supplementary methods</w:t>
      </w:r>
    </w:p>
    <w:p w14:paraId="2FFBB9E4" w14:textId="77777777" w:rsidR="00F2627C" w:rsidRPr="00B1206E" w:rsidRDefault="00B120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120" w:line="480" w:lineRule="auto"/>
        <w:jc w:val="both"/>
        <w:rPr>
          <w:rFonts w:ascii="Arial" w:eastAsiaTheme="minorEastAsia" w:hAnsi="Arial" w:cs="Arial"/>
          <w:b/>
          <w:bCs/>
          <w:i/>
          <w:iCs/>
          <w:color w:val="000000"/>
          <w:sz w:val="28"/>
          <w:szCs w:val="28"/>
          <w:lang w:eastAsia="en-US"/>
        </w:rPr>
      </w:pPr>
      <w:r w:rsidRPr="00B1206E">
        <w:rPr>
          <w:rFonts w:ascii="Arial" w:eastAsiaTheme="minorEastAsia" w:hAnsi="Arial" w:cs="Arial"/>
          <w:b/>
          <w:bCs/>
          <w:i/>
          <w:iCs/>
          <w:color w:val="000000"/>
          <w:sz w:val="28"/>
          <w:szCs w:val="28"/>
          <w:lang w:eastAsia="en-US"/>
        </w:rPr>
        <w:t>Adipogenic differentiation and Oil Red O staining</w:t>
      </w:r>
    </w:p>
    <w:p w14:paraId="618F4627" w14:textId="77777777" w:rsidR="00F2627C" w:rsidRPr="00B1206E" w:rsidRDefault="00B1206E">
      <w:pPr>
        <w:spacing w:before="240" w:after="120" w:line="360" w:lineRule="auto"/>
        <w:jc w:val="both"/>
        <w:rPr>
          <w:rFonts w:ascii="Arial" w:eastAsiaTheme="majorHAnsi" w:hAnsi="Arial" w:cs="Arial"/>
          <w:bCs/>
          <w:color w:val="000000"/>
        </w:rPr>
      </w:pPr>
      <w:r w:rsidRPr="00B1206E">
        <w:rPr>
          <w:rFonts w:ascii="Arial" w:eastAsiaTheme="majorHAnsi" w:hAnsi="Arial" w:cs="Arial"/>
          <w:bCs/>
          <w:color w:val="000000"/>
        </w:rPr>
        <w:t xml:space="preserve">ADSCs were cultured in 6-well plates with a complete medium. After cells reached ~100% confluency, the complete medium was replaced with an adipogenic differentiation medium according to the </w:t>
      </w:r>
      <w:r w:rsidRPr="00B1206E">
        <w:rPr>
          <w:rFonts w:ascii="Arial" w:hAnsi="Arial" w:cs="Arial"/>
          <w:color w:val="000000"/>
        </w:rPr>
        <w:t xml:space="preserve">manufacturer's instructions (HUXMD-90031, </w:t>
      </w:r>
      <w:bookmarkStart w:id="0" w:name="OLE_LINK191"/>
      <w:r w:rsidRPr="00B1206E">
        <w:rPr>
          <w:rFonts w:ascii="Arial" w:hAnsi="Arial" w:cs="Arial"/>
          <w:color w:val="000000"/>
        </w:rPr>
        <w:t>Cyagen Biosciences</w:t>
      </w:r>
      <w:bookmarkEnd w:id="0"/>
      <w:r w:rsidRPr="00B1206E">
        <w:rPr>
          <w:rFonts w:ascii="Arial" w:hAnsi="Arial" w:cs="Arial"/>
          <w:color w:val="000000"/>
        </w:rPr>
        <w:t>, USA)</w:t>
      </w:r>
      <w:r w:rsidRPr="00B1206E">
        <w:rPr>
          <w:rFonts w:ascii="Arial" w:eastAsiaTheme="majorHAnsi" w:hAnsi="Arial" w:cs="Arial"/>
          <w:bCs/>
          <w:color w:val="000000"/>
        </w:rPr>
        <w:t>. Two weeks later, the cells were washed with PBS, fixed with 4% PFA for 30 min, and stained with Oil Red O staining solution at RT for 30 min. Cells were then washed again and visualized with an Olympus microscope.</w:t>
      </w:r>
    </w:p>
    <w:p w14:paraId="19BB1222" w14:textId="77777777" w:rsidR="00F2627C" w:rsidRPr="00B1206E" w:rsidRDefault="00B120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120" w:line="480" w:lineRule="auto"/>
        <w:jc w:val="both"/>
        <w:rPr>
          <w:rFonts w:ascii="Arial" w:eastAsiaTheme="minorEastAsia" w:hAnsi="Arial" w:cs="Arial"/>
          <w:b/>
          <w:bCs/>
          <w:i/>
          <w:iCs/>
          <w:color w:val="000000"/>
          <w:sz w:val="28"/>
          <w:szCs w:val="28"/>
          <w:lang w:eastAsia="en-US"/>
        </w:rPr>
      </w:pPr>
      <w:r w:rsidRPr="00B1206E">
        <w:rPr>
          <w:rFonts w:ascii="Arial" w:eastAsiaTheme="minorEastAsia" w:hAnsi="Arial" w:cs="Arial"/>
          <w:b/>
          <w:bCs/>
          <w:i/>
          <w:iCs/>
          <w:color w:val="000000"/>
          <w:sz w:val="28"/>
          <w:szCs w:val="28"/>
          <w:lang w:eastAsia="en-US"/>
        </w:rPr>
        <w:t>Osteogenic differentiation and Alizarin red S staining</w:t>
      </w:r>
    </w:p>
    <w:p w14:paraId="3AD9B7C4" w14:textId="77777777" w:rsidR="00F2627C" w:rsidRPr="00B1206E" w:rsidRDefault="00B1206E">
      <w:pPr>
        <w:spacing w:before="240" w:after="120" w:line="360" w:lineRule="auto"/>
        <w:jc w:val="both"/>
        <w:rPr>
          <w:rFonts w:ascii="Arial" w:hAnsi="Arial" w:cs="Arial"/>
          <w:bCs/>
          <w:color w:val="000000"/>
        </w:rPr>
      </w:pPr>
      <w:r w:rsidRPr="00B1206E">
        <w:rPr>
          <w:rFonts w:ascii="Arial" w:hAnsi="Arial" w:cs="Arial"/>
          <w:bCs/>
          <w:color w:val="000000"/>
        </w:rPr>
        <w:t>ADSCs were cultured in 6-well plates with a complete medium. After cells reached ~70% confluency, the complete medium was replaced with an osteogenic differentiation medium according to the manufacturer's instructions (HUXMD-90021, Cyagen Biosciences, USA). Three weeks later, the cells were washed with PBS, fixed with 4% PFA for 30 min, and stained with Alizarin red S staining solution at RT for 30 min. Cells were then washed and visualized with an Olympus microscope.</w:t>
      </w:r>
    </w:p>
    <w:p w14:paraId="204C7A00" w14:textId="77777777" w:rsidR="00F2627C" w:rsidRPr="00B1206E" w:rsidRDefault="00B120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120" w:line="480" w:lineRule="auto"/>
        <w:jc w:val="both"/>
        <w:rPr>
          <w:rFonts w:ascii="Arial" w:eastAsiaTheme="minorEastAsia" w:hAnsi="Arial" w:cs="Arial"/>
          <w:b/>
          <w:bCs/>
          <w:i/>
          <w:iCs/>
          <w:color w:val="000000"/>
          <w:sz w:val="28"/>
          <w:szCs w:val="28"/>
          <w:lang w:eastAsia="en-US"/>
        </w:rPr>
      </w:pPr>
      <w:r w:rsidRPr="00B1206E">
        <w:rPr>
          <w:rFonts w:ascii="Arial" w:eastAsiaTheme="minorEastAsia" w:hAnsi="Arial" w:cs="Arial"/>
          <w:b/>
          <w:bCs/>
          <w:i/>
          <w:iCs/>
          <w:color w:val="000000"/>
          <w:sz w:val="28"/>
          <w:szCs w:val="28"/>
          <w:lang w:eastAsia="en-US"/>
        </w:rPr>
        <w:t>Flow cytometry</w:t>
      </w:r>
    </w:p>
    <w:p w14:paraId="5002123B" w14:textId="77777777" w:rsidR="00F2627C" w:rsidRPr="00B1206E" w:rsidRDefault="00B1206E">
      <w:pPr>
        <w:spacing w:before="240" w:after="120" w:line="360" w:lineRule="auto"/>
        <w:jc w:val="both"/>
        <w:rPr>
          <w:rFonts w:ascii="Arial" w:hAnsi="Arial" w:cs="Arial"/>
          <w:bCs/>
          <w:color w:val="000000"/>
        </w:rPr>
      </w:pPr>
      <w:r w:rsidRPr="00B1206E">
        <w:rPr>
          <w:rFonts w:ascii="Arial" w:hAnsi="Arial" w:cs="Arial"/>
          <w:bCs/>
          <w:color w:val="000000"/>
        </w:rPr>
        <w:t>ADSCs (passage 3) were collected, washed three times with PBS, and then incubated with PE anti-human CD44 (338808, Biolegend, San Diego, CA, USA), APC/Cyanine7 anti-human CD73 (344021, Biolegend</w:t>
      </w:r>
      <w:r w:rsidRPr="00B1206E">
        <w:rPr>
          <w:rFonts w:ascii="Arial" w:hAnsi="Arial" w:cs="Arial" w:hint="eastAsia"/>
          <w:bCs/>
          <w:color w:val="000000"/>
        </w:rPr>
        <w:t>,</w:t>
      </w:r>
      <w:r w:rsidRPr="00B1206E">
        <w:rPr>
          <w:rFonts w:ascii="Arial" w:hAnsi="Arial" w:cs="Arial"/>
          <w:bCs/>
          <w:color w:val="000000"/>
        </w:rPr>
        <w:t> San Diego, CA</w:t>
      </w:r>
      <w:r w:rsidRPr="00B1206E">
        <w:rPr>
          <w:rFonts w:ascii="Arial" w:hAnsi="Arial" w:cs="Arial" w:hint="eastAsia"/>
          <w:bCs/>
          <w:color w:val="000000"/>
        </w:rPr>
        <w:t>, USA</w:t>
      </w:r>
      <w:r w:rsidRPr="00B1206E">
        <w:rPr>
          <w:rFonts w:ascii="Arial" w:hAnsi="Arial" w:cs="Arial"/>
          <w:bCs/>
          <w:color w:val="000000"/>
        </w:rPr>
        <w:t>), Brilliant Violet 421™ anti-human CD90 (328122, Biolegend</w:t>
      </w:r>
      <w:r w:rsidRPr="00B1206E">
        <w:rPr>
          <w:rFonts w:ascii="Arial" w:hAnsi="Arial" w:cs="Arial" w:hint="eastAsia"/>
          <w:bCs/>
          <w:color w:val="000000"/>
        </w:rPr>
        <w:t>,</w:t>
      </w:r>
      <w:r w:rsidRPr="00B1206E">
        <w:rPr>
          <w:rFonts w:ascii="Arial" w:hAnsi="Arial" w:cs="Arial"/>
          <w:bCs/>
          <w:color w:val="000000"/>
        </w:rPr>
        <w:t> San Diego, CA</w:t>
      </w:r>
      <w:r w:rsidRPr="00B1206E">
        <w:rPr>
          <w:rFonts w:ascii="Arial" w:hAnsi="Arial" w:cs="Arial" w:hint="eastAsia"/>
          <w:bCs/>
          <w:color w:val="000000"/>
        </w:rPr>
        <w:t>, USA</w:t>
      </w:r>
      <w:r w:rsidRPr="00B1206E">
        <w:rPr>
          <w:rFonts w:ascii="Arial" w:hAnsi="Arial" w:cs="Arial"/>
          <w:bCs/>
          <w:color w:val="000000"/>
        </w:rPr>
        <w:t>), APC anti-human CD105 (323208, Biolegend</w:t>
      </w:r>
      <w:r w:rsidRPr="00B1206E">
        <w:rPr>
          <w:rFonts w:ascii="Arial" w:hAnsi="Arial" w:cs="Arial" w:hint="eastAsia"/>
          <w:bCs/>
          <w:color w:val="000000"/>
        </w:rPr>
        <w:t>,</w:t>
      </w:r>
      <w:r w:rsidRPr="00B1206E">
        <w:rPr>
          <w:rFonts w:ascii="Arial" w:hAnsi="Arial" w:cs="Arial"/>
          <w:bCs/>
          <w:color w:val="000000"/>
        </w:rPr>
        <w:t> San Diego, CA</w:t>
      </w:r>
      <w:r w:rsidRPr="00B1206E">
        <w:rPr>
          <w:rFonts w:ascii="Arial" w:hAnsi="Arial" w:cs="Arial" w:hint="eastAsia"/>
          <w:bCs/>
          <w:color w:val="000000"/>
        </w:rPr>
        <w:t>, USA</w:t>
      </w:r>
      <w:r w:rsidRPr="00B1206E">
        <w:rPr>
          <w:rFonts w:ascii="Arial" w:hAnsi="Arial" w:cs="Arial"/>
          <w:bCs/>
          <w:color w:val="000000"/>
        </w:rPr>
        <w:t>), APC anti-human CD34 (343510, Biolegend</w:t>
      </w:r>
      <w:r w:rsidRPr="00B1206E">
        <w:rPr>
          <w:rFonts w:ascii="Arial" w:hAnsi="Arial" w:cs="Arial" w:hint="eastAsia"/>
          <w:bCs/>
          <w:color w:val="000000"/>
        </w:rPr>
        <w:t>,</w:t>
      </w:r>
      <w:r w:rsidRPr="00B1206E">
        <w:rPr>
          <w:rFonts w:ascii="Arial" w:hAnsi="Arial" w:cs="Arial"/>
          <w:bCs/>
          <w:color w:val="000000"/>
        </w:rPr>
        <w:t> San Diego, CA</w:t>
      </w:r>
      <w:r w:rsidRPr="00B1206E">
        <w:rPr>
          <w:rFonts w:ascii="Arial" w:hAnsi="Arial" w:cs="Arial" w:hint="eastAsia"/>
          <w:bCs/>
          <w:color w:val="000000"/>
        </w:rPr>
        <w:t>, USA</w:t>
      </w:r>
      <w:r w:rsidRPr="00B1206E">
        <w:rPr>
          <w:rFonts w:ascii="Arial" w:hAnsi="Arial" w:cs="Arial"/>
          <w:bCs/>
          <w:color w:val="000000"/>
        </w:rPr>
        <w:t xml:space="preserve">), Alexa </w:t>
      </w:r>
      <w:r w:rsidRPr="00B1206E">
        <w:rPr>
          <w:rFonts w:ascii="Arial" w:hAnsi="Arial" w:cs="Arial"/>
          <w:bCs/>
          <w:color w:val="000000"/>
        </w:rPr>
        <w:lastRenderedPageBreak/>
        <w:t>Fluor® 488 anti-human CD19 (302219, Biolegend</w:t>
      </w:r>
      <w:r w:rsidRPr="00B1206E">
        <w:rPr>
          <w:rFonts w:ascii="Arial" w:hAnsi="Arial" w:cs="Arial" w:hint="eastAsia"/>
          <w:bCs/>
          <w:color w:val="000000"/>
        </w:rPr>
        <w:t>,</w:t>
      </w:r>
      <w:r w:rsidRPr="00B1206E">
        <w:rPr>
          <w:rFonts w:ascii="Arial" w:hAnsi="Arial" w:cs="Arial"/>
          <w:bCs/>
          <w:color w:val="000000"/>
        </w:rPr>
        <w:t> San Diego, CA</w:t>
      </w:r>
      <w:r w:rsidRPr="00B1206E">
        <w:rPr>
          <w:rFonts w:ascii="Arial" w:hAnsi="Arial" w:cs="Arial" w:hint="eastAsia"/>
          <w:bCs/>
          <w:color w:val="000000"/>
        </w:rPr>
        <w:t>, USA</w:t>
      </w:r>
      <w:r w:rsidRPr="00B1206E">
        <w:rPr>
          <w:rFonts w:ascii="Arial" w:hAnsi="Arial" w:cs="Arial"/>
          <w:bCs/>
          <w:color w:val="000000"/>
        </w:rPr>
        <w:t>), APC/Cyanine7 anti-human CD45 (304014, Biolegend</w:t>
      </w:r>
      <w:r w:rsidRPr="00B1206E">
        <w:rPr>
          <w:rFonts w:ascii="Arial" w:hAnsi="Arial" w:cs="Arial" w:hint="eastAsia"/>
          <w:bCs/>
          <w:color w:val="000000"/>
        </w:rPr>
        <w:t>,</w:t>
      </w:r>
      <w:r w:rsidRPr="00B1206E">
        <w:rPr>
          <w:rFonts w:ascii="Arial" w:hAnsi="Arial" w:cs="Arial"/>
          <w:bCs/>
          <w:color w:val="000000"/>
        </w:rPr>
        <w:t> San Diego, CA</w:t>
      </w:r>
      <w:r w:rsidRPr="00B1206E">
        <w:rPr>
          <w:rFonts w:ascii="Arial" w:hAnsi="Arial" w:cs="Arial" w:hint="eastAsia"/>
          <w:bCs/>
          <w:color w:val="000000"/>
        </w:rPr>
        <w:t>, USA</w:t>
      </w:r>
      <w:r w:rsidRPr="00B1206E">
        <w:rPr>
          <w:rFonts w:ascii="Arial" w:hAnsi="Arial" w:cs="Arial"/>
          <w:bCs/>
          <w:color w:val="000000"/>
        </w:rPr>
        <w:t>), Alexa Fluor® 488 anti-human HLA-DR (307619, Biolegend</w:t>
      </w:r>
      <w:r w:rsidRPr="00B1206E">
        <w:rPr>
          <w:rFonts w:ascii="Arial" w:hAnsi="Arial" w:cs="Arial" w:hint="eastAsia"/>
          <w:bCs/>
          <w:color w:val="000000"/>
        </w:rPr>
        <w:t>,</w:t>
      </w:r>
      <w:r w:rsidRPr="00B1206E">
        <w:rPr>
          <w:rFonts w:ascii="Arial" w:hAnsi="Arial" w:cs="Arial"/>
          <w:bCs/>
          <w:color w:val="000000"/>
        </w:rPr>
        <w:t> San Diego, CA</w:t>
      </w:r>
      <w:r w:rsidRPr="00B1206E">
        <w:rPr>
          <w:rFonts w:ascii="Arial" w:hAnsi="Arial" w:cs="Arial" w:hint="eastAsia"/>
          <w:bCs/>
          <w:color w:val="000000"/>
        </w:rPr>
        <w:t>, USA</w:t>
      </w:r>
      <w:r w:rsidRPr="00B1206E">
        <w:rPr>
          <w:rFonts w:ascii="Arial" w:hAnsi="Arial" w:cs="Arial"/>
          <w:bCs/>
          <w:color w:val="000000"/>
        </w:rPr>
        <w:t>), and APC anti-human CD11b (301310, Biolegend</w:t>
      </w:r>
      <w:r w:rsidRPr="00B1206E">
        <w:rPr>
          <w:rFonts w:ascii="Arial" w:hAnsi="Arial" w:cs="Arial" w:hint="eastAsia"/>
          <w:bCs/>
          <w:color w:val="000000"/>
        </w:rPr>
        <w:t>,</w:t>
      </w:r>
      <w:r w:rsidRPr="00B1206E">
        <w:rPr>
          <w:rFonts w:ascii="Arial" w:hAnsi="Arial" w:cs="Arial"/>
          <w:bCs/>
          <w:color w:val="000000"/>
        </w:rPr>
        <w:t> San Diego, CA</w:t>
      </w:r>
      <w:r w:rsidRPr="00B1206E">
        <w:rPr>
          <w:rFonts w:ascii="Arial" w:hAnsi="Arial" w:cs="Arial" w:hint="eastAsia"/>
          <w:bCs/>
          <w:color w:val="000000"/>
        </w:rPr>
        <w:t>, USA</w:t>
      </w:r>
      <w:r w:rsidRPr="00B1206E">
        <w:rPr>
          <w:rFonts w:ascii="Arial" w:hAnsi="Arial" w:cs="Arial"/>
          <w:bCs/>
          <w:color w:val="000000"/>
        </w:rPr>
        <w:t>) antibodies for 30 min antibodies at 4 °C for 30 min in the dark, following the manufacturer's instructions. Then, ADSCs were washed twice with PBS, suspended in 300 μL PBS with 1% FBS and identified by flow cytometry.</w:t>
      </w:r>
    </w:p>
    <w:p w14:paraId="463A80B1" w14:textId="77777777" w:rsidR="00F2627C" w:rsidRPr="00B1206E" w:rsidRDefault="00B120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120" w:line="480" w:lineRule="auto"/>
        <w:jc w:val="both"/>
        <w:rPr>
          <w:rFonts w:ascii="Arial" w:eastAsiaTheme="minorEastAsia" w:hAnsi="Arial" w:cs="Arial"/>
          <w:b/>
          <w:bCs/>
          <w:i/>
          <w:iCs/>
          <w:color w:val="000000"/>
          <w:sz w:val="28"/>
          <w:szCs w:val="28"/>
          <w:lang w:eastAsia="en-US"/>
        </w:rPr>
      </w:pPr>
      <w:r w:rsidRPr="00B1206E">
        <w:rPr>
          <w:rFonts w:ascii="Arial" w:eastAsiaTheme="minorEastAsia" w:hAnsi="Arial" w:cs="Arial"/>
          <w:b/>
          <w:bCs/>
          <w:i/>
          <w:iCs/>
          <w:color w:val="000000"/>
          <w:sz w:val="28"/>
          <w:szCs w:val="28"/>
          <w:lang w:eastAsia="en-US"/>
        </w:rPr>
        <w:t xml:space="preserve">Exosomes uptake assay </w:t>
      </w:r>
    </w:p>
    <w:p w14:paraId="523CC4AC" w14:textId="77777777" w:rsidR="00F2627C" w:rsidRPr="00B1206E" w:rsidRDefault="00B1206E">
      <w:pPr>
        <w:pStyle w:val="NormalWeb"/>
        <w:snapToGrid w:val="0"/>
        <w:spacing w:before="240" w:beforeAutospacing="0" w:after="120" w:afterAutospacing="0" w:line="480" w:lineRule="exact"/>
        <w:rPr>
          <w:rFonts w:ascii="Arial" w:eastAsiaTheme="majorHAnsi" w:hAnsi="Arial" w:cs="Arial"/>
          <w:bCs/>
          <w:color w:val="000000"/>
          <w:kern w:val="0"/>
          <w:sz w:val="24"/>
          <w:szCs w:val="24"/>
        </w:rPr>
      </w:pPr>
      <w:r w:rsidRPr="00B1206E">
        <w:rPr>
          <w:rFonts w:ascii="Arial" w:eastAsiaTheme="majorHAnsi" w:hAnsi="Arial" w:cs="Arial"/>
          <w:bCs/>
          <w:color w:val="000000"/>
          <w:kern w:val="0"/>
          <w:sz w:val="24"/>
          <w:szCs w:val="24"/>
        </w:rPr>
        <w:t>Exosomes were labeled with the red fluorescent cell linker PKH-26 (MINI26, Sigma-Aldrich,</w:t>
      </w:r>
      <w:r w:rsidRPr="00B1206E">
        <w:rPr>
          <w:rFonts w:ascii="Arial" w:hAnsi="Arial" w:cs="Arial"/>
          <w:color w:val="000000"/>
          <w:sz w:val="24"/>
          <w:szCs w:val="24"/>
        </w:rPr>
        <w:t xml:space="preserve"> St. Louis, MO, USA</w:t>
      </w:r>
      <w:r w:rsidRPr="00B1206E">
        <w:rPr>
          <w:rFonts w:ascii="Arial" w:eastAsiaTheme="majorHAnsi" w:hAnsi="Arial" w:cs="Arial"/>
          <w:bCs/>
          <w:color w:val="000000"/>
          <w:kern w:val="0"/>
          <w:sz w:val="24"/>
          <w:szCs w:val="24"/>
        </w:rPr>
        <w:t>), diluted in 1 mL Diluent C and 4 µL PKH26 dye diluted in 1 mL Diluent C for 4 min after which 2 mL 0.5% bovine serum albumin (BSA) was used to bind excess dye. Exosomes were washed with PBS and centrifuged at 100,000× g for 1 h. Next, exosomes (100 µg/mL) were incubated with BMDMs for 6 h, 12 h, and 24 h. After each time point, samples were washed three times with PBS, fixed in 4% PFA for 15 min, and stained with DAPI. BMDMs were visualized with a confocal microscope (TCS-SP8, Leica, We</w:t>
      </w:r>
      <w:r w:rsidRPr="00B1206E">
        <w:rPr>
          <w:rFonts w:ascii="Arial" w:eastAsiaTheme="majorHAnsi" w:hAnsi="Arial" w:cs="Arial"/>
          <w:bCs/>
          <w:color w:val="000000"/>
          <w:kern w:val="0"/>
          <w:sz w:val="24"/>
          <w:szCs w:val="24"/>
        </w:rPr>
        <w:t xml:space="preserve">tzlar, Germany). </w:t>
      </w:r>
    </w:p>
    <w:p w14:paraId="47F7A4F5" w14:textId="77777777" w:rsidR="00F2627C" w:rsidRPr="00B1206E" w:rsidRDefault="00B120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120" w:line="480" w:lineRule="auto"/>
        <w:jc w:val="both"/>
        <w:rPr>
          <w:rFonts w:ascii="Arial" w:eastAsiaTheme="minorEastAsia" w:hAnsi="Arial" w:cs="Arial"/>
          <w:b/>
          <w:bCs/>
          <w:i/>
          <w:iCs/>
          <w:color w:val="000000"/>
          <w:sz w:val="28"/>
          <w:szCs w:val="28"/>
          <w:lang w:eastAsia="en-US"/>
        </w:rPr>
      </w:pPr>
      <w:r w:rsidRPr="00B1206E">
        <w:rPr>
          <w:rFonts w:ascii="Arial" w:eastAsiaTheme="minorEastAsia" w:hAnsi="Arial" w:cs="Arial"/>
          <w:b/>
          <w:bCs/>
          <w:i/>
          <w:iCs/>
          <w:color w:val="000000"/>
          <w:sz w:val="28"/>
          <w:szCs w:val="28"/>
          <w:lang w:eastAsia="en-US"/>
        </w:rPr>
        <w:t xml:space="preserve">Preparation of hydrogel-exosome complex  </w:t>
      </w:r>
    </w:p>
    <w:p w14:paraId="39309F05" w14:textId="77777777" w:rsidR="00F2627C" w:rsidRPr="00B1206E" w:rsidRDefault="00B1206E">
      <w:pPr>
        <w:spacing w:before="240" w:after="120" w:line="360" w:lineRule="auto"/>
        <w:jc w:val="both"/>
        <w:rPr>
          <w:rFonts w:ascii="Arial" w:hAnsi="Arial" w:cs="Arial"/>
          <w:bCs/>
          <w:color w:val="000000"/>
        </w:rPr>
      </w:pPr>
      <w:r w:rsidRPr="00B1206E">
        <w:rPr>
          <w:rFonts w:ascii="Arial" w:hAnsi="Arial" w:cs="Arial"/>
          <w:bCs/>
          <w:color w:val="000000"/>
        </w:rPr>
        <w:t xml:space="preserve">The hydrogel was mixed with PKH26-labeled exosomes according to the manufacturer’s protocol (EFL-GM-30, Engineering For Life, China) and was then assessed using a confocal microscope (TCS-SP8, Leica, Germany). The BCA assay was conducted to detect the release rate of exosomes from the hydrogel. </w:t>
      </w:r>
    </w:p>
    <w:p w14:paraId="4206E552" w14:textId="77777777" w:rsidR="00F2627C" w:rsidRPr="00B1206E" w:rsidRDefault="00B120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120" w:line="480" w:lineRule="auto"/>
        <w:jc w:val="both"/>
        <w:rPr>
          <w:rFonts w:ascii="Arial" w:eastAsiaTheme="minorEastAsia" w:hAnsi="Arial" w:cs="Arial"/>
          <w:b/>
          <w:bCs/>
          <w:i/>
          <w:iCs/>
          <w:color w:val="000000"/>
          <w:sz w:val="28"/>
          <w:szCs w:val="28"/>
          <w:lang w:eastAsia="en-US"/>
        </w:rPr>
      </w:pPr>
      <w:r w:rsidRPr="00B1206E">
        <w:rPr>
          <w:rFonts w:ascii="Arial" w:eastAsiaTheme="minorEastAsia" w:hAnsi="Arial" w:cs="Arial"/>
          <w:b/>
          <w:bCs/>
          <w:i/>
          <w:iCs/>
          <w:color w:val="000000"/>
          <w:sz w:val="28"/>
          <w:szCs w:val="28"/>
          <w:lang w:eastAsia="en-US"/>
        </w:rPr>
        <w:t>Cell Viability</w:t>
      </w:r>
    </w:p>
    <w:p w14:paraId="47F61BF1" w14:textId="77777777" w:rsidR="00F2627C" w:rsidRPr="00B1206E" w:rsidRDefault="00B1206E">
      <w:pPr>
        <w:pStyle w:val="NormalWeb"/>
        <w:snapToGrid w:val="0"/>
        <w:spacing w:before="240" w:beforeAutospacing="0" w:after="120" w:afterAutospacing="0" w:line="480" w:lineRule="exact"/>
        <w:rPr>
          <w:rFonts w:ascii="Arial" w:eastAsiaTheme="majorHAnsi" w:hAnsi="Arial" w:cs="Arial"/>
          <w:bCs/>
          <w:color w:val="000000"/>
          <w:kern w:val="0"/>
          <w:sz w:val="24"/>
          <w:szCs w:val="24"/>
        </w:rPr>
      </w:pPr>
      <w:r w:rsidRPr="00B1206E">
        <w:rPr>
          <w:rFonts w:ascii="Arial" w:eastAsiaTheme="majorHAnsi" w:hAnsi="Arial" w:cs="Arial"/>
          <w:bCs/>
          <w:color w:val="000000"/>
          <w:kern w:val="0"/>
          <w:sz w:val="24"/>
          <w:szCs w:val="24"/>
        </w:rPr>
        <w:lastRenderedPageBreak/>
        <w:t xml:space="preserve">The </w:t>
      </w:r>
      <w:bookmarkStart w:id="1" w:name="_Hlk155032912"/>
      <w:r w:rsidRPr="00B1206E">
        <w:rPr>
          <w:rFonts w:ascii="Arial" w:eastAsiaTheme="majorHAnsi" w:hAnsi="Arial" w:cs="Arial"/>
          <w:bCs/>
          <w:color w:val="000000"/>
          <w:kern w:val="0"/>
          <w:sz w:val="24"/>
          <w:szCs w:val="24"/>
        </w:rPr>
        <w:t>cell counting kit-8 (CCK8</w:t>
      </w:r>
      <w:bookmarkEnd w:id="1"/>
      <w:r w:rsidRPr="00B1206E">
        <w:rPr>
          <w:rFonts w:ascii="Arial" w:eastAsiaTheme="majorHAnsi" w:hAnsi="Arial" w:cs="Arial"/>
          <w:bCs/>
          <w:color w:val="000000"/>
          <w:kern w:val="0"/>
          <w:sz w:val="24"/>
          <w:szCs w:val="24"/>
        </w:rPr>
        <w:t>) assay (Dojindo, Kumamoto, Japan) was used to examine the effect of Zol on BMDMs. BMDMs were cultured in 96-well cell culture plates (2 × 10</w:t>
      </w:r>
      <w:r w:rsidRPr="00B1206E">
        <w:rPr>
          <w:rFonts w:ascii="Arial" w:eastAsiaTheme="majorHAnsi" w:hAnsi="Arial" w:cs="Arial"/>
          <w:bCs/>
          <w:color w:val="000000"/>
          <w:kern w:val="0"/>
          <w:sz w:val="24"/>
          <w:szCs w:val="24"/>
          <w:vertAlign w:val="superscript"/>
        </w:rPr>
        <w:t>3</w:t>
      </w:r>
      <w:r w:rsidRPr="00B1206E">
        <w:rPr>
          <w:rFonts w:ascii="Arial" w:eastAsiaTheme="majorHAnsi" w:hAnsi="Arial" w:cs="Arial"/>
          <w:bCs/>
          <w:color w:val="000000"/>
          <w:kern w:val="0"/>
          <w:sz w:val="24"/>
          <w:szCs w:val="24"/>
        </w:rPr>
        <w:t xml:space="preserve"> cells/ 200 µL/well) and incubated overnight. Then, the cells were exposed to increasing concentrations of Zol (0, 1, 5, 10, 25, and 50 µM) for 24 h or 48 h. After each time point, 10 µL of sterile CCK-8 solution </w:t>
      </w:r>
      <w:r w:rsidRPr="00B1206E">
        <w:rPr>
          <w:rFonts w:ascii="Arial" w:hAnsi="Arial" w:cs="Arial"/>
          <w:color w:val="000000"/>
          <w:sz w:val="24"/>
          <w:szCs w:val="24"/>
        </w:rPr>
        <w:t xml:space="preserve">was added to each well and incubated at </w:t>
      </w:r>
      <w:r w:rsidRPr="00B1206E">
        <w:rPr>
          <w:rFonts w:ascii="Arial" w:eastAsiaTheme="majorHAnsi" w:hAnsi="Arial" w:cs="Arial"/>
          <w:bCs/>
          <w:color w:val="000000"/>
          <w:kern w:val="0"/>
          <w:sz w:val="24"/>
          <w:szCs w:val="24"/>
        </w:rPr>
        <w:t xml:space="preserve">37 </w:t>
      </w:r>
      <w:r w:rsidRPr="00B1206E">
        <w:rPr>
          <w:rFonts w:ascii="Arial" w:eastAsiaTheme="majorHAnsi" w:hAnsi="Arial" w:cs="Arial" w:hint="eastAsia"/>
          <w:bCs/>
          <w:color w:val="000000"/>
          <w:kern w:val="0"/>
          <w:sz w:val="24"/>
          <w:szCs w:val="24"/>
        </w:rPr>
        <w:t>°</w:t>
      </w:r>
      <w:r w:rsidRPr="00B1206E">
        <w:rPr>
          <w:rFonts w:ascii="Arial" w:eastAsiaTheme="majorHAnsi" w:hAnsi="Arial" w:cs="Arial"/>
          <w:bCs/>
          <w:color w:val="000000"/>
          <w:kern w:val="0"/>
          <w:sz w:val="24"/>
          <w:szCs w:val="24"/>
        </w:rPr>
        <w:t>C for 2 h in the dark. The absorbance was detected at 450 nm absorbance with a microplat</w:t>
      </w:r>
      <w:r w:rsidRPr="00B1206E">
        <w:rPr>
          <w:rFonts w:ascii="Arial" w:eastAsiaTheme="majorHAnsi" w:hAnsi="Arial" w:cs="Arial"/>
          <w:bCs/>
          <w:color w:val="000000"/>
          <w:kern w:val="0"/>
          <w:sz w:val="24"/>
          <w:szCs w:val="24"/>
        </w:rPr>
        <w:t>e reader (ELX808, Bio Tek, Winooski, VT, USA).</w:t>
      </w:r>
    </w:p>
    <w:p w14:paraId="30FCE9F3" w14:textId="77777777" w:rsidR="00F2627C" w:rsidRPr="00B1206E" w:rsidRDefault="00F2627C">
      <w:pPr>
        <w:pStyle w:val="NormalWeb"/>
        <w:snapToGrid w:val="0"/>
        <w:spacing w:before="240" w:beforeAutospacing="0" w:after="120" w:afterAutospacing="0" w:line="480" w:lineRule="exact"/>
        <w:rPr>
          <w:rFonts w:ascii="Arial" w:eastAsiaTheme="majorHAnsi" w:hAnsi="Arial" w:cs="Arial"/>
          <w:bCs/>
          <w:color w:val="000000"/>
          <w:kern w:val="0"/>
          <w:sz w:val="24"/>
          <w:szCs w:val="24"/>
        </w:rPr>
      </w:pPr>
    </w:p>
    <w:p w14:paraId="32BF6B07" w14:textId="77777777" w:rsidR="00F2627C" w:rsidRPr="00B1206E" w:rsidRDefault="00F2627C">
      <w:pPr>
        <w:pStyle w:val="NormalWeb"/>
        <w:snapToGrid w:val="0"/>
        <w:spacing w:before="240" w:beforeAutospacing="0" w:after="120" w:afterAutospacing="0" w:line="480" w:lineRule="exact"/>
        <w:rPr>
          <w:rFonts w:ascii="Arial" w:eastAsiaTheme="majorHAnsi" w:hAnsi="Arial" w:cs="Arial"/>
          <w:bCs/>
          <w:color w:val="000000"/>
          <w:kern w:val="0"/>
          <w:sz w:val="24"/>
          <w:szCs w:val="24"/>
        </w:rPr>
      </w:pPr>
    </w:p>
    <w:p w14:paraId="0A0A4E3D" w14:textId="77777777" w:rsidR="00F2627C" w:rsidRPr="00B1206E" w:rsidRDefault="00F2627C">
      <w:pPr>
        <w:pStyle w:val="NormalWeb"/>
        <w:snapToGrid w:val="0"/>
        <w:spacing w:before="240" w:beforeAutospacing="0" w:after="120" w:afterAutospacing="0" w:line="480" w:lineRule="exact"/>
        <w:rPr>
          <w:rFonts w:ascii="Arial" w:eastAsiaTheme="majorHAnsi" w:hAnsi="Arial" w:cs="Arial"/>
          <w:bCs/>
          <w:color w:val="000000"/>
          <w:kern w:val="0"/>
          <w:sz w:val="24"/>
          <w:szCs w:val="24"/>
        </w:rPr>
      </w:pPr>
    </w:p>
    <w:p w14:paraId="66611CB2" w14:textId="77777777" w:rsidR="00F2627C" w:rsidRPr="00B1206E" w:rsidRDefault="00F2627C">
      <w:pPr>
        <w:pStyle w:val="NormalWeb"/>
        <w:snapToGrid w:val="0"/>
        <w:spacing w:before="240" w:beforeAutospacing="0" w:after="120" w:afterAutospacing="0" w:line="480" w:lineRule="exact"/>
        <w:rPr>
          <w:rFonts w:ascii="Arial" w:eastAsiaTheme="majorHAnsi" w:hAnsi="Arial" w:cs="Arial"/>
          <w:bCs/>
          <w:color w:val="000000"/>
          <w:kern w:val="0"/>
          <w:sz w:val="24"/>
          <w:szCs w:val="24"/>
        </w:rPr>
      </w:pPr>
    </w:p>
    <w:p w14:paraId="75CEC09F" w14:textId="77777777" w:rsidR="00F2627C" w:rsidRPr="00B1206E" w:rsidRDefault="00F2627C">
      <w:pPr>
        <w:pStyle w:val="NormalWeb"/>
        <w:snapToGrid w:val="0"/>
        <w:spacing w:before="240" w:beforeAutospacing="0" w:after="120" w:afterAutospacing="0" w:line="480" w:lineRule="exact"/>
        <w:rPr>
          <w:rFonts w:ascii="Arial" w:eastAsiaTheme="majorHAnsi" w:hAnsi="Arial" w:cs="Arial"/>
          <w:bCs/>
          <w:color w:val="000000"/>
          <w:kern w:val="0"/>
          <w:sz w:val="24"/>
          <w:szCs w:val="24"/>
        </w:rPr>
      </w:pPr>
    </w:p>
    <w:p w14:paraId="35D1B933" w14:textId="77777777" w:rsidR="00F2627C" w:rsidRPr="00B1206E" w:rsidRDefault="00F2627C">
      <w:pPr>
        <w:pStyle w:val="NormalWeb"/>
        <w:snapToGrid w:val="0"/>
        <w:spacing w:before="240" w:beforeAutospacing="0" w:after="120" w:afterAutospacing="0" w:line="480" w:lineRule="exact"/>
        <w:rPr>
          <w:rFonts w:ascii="Arial" w:eastAsiaTheme="majorHAnsi" w:hAnsi="Arial" w:cs="Arial"/>
          <w:bCs/>
          <w:color w:val="000000"/>
          <w:kern w:val="0"/>
          <w:sz w:val="24"/>
          <w:szCs w:val="24"/>
        </w:rPr>
      </w:pPr>
    </w:p>
    <w:p w14:paraId="1B4D20D6" w14:textId="77777777" w:rsidR="00F2627C" w:rsidRPr="00B1206E" w:rsidRDefault="00B1206E">
      <w:pPr>
        <w:pStyle w:val="Heading1"/>
        <w:keepLines w:val="0"/>
        <w:spacing w:before="240" w:after="60" w:line="480" w:lineRule="auto"/>
        <w:rPr>
          <w:rFonts w:ascii="Arial" w:eastAsiaTheme="minorEastAsia" w:hAnsi="Arial" w:cs="Arial"/>
          <w:color w:val="000000"/>
          <w:kern w:val="32"/>
          <w:sz w:val="32"/>
          <w:szCs w:val="32"/>
          <w:lang w:eastAsia="en-US"/>
        </w:rPr>
      </w:pPr>
      <w:r w:rsidRPr="00B1206E">
        <w:rPr>
          <w:rFonts w:ascii="Arial" w:eastAsiaTheme="minorEastAsia" w:hAnsi="Arial" w:cs="Arial"/>
          <w:color w:val="000000"/>
          <w:kern w:val="32"/>
          <w:sz w:val="32"/>
          <w:szCs w:val="32"/>
          <w:lang w:eastAsia="en-US"/>
        </w:rPr>
        <w:lastRenderedPageBreak/>
        <w:t>Supplementary Figures</w:t>
      </w:r>
    </w:p>
    <w:p w14:paraId="61609349" w14:textId="77777777" w:rsidR="00F2627C" w:rsidRPr="00B1206E" w:rsidRDefault="00B1206E">
      <w:pPr>
        <w:spacing w:line="480" w:lineRule="auto"/>
        <w:jc w:val="both"/>
        <w:rPr>
          <w:rFonts w:ascii="Arial" w:eastAsiaTheme="minorEastAsia" w:hAnsi="Arial" w:cs="Arial"/>
          <w:b/>
          <w:bCs/>
          <w:color w:val="000000"/>
        </w:rPr>
      </w:pPr>
      <w:r w:rsidRPr="00B1206E">
        <w:rPr>
          <w:rFonts w:ascii="Arial" w:eastAsiaTheme="minorEastAsia" w:hAnsi="Arial" w:cs="Arial"/>
          <w:b/>
          <w:bCs/>
          <w:color w:val="000000"/>
        </w:rPr>
        <w:drawing>
          <wp:inline distT="0" distB="0" distL="0" distR="0" wp14:anchorId="2F236132" wp14:editId="7B548CD5">
            <wp:extent cx="5270500" cy="3338830"/>
            <wp:effectExtent l="0" t="0" r="6350" b="0"/>
            <wp:docPr id="18766380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638064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9F8D6" w14:textId="77777777" w:rsidR="00F2627C" w:rsidRPr="00B1206E" w:rsidRDefault="00B1206E">
      <w:pPr>
        <w:spacing w:line="480" w:lineRule="auto"/>
        <w:jc w:val="both"/>
        <w:rPr>
          <w:rFonts w:ascii="Arial" w:hAnsi="Arial" w:cs="Arial"/>
          <w:bCs/>
          <w:color w:val="000000"/>
        </w:rPr>
      </w:pPr>
      <w:r w:rsidRPr="00B1206E">
        <w:rPr>
          <w:rFonts w:ascii="Arial" w:eastAsia="Calibri Light" w:hAnsi="Arial" w:cs="Arial"/>
          <w:b/>
          <w:bCs/>
          <w:color w:val="000000"/>
        </w:rPr>
        <w:t xml:space="preserve">Figure </w:t>
      </w:r>
      <w:r w:rsidRPr="00B1206E">
        <w:rPr>
          <w:rFonts w:ascii="Arial" w:eastAsiaTheme="minorEastAsia" w:hAnsi="Arial" w:cs="Arial"/>
          <w:b/>
          <w:bCs/>
          <w:color w:val="000000"/>
        </w:rPr>
        <w:t>S</w:t>
      </w:r>
      <w:r w:rsidRPr="00B1206E">
        <w:rPr>
          <w:rFonts w:ascii="Arial" w:eastAsia="Calibri Light" w:hAnsi="Arial" w:cs="Arial"/>
          <w:b/>
          <w:bCs/>
          <w:color w:val="000000"/>
        </w:rPr>
        <w:t>1. Identification of ADSCs. (</w:t>
      </w:r>
      <w:r w:rsidRPr="00B1206E">
        <w:rPr>
          <w:rFonts w:ascii="Arial" w:eastAsiaTheme="minorEastAsia" w:hAnsi="Arial" w:cs="Arial"/>
          <w:b/>
          <w:bCs/>
          <w:color w:val="000000"/>
        </w:rPr>
        <w:t>A</w:t>
      </w:r>
      <w:r w:rsidRPr="00B1206E">
        <w:rPr>
          <w:rFonts w:ascii="Arial" w:eastAsia="Calibri Light" w:hAnsi="Arial" w:cs="Arial"/>
          <w:b/>
          <w:bCs/>
          <w:color w:val="000000"/>
        </w:rPr>
        <w:t>)</w:t>
      </w:r>
      <w:r w:rsidRPr="00B1206E">
        <w:rPr>
          <w:rFonts w:ascii="Arial" w:eastAsia="Calibri Light" w:hAnsi="Arial" w:cs="Arial"/>
          <w:bCs/>
          <w:color w:val="000000"/>
        </w:rPr>
        <w:t xml:space="preserve"> Morphological features of ADSCs under a microscope. Scale bar</w:t>
      </w:r>
      <w:r w:rsidRPr="00B1206E">
        <w:rPr>
          <w:rFonts w:ascii="Arial" w:eastAsiaTheme="minorEastAsia" w:hAnsi="Arial" w:cs="Arial"/>
          <w:bCs/>
          <w:color w:val="000000"/>
        </w:rPr>
        <w:t xml:space="preserve"> </w:t>
      </w:r>
      <w:r w:rsidRPr="00B1206E">
        <w:rPr>
          <w:rFonts w:ascii="Arial" w:eastAsia="Calibri Light" w:hAnsi="Arial" w:cs="Arial"/>
          <w:bCs/>
          <w:color w:val="000000"/>
        </w:rPr>
        <w:t>=</w:t>
      </w:r>
      <w:r w:rsidRPr="00B1206E">
        <w:rPr>
          <w:rFonts w:ascii="Arial" w:eastAsiaTheme="minorEastAsia" w:hAnsi="Arial" w:cs="Arial"/>
          <w:bCs/>
          <w:color w:val="000000"/>
        </w:rPr>
        <w:t xml:space="preserve"> </w:t>
      </w:r>
      <w:r w:rsidRPr="00B1206E">
        <w:rPr>
          <w:rFonts w:ascii="Arial" w:eastAsia="Calibri Light" w:hAnsi="Arial" w:cs="Arial"/>
          <w:bCs/>
          <w:color w:val="000000"/>
        </w:rPr>
        <w:t xml:space="preserve">500 μm. </w:t>
      </w:r>
      <w:r w:rsidRPr="00B1206E">
        <w:rPr>
          <w:rFonts w:ascii="Arial" w:eastAsia="Calibri Light" w:hAnsi="Arial" w:cs="Arial"/>
          <w:b/>
          <w:bCs/>
          <w:color w:val="000000"/>
        </w:rPr>
        <w:t>(</w:t>
      </w:r>
      <w:r w:rsidRPr="00B1206E">
        <w:rPr>
          <w:rFonts w:ascii="Arial" w:eastAsiaTheme="minorEastAsia" w:hAnsi="Arial" w:cs="Arial"/>
          <w:b/>
          <w:bCs/>
          <w:color w:val="000000"/>
        </w:rPr>
        <w:t>B</w:t>
      </w:r>
      <w:r w:rsidRPr="00B1206E">
        <w:rPr>
          <w:rFonts w:ascii="Arial" w:eastAsia="Calibri Light" w:hAnsi="Arial" w:cs="Arial"/>
          <w:b/>
          <w:bCs/>
          <w:color w:val="000000"/>
        </w:rPr>
        <w:t xml:space="preserve">) </w:t>
      </w:r>
      <w:r w:rsidRPr="00B1206E">
        <w:rPr>
          <w:rFonts w:ascii="Arial" w:hAnsi="Arial" w:cs="Arial"/>
          <w:bCs/>
          <w:color w:val="000000"/>
        </w:rPr>
        <w:t>Alizarin red S stainin</w:t>
      </w:r>
      <w:r w:rsidRPr="00B1206E">
        <w:rPr>
          <w:rFonts w:ascii="Arial" w:eastAsia="Calibri Light" w:hAnsi="Arial" w:cs="Arial"/>
          <w:bCs/>
          <w:color w:val="000000"/>
        </w:rPr>
        <w:t xml:space="preserve">g of ADSCs (3 weeks). Scale bar = 200 μm. </w:t>
      </w:r>
      <w:r w:rsidRPr="00B1206E">
        <w:rPr>
          <w:rFonts w:ascii="Arial" w:eastAsia="Calibri Light" w:hAnsi="Arial" w:cs="Arial"/>
          <w:b/>
          <w:bCs/>
          <w:color w:val="000000"/>
        </w:rPr>
        <w:t>(</w:t>
      </w:r>
      <w:r w:rsidRPr="00B1206E">
        <w:rPr>
          <w:rFonts w:ascii="Arial" w:eastAsiaTheme="minorEastAsia" w:hAnsi="Arial" w:cs="Arial"/>
          <w:b/>
          <w:bCs/>
          <w:color w:val="000000"/>
        </w:rPr>
        <w:t>C</w:t>
      </w:r>
      <w:r w:rsidRPr="00B1206E">
        <w:rPr>
          <w:rFonts w:ascii="Arial" w:eastAsia="Calibri Light" w:hAnsi="Arial" w:cs="Arial"/>
          <w:b/>
          <w:bCs/>
          <w:color w:val="000000"/>
        </w:rPr>
        <w:t>)</w:t>
      </w:r>
      <w:r w:rsidRPr="00B1206E">
        <w:rPr>
          <w:rFonts w:ascii="Arial" w:eastAsia="Calibri Light" w:hAnsi="Arial" w:cs="Arial"/>
          <w:bCs/>
          <w:color w:val="000000"/>
        </w:rPr>
        <w:t xml:space="preserve"> Oil red O staining of ADSCs (2 weeks). Scale bar = 200 μm. </w:t>
      </w:r>
      <w:r w:rsidRPr="00B1206E">
        <w:rPr>
          <w:rFonts w:ascii="Arial" w:eastAsia="Calibri Light" w:hAnsi="Arial" w:cs="Arial"/>
          <w:b/>
          <w:bCs/>
          <w:color w:val="000000"/>
        </w:rPr>
        <w:t>(</w:t>
      </w:r>
      <w:r w:rsidRPr="00B1206E">
        <w:rPr>
          <w:rFonts w:ascii="Arial" w:eastAsiaTheme="minorEastAsia" w:hAnsi="Arial" w:cs="Arial"/>
          <w:b/>
          <w:bCs/>
          <w:color w:val="000000"/>
        </w:rPr>
        <w:t>D</w:t>
      </w:r>
      <w:r w:rsidRPr="00B1206E">
        <w:rPr>
          <w:rFonts w:ascii="Arial" w:eastAsia="Calibri Light" w:hAnsi="Arial" w:cs="Arial"/>
          <w:b/>
          <w:bCs/>
          <w:color w:val="000000"/>
        </w:rPr>
        <w:t>)</w:t>
      </w:r>
      <w:r w:rsidRPr="00B1206E">
        <w:rPr>
          <w:rFonts w:ascii="Arial" w:hAnsi="Arial" w:cs="Arial"/>
          <w:bCs/>
          <w:color w:val="000000"/>
        </w:rPr>
        <w:t xml:space="preserve"> Flow cytometry analysis of ADSCs. </w:t>
      </w:r>
    </w:p>
    <w:p w14:paraId="1855003E" w14:textId="77777777" w:rsidR="00F2627C" w:rsidRPr="00B1206E" w:rsidRDefault="00B1206E">
      <w:pPr>
        <w:spacing w:line="480" w:lineRule="auto"/>
        <w:jc w:val="both"/>
        <w:rPr>
          <w:rFonts w:ascii="Arial" w:hAnsi="Arial" w:cs="Arial"/>
          <w:color w:val="000000"/>
        </w:rPr>
      </w:pPr>
      <w:r w:rsidRPr="00B1206E">
        <w:rPr>
          <w:rFonts w:ascii="Arial" w:hAnsi="Arial" w:cs="Arial"/>
          <w:color w:val="000000"/>
        </w:rPr>
        <w:lastRenderedPageBreak/>
        <w:drawing>
          <wp:inline distT="0" distB="0" distL="0" distR="0" wp14:anchorId="75ABC721" wp14:editId="5A0331A6">
            <wp:extent cx="5270500" cy="5662930"/>
            <wp:effectExtent l="0" t="0" r="6350" b="0"/>
            <wp:docPr id="7261645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64559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6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CD255" w14:textId="77777777" w:rsidR="00F2627C" w:rsidRPr="00B1206E" w:rsidRDefault="00B1206E">
      <w:pPr>
        <w:pStyle w:val="NormalWeb"/>
        <w:spacing w:before="240" w:beforeAutospacing="0" w:after="120" w:afterAutospacing="0" w:line="480" w:lineRule="auto"/>
        <w:rPr>
          <w:rFonts w:ascii="Arial" w:eastAsiaTheme="minorEastAsia" w:hAnsi="Arial" w:cs="Arial"/>
          <w:bCs/>
          <w:color w:val="000000"/>
          <w:sz w:val="24"/>
          <w:szCs w:val="24"/>
        </w:rPr>
      </w:pPr>
      <w:r w:rsidRPr="00B1206E">
        <w:rPr>
          <w:rFonts w:ascii="Arial" w:eastAsia="Calibri Light" w:hAnsi="Arial" w:cs="Arial"/>
          <w:b/>
          <w:bCs/>
          <w:color w:val="000000"/>
          <w:sz w:val="24"/>
          <w:szCs w:val="24"/>
        </w:rPr>
        <w:t xml:space="preserve">Figure </w:t>
      </w:r>
      <w:r w:rsidRPr="00B1206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S2</w:t>
      </w:r>
      <w:r w:rsidRPr="00B1206E">
        <w:rPr>
          <w:rFonts w:ascii="Arial" w:eastAsia="Calibri Light" w:hAnsi="Arial" w:cs="Arial"/>
          <w:b/>
          <w:bCs/>
          <w:color w:val="000000"/>
          <w:sz w:val="24"/>
          <w:szCs w:val="24"/>
        </w:rPr>
        <w:t xml:space="preserve">. </w:t>
      </w:r>
      <w:bookmarkStart w:id="2" w:name="_Hlk167137631"/>
      <w:r w:rsidRPr="00B1206E">
        <w:rPr>
          <w:rFonts w:ascii="Arial" w:eastAsia="Calibri Light" w:hAnsi="Arial" w:cs="Arial"/>
          <w:bCs/>
          <w:color w:val="000000"/>
          <w:sz w:val="24"/>
          <w:szCs w:val="24"/>
        </w:rPr>
        <w:t xml:space="preserve">PPI network complex </w:t>
      </w:r>
      <w:r w:rsidRPr="00B1206E">
        <w:rPr>
          <w:rFonts w:ascii="Arial" w:eastAsiaTheme="minorEastAsia" w:hAnsi="Arial" w:cs="Arial"/>
          <w:bCs/>
          <w:color w:val="000000"/>
          <w:sz w:val="24"/>
          <w:szCs w:val="24"/>
        </w:rPr>
        <w:t>of t</w:t>
      </w:r>
      <w:r w:rsidRPr="00B1206E">
        <w:rPr>
          <w:rFonts w:ascii="Arial" w:eastAsia="Calibri Light" w:hAnsi="Arial" w:cs="Arial"/>
          <w:bCs/>
          <w:color w:val="000000"/>
          <w:sz w:val="24"/>
          <w:szCs w:val="24"/>
        </w:rPr>
        <w:t>he interaction of specific DEGs in the NOD/ NF</w:t>
      </w:r>
      <w:r w:rsidRPr="00B1206E">
        <w:rPr>
          <w:rFonts w:ascii="Arial" w:eastAsiaTheme="minorEastAsia" w:hAnsi="Arial" w:cs="Arial"/>
          <w:bCs/>
          <w:color w:val="000000"/>
          <w:sz w:val="24"/>
          <w:szCs w:val="24"/>
        </w:rPr>
        <w:t>-</w:t>
      </w:r>
      <w:r w:rsidRPr="00B1206E">
        <w:rPr>
          <w:rFonts w:ascii="Arial" w:eastAsia="Calibri Light" w:hAnsi="Arial" w:cs="Arial"/>
          <w:bCs/>
          <w:color w:val="000000"/>
          <w:sz w:val="24"/>
          <w:szCs w:val="24"/>
        </w:rPr>
        <w:t xml:space="preserve">κB signaling pathway. </w:t>
      </w:r>
      <w:bookmarkEnd w:id="2"/>
    </w:p>
    <w:p w14:paraId="52017673" w14:textId="77777777" w:rsidR="00F2627C" w:rsidRPr="00B1206E" w:rsidRDefault="00B1206E">
      <w:pPr>
        <w:pStyle w:val="NormalWeb"/>
        <w:spacing w:before="240" w:beforeAutospacing="0" w:after="120" w:afterAutospacing="0" w:line="480" w:lineRule="auto"/>
        <w:jc w:val="left"/>
        <w:rPr>
          <w:rFonts w:ascii="Arial" w:eastAsiaTheme="minorEastAsia" w:hAnsi="Arial" w:cs="Arial"/>
          <w:bCs/>
          <w:color w:val="000000"/>
          <w:sz w:val="24"/>
          <w:szCs w:val="24"/>
        </w:rPr>
      </w:pPr>
      <w:r w:rsidRPr="00B1206E">
        <w:rPr>
          <w:rFonts w:ascii="Arial" w:eastAsiaTheme="minorEastAsia" w:hAnsi="Arial" w:cs="Arial"/>
          <w:bCs/>
          <w:color w:val="000000"/>
          <w:sz w:val="24"/>
          <w:szCs w:val="24"/>
        </w:rPr>
        <w:lastRenderedPageBreak/>
        <w:drawing>
          <wp:inline distT="0" distB="0" distL="0" distR="0" wp14:anchorId="4794A677" wp14:editId="2CC2F20E">
            <wp:extent cx="5270500" cy="7135495"/>
            <wp:effectExtent l="0" t="0" r="6350" b="8255"/>
            <wp:docPr id="14998027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02727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06EA" w14:textId="77777777" w:rsidR="00F2627C" w:rsidRPr="00B1206E" w:rsidRDefault="00B1206E">
      <w:pPr>
        <w:pStyle w:val="NormalWeb"/>
        <w:spacing w:before="240" w:beforeAutospacing="0" w:after="120" w:afterAutospacing="0" w:line="480" w:lineRule="auto"/>
        <w:rPr>
          <w:rFonts w:ascii="Arial" w:eastAsiaTheme="minorEastAsia" w:hAnsi="Arial" w:cs="Arial"/>
          <w:bCs/>
          <w:color w:val="000000"/>
        </w:rPr>
      </w:pPr>
      <w:r w:rsidRPr="00B1206E">
        <w:rPr>
          <w:rFonts w:ascii="Arial" w:hAnsi="Arial" w:cs="Arial"/>
          <w:b/>
          <w:bCs/>
          <w:color w:val="000000"/>
          <w:sz w:val="24"/>
          <w:szCs w:val="24"/>
        </w:rPr>
        <w:t xml:space="preserve">Figure S3. Raleukin inhibits </w:t>
      </w:r>
      <w:r w:rsidRPr="00B1206E">
        <w:rPr>
          <w:rFonts w:ascii="Arial" w:hAnsi="Arial" w:cs="Arial"/>
          <w:b/>
          <w:bCs/>
          <w:color w:val="000000"/>
          <w:sz w:val="24"/>
          <w:szCs w:val="24"/>
        </w:rPr>
        <w:t xml:space="preserve">pyroptosis by NF-κB signaling pathway </w:t>
      </w:r>
      <w:r w:rsidRPr="00B1206E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in vitro</w:t>
      </w:r>
      <w:r w:rsidRPr="00B1206E">
        <w:rPr>
          <w:rFonts w:ascii="Arial" w:hAnsi="Arial" w:cs="Arial"/>
          <w:b/>
          <w:bCs/>
          <w:color w:val="000000"/>
          <w:sz w:val="24"/>
          <w:szCs w:val="24"/>
        </w:rPr>
        <w:t>. (A)</w:t>
      </w:r>
      <w:r w:rsidRPr="00B1206E">
        <w:rPr>
          <w:rFonts w:ascii="Arial" w:hAnsi="Arial" w:cs="Arial"/>
          <w:bCs/>
          <w:color w:val="000000"/>
          <w:sz w:val="24"/>
          <w:szCs w:val="24"/>
        </w:rPr>
        <w:t xml:space="preserve"> IF staining for NLRP3 in BMDMs. Scale bar = 25 μm. </w:t>
      </w:r>
      <w:r w:rsidRPr="00B1206E">
        <w:rPr>
          <w:rFonts w:ascii="Arial" w:hAnsi="Arial" w:cs="Arial"/>
          <w:b/>
          <w:bCs/>
          <w:color w:val="000000"/>
          <w:sz w:val="24"/>
          <w:szCs w:val="24"/>
        </w:rPr>
        <w:t>(B)</w:t>
      </w:r>
      <w:r w:rsidRPr="00B1206E">
        <w:rPr>
          <w:rFonts w:ascii="Arial" w:hAnsi="Arial" w:cs="Arial"/>
          <w:bCs/>
          <w:color w:val="000000"/>
          <w:sz w:val="24"/>
          <w:szCs w:val="24"/>
        </w:rPr>
        <w:t xml:space="preserve"> IF staining for GSDMD in BMDMs. Scale bar = 25 μm.</w:t>
      </w:r>
      <w:r w:rsidRPr="00B1206E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B1206E">
        <w:rPr>
          <w:rFonts w:ascii="Arial" w:hAnsi="Arial" w:cs="Arial"/>
          <w:b/>
          <w:color w:val="000000"/>
          <w:sz w:val="24"/>
          <w:szCs w:val="24"/>
        </w:rPr>
        <w:t>(C-D)</w:t>
      </w:r>
      <w:r w:rsidRPr="00B1206E">
        <w:rPr>
          <w:rFonts w:ascii="Arial" w:hAnsi="Arial" w:cs="Arial"/>
          <w:bCs/>
          <w:color w:val="000000"/>
          <w:sz w:val="24"/>
          <w:szCs w:val="24"/>
        </w:rPr>
        <w:t xml:space="preserve"> P65, p-P65, IκBα, and p-IκBα </w:t>
      </w:r>
      <w:r w:rsidRPr="00B1206E">
        <w:rPr>
          <w:rFonts w:ascii="Arial" w:hAnsi="Arial" w:cs="Arial"/>
          <w:bCs/>
          <w:color w:val="000000"/>
          <w:sz w:val="24"/>
          <w:szCs w:val="24"/>
        </w:rPr>
        <w:lastRenderedPageBreak/>
        <w:t>levels by western blot in BMDMs.</w:t>
      </w:r>
      <w:r w:rsidRPr="00B1206E">
        <w:rPr>
          <w:rFonts w:ascii="Arial" w:hAnsi="Arial" w:cs="Arial"/>
          <w:b/>
          <w:bCs/>
          <w:color w:val="000000"/>
          <w:sz w:val="24"/>
          <w:szCs w:val="24"/>
        </w:rPr>
        <w:t xml:space="preserve"> (E) </w:t>
      </w:r>
      <w:r w:rsidRPr="00B1206E">
        <w:rPr>
          <w:rFonts w:ascii="Arial" w:hAnsi="Arial" w:cs="Arial"/>
          <w:bCs/>
          <w:color w:val="000000"/>
          <w:sz w:val="24"/>
          <w:szCs w:val="24"/>
        </w:rPr>
        <w:t xml:space="preserve">IF staining for P65 in BMDMs. Scale bar = 25 μm. </w:t>
      </w:r>
      <w:r w:rsidRPr="00B1206E">
        <w:rPr>
          <w:rFonts w:ascii="Arial" w:hAnsi="Arial" w:cs="Arial"/>
          <w:b/>
          <w:bCs/>
          <w:color w:val="000000"/>
          <w:sz w:val="24"/>
          <w:szCs w:val="24"/>
        </w:rPr>
        <w:t>(F)</w:t>
      </w:r>
      <w:r w:rsidRPr="00B1206E">
        <w:rPr>
          <w:rFonts w:ascii="Arial" w:eastAsiaTheme="minorEastAsia" w:hAnsi="Arial" w:cs="Arial"/>
          <w:bCs/>
          <w:color w:val="000000"/>
          <w:sz w:val="24"/>
          <w:szCs w:val="24"/>
        </w:rPr>
        <w:t xml:space="preserve"> IL-1β, TNF-α, and IL-6</w:t>
      </w:r>
      <w:r w:rsidRPr="00B1206E">
        <w:rPr>
          <w:rFonts w:ascii="Arial" w:hAnsi="Arial" w:cs="Arial"/>
          <w:bCs/>
          <w:color w:val="000000"/>
          <w:sz w:val="24"/>
          <w:szCs w:val="24"/>
        </w:rPr>
        <w:t xml:space="preserve"> levels by ELISA.</w:t>
      </w:r>
      <w:r w:rsidRPr="00B1206E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B1206E">
        <w:rPr>
          <w:rFonts w:ascii="Arial" w:eastAsia="Calibri Light" w:hAnsi="Arial" w:cs="Arial"/>
          <w:bCs/>
          <w:color w:val="000000"/>
          <w:sz w:val="24"/>
          <w:szCs w:val="24"/>
        </w:rPr>
        <w:t>Data in this figure, mean ± SD, *p&lt;0.05, **p&lt;0.01, ***p&lt;0.001.</w:t>
      </w:r>
    </w:p>
    <w:sectPr w:rsidR="00F2627C" w:rsidRPr="00B1206E">
      <w:footerReference w:type="even" r:id="rId10"/>
      <w:footerReference w:type="default" r:id="rId11"/>
      <w:footerReference w:type="first" r:id="rId12"/>
      <w:pgSz w:w="11900" w:h="16840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0E8EF5" w14:textId="77777777" w:rsidR="009C264B" w:rsidRDefault="009C264B">
      <w:r>
        <w:separator/>
      </w:r>
    </w:p>
  </w:endnote>
  <w:endnote w:type="continuationSeparator" w:id="0">
    <w:p w14:paraId="64371C24" w14:textId="77777777" w:rsidR="009C264B" w:rsidRDefault="009C2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EB0B3" w14:textId="77777777" w:rsidR="00F2627C" w:rsidRDefault="00B1206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DCCE039" wp14:editId="47C2BC14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313341291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5A10EE" w14:textId="77777777" w:rsidR="00F2627C" w:rsidRDefault="00B1206E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CCE0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" filled="f" stroked="f">
              <v:textbox style="mso-fit-shape-to-text:t" inset="20pt,0,0,15pt">
                <w:txbxContent>
                  <w:p w14:paraId="4C5A10EE" w14:textId="77777777" w:rsidR="00F2627C" w:rsidRDefault="00B1206E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E21F9" w14:textId="77777777" w:rsidR="00F2627C" w:rsidRDefault="00B1206E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4B62F26" wp14:editId="2C3B7D27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641228845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AA5A7A" w14:textId="77777777" w:rsidR="00F2627C" w:rsidRDefault="00B1206E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B62F2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4.25pt;height:25.5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" filled="f" stroked="f">
              <v:textbox style="mso-fit-shape-to-text:t" inset="20pt,0,0,15pt">
                <w:txbxContent>
                  <w:p w14:paraId="6AAA5A7A" w14:textId="77777777" w:rsidR="00F2627C" w:rsidRDefault="00B1206E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372657957"/>
        <w:docPartObj>
          <w:docPartGallery w:val="AutoText"/>
        </w:docPartObj>
      </w:sdtPr>
      <w:sdtEndPr/>
      <w:sdtContent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sdtContent>
    </w:sdt>
  </w:p>
  <w:p w14:paraId="14F7D48B" w14:textId="77777777" w:rsidR="00F2627C" w:rsidRDefault="00F262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45608E" w14:textId="77777777" w:rsidR="00F2627C" w:rsidRDefault="00B1206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13D0B6D" wp14:editId="1DEC084D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39654360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041F76" w14:textId="77777777" w:rsidR="00F2627C" w:rsidRDefault="00B1206E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3D0B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" filled="f" stroked="f">
              <v:textbox style="mso-fit-shape-to-text:t" inset="20pt,0,0,15pt">
                <w:txbxContent>
                  <w:p w14:paraId="33041F76" w14:textId="77777777" w:rsidR="00F2627C" w:rsidRDefault="00B1206E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A8DF05" w14:textId="77777777" w:rsidR="009C264B" w:rsidRDefault="009C264B">
      <w:r>
        <w:separator/>
      </w:r>
    </w:p>
  </w:footnote>
  <w:footnote w:type="continuationSeparator" w:id="0">
    <w:p w14:paraId="6D233DE6" w14:textId="77777777" w:rsidR="009C264B" w:rsidRDefault="009C26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oNotTrackFormatting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TAyMTUxtDQxMzQyNjdQ0lEKTi0uzszPAykwqgUA7zm+ZCwAAAA="/>
  </w:docVars>
  <w:rsids>
    <w:rsidRoot w:val="00236DB2"/>
    <w:rsid w:val="00000FC0"/>
    <w:rsid w:val="00002FED"/>
    <w:rsid w:val="000049D5"/>
    <w:rsid w:val="00017587"/>
    <w:rsid w:val="00034A1E"/>
    <w:rsid w:val="00066677"/>
    <w:rsid w:val="00076D3D"/>
    <w:rsid w:val="000E54DF"/>
    <w:rsid w:val="000E7923"/>
    <w:rsid w:val="000F17D1"/>
    <w:rsid w:val="000F32F7"/>
    <w:rsid w:val="001033C5"/>
    <w:rsid w:val="0010689D"/>
    <w:rsid w:val="00130E80"/>
    <w:rsid w:val="001841E8"/>
    <w:rsid w:val="00186EB6"/>
    <w:rsid w:val="001A5446"/>
    <w:rsid w:val="001B6B41"/>
    <w:rsid w:val="001D0118"/>
    <w:rsid w:val="00205D79"/>
    <w:rsid w:val="00236DB2"/>
    <w:rsid w:val="002440C8"/>
    <w:rsid w:val="002601FF"/>
    <w:rsid w:val="0026053F"/>
    <w:rsid w:val="002822F5"/>
    <w:rsid w:val="00291FF1"/>
    <w:rsid w:val="002924BF"/>
    <w:rsid w:val="002B1C7F"/>
    <w:rsid w:val="002B6E30"/>
    <w:rsid w:val="002C3400"/>
    <w:rsid w:val="002D2194"/>
    <w:rsid w:val="002D586B"/>
    <w:rsid w:val="002D797D"/>
    <w:rsid w:val="002E61CC"/>
    <w:rsid w:val="002F032C"/>
    <w:rsid w:val="002F2EED"/>
    <w:rsid w:val="002F775E"/>
    <w:rsid w:val="0030440F"/>
    <w:rsid w:val="003174E9"/>
    <w:rsid w:val="00320FD4"/>
    <w:rsid w:val="003428C8"/>
    <w:rsid w:val="00356A9F"/>
    <w:rsid w:val="003653CB"/>
    <w:rsid w:val="00373B5C"/>
    <w:rsid w:val="00396D3A"/>
    <w:rsid w:val="003A6B62"/>
    <w:rsid w:val="003B0AE4"/>
    <w:rsid w:val="003B40B4"/>
    <w:rsid w:val="003C1C73"/>
    <w:rsid w:val="003E0D99"/>
    <w:rsid w:val="003E2D8C"/>
    <w:rsid w:val="00411E80"/>
    <w:rsid w:val="004435A8"/>
    <w:rsid w:val="004A61F0"/>
    <w:rsid w:val="004A7A33"/>
    <w:rsid w:val="004B4AEE"/>
    <w:rsid w:val="00511055"/>
    <w:rsid w:val="00511FAA"/>
    <w:rsid w:val="005232C9"/>
    <w:rsid w:val="005233C9"/>
    <w:rsid w:val="005249D6"/>
    <w:rsid w:val="00545096"/>
    <w:rsid w:val="00551E7A"/>
    <w:rsid w:val="00573E47"/>
    <w:rsid w:val="005B36E2"/>
    <w:rsid w:val="005B439E"/>
    <w:rsid w:val="005D4C57"/>
    <w:rsid w:val="00614EF5"/>
    <w:rsid w:val="00635960"/>
    <w:rsid w:val="0063649D"/>
    <w:rsid w:val="00637182"/>
    <w:rsid w:val="00654AF6"/>
    <w:rsid w:val="00680D5E"/>
    <w:rsid w:val="00697A31"/>
    <w:rsid w:val="006A27A9"/>
    <w:rsid w:val="006B2068"/>
    <w:rsid w:val="006B3B58"/>
    <w:rsid w:val="006B44DF"/>
    <w:rsid w:val="006C053E"/>
    <w:rsid w:val="006D1CF1"/>
    <w:rsid w:val="006E5B0B"/>
    <w:rsid w:val="006F1E2F"/>
    <w:rsid w:val="007109DB"/>
    <w:rsid w:val="00720722"/>
    <w:rsid w:val="00724B37"/>
    <w:rsid w:val="00760F68"/>
    <w:rsid w:val="007618C7"/>
    <w:rsid w:val="00776039"/>
    <w:rsid w:val="00786568"/>
    <w:rsid w:val="00786E26"/>
    <w:rsid w:val="00796E44"/>
    <w:rsid w:val="007B2744"/>
    <w:rsid w:val="007D0775"/>
    <w:rsid w:val="007E35E8"/>
    <w:rsid w:val="007E3D13"/>
    <w:rsid w:val="0080497F"/>
    <w:rsid w:val="00826C75"/>
    <w:rsid w:val="0085142D"/>
    <w:rsid w:val="00862061"/>
    <w:rsid w:val="00867737"/>
    <w:rsid w:val="008749E3"/>
    <w:rsid w:val="008929CD"/>
    <w:rsid w:val="008C546E"/>
    <w:rsid w:val="008C5C4F"/>
    <w:rsid w:val="008D326A"/>
    <w:rsid w:val="008E5DFB"/>
    <w:rsid w:val="00910409"/>
    <w:rsid w:val="009111E8"/>
    <w:rsid w:val="00952832"/>
    <w:rsid w:val="00952C7D"/>
    <w:rsid w:val="00964A94"/>
    <w:rsid w:val="00974A05"/>
    <w:rsid w:val="009B1DE2"/>
    <w:rsid w:val="009C264B"/>
    <w:rsid w:val="009F196B"/>
    <w:rsid w:val="00A040EB"/>
    <w:rsid w:val="00A05B4C"/>
    <w:rsid w:val="00A12C08"/>
    <w:rsid w:val="00A56273"/>
    <w:rsid w:val="00A75B8F"/>
    <w:rsid w:val="00A93055"/>
    <w:rsid w:val="00A9421A"/>
    <w:rsid w:val="00AC6EE0"/>
    <w:rsid w:val="00AD0359"/>
    <w:rsid w:val="00B03CFD"/>
    <w:rsid w:val="00B1206E"/>
    <w:rsid w:val="00B16300"/>
    <w:rsid w:val="00B27A4A"/>
    <w:rsid w:val="00B345C8"/>
    <w:rsid w:val="00B36FA0"/>
    <w:rsid w:val="00B37836"/>
    <w:rsid w:val="00B441E3"/>
    <w:rsid w:val="00B45BF7"/>
    <w:rsid w:val="00B514BB"/>
    <w:rsid w:val="00B60BF0"/>
    <w:rsid w:val="00B6576F"/>
    <w:rsid w:val="00B77183"/>
    <w:rsid w:val="00B86735"/>
    <w:rsid w:val="00B93756"/>
    <w:rsid w:val="00BA35DC"/>
    <w:rsid w:val="00BA6C01"/>
    <w:rsid w:val="00BF2C9E"/>
    <w:rsid w:val="00C01E0D"/>
    <w:rsid w:val="00C030A8"/>
    <w:rsid w:val="00C110ED"/>
    <w:rsid w:val="00C245DA"/>
    <w:rsid w:val="00C514B8"/>
    <w:rsid w:val="00C53559"/>
    <w:rsid w:val="00C57731"/>
    <w:rsid w:val="00C9517C"/>
    <w:rsid w:val="00CA019D"/>
    <w:rsid w:val="00CB0DF0"/>
    <w:rsid w:val="00CC2F51"/>
    <w:rsid w:val="00CC6FA6"/>
    <w:rsid w:val="00CD453D"/>
    <w:rsid w:val="00CE23FD"/>
    <w:rsid w:val="00D027A7"/>
    <w:rsid w:val="00D03886"/>
    <w:rsid w:val="00D138D6"/>
    <w:rsid w:val="00D2230F"/>
    <w:rsid w:val="00D2326B"/>
    <w:rsid w:val="00D279E6"/>
    <w:rsid w:val="00D44974"/>
    <w:rsid w:val="00D6562B"/>
    <w:rsid w:val="00D85992"/>
    <w:rsid w:val="00DA4D27"/>
    <w:rsid w:val="00DB5804"/>
    <w:rsid w:val="00DD7182"/>
    <w:rsid w:val="00E019DD"/>
    <w:rsid w:val="00E16619"/>
    <w:rsid w:val="00E16D76"/>
    <w:rsid w:val="00E336A2"/>
    <w:rsid w:val="00E34C5E"/>
    <w:rsid w:val="00E4222B"/>
    <w:rsid w:val="00E528AA"/>
    <w:rsid w:val="00E8092D"/>
    <w:rsid w:val="00EA1A81"/>
    <w:rsid w:val="00EA30DB"/>
    <w:rsid w:val="00EA6E3A"/>
    <w:rsid w:val="00ED6F00"/>
    <w:rsid w:val="00EE61BA"/>
    <w:rsid w:val="00EF5F21"/>
    <w:rsid w:val="00F05B27"/>
    <w:rsid w:val="00F07187"/>
    <w:rsid w:val="00F1750A"/>
    <w:rsid w:val="00F2627C"/>
    <w:rsid w:val="00F50FAC"/>
    <w:rsid w:val="00F63A7C"/>
    <w:rsid w:val="00F7443D"/>
    <w:rsid w:val="00F77B2E"/>
    <w:rsid w:val="00F9065E"/>
    <w:rsid w:val="00FA0E97"/>
    <w:rsid w:val="00FA34ED"/>
    <w:rsid w:val="00FA3BED"/>
    <w:rsid w:val="00FA59F3"/>
    <w:rsid w:val="00FB1B0E"/>
    <w:rsid w:val="00FF2B9B"/>
    <w:rsid w:val="39CE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368CCA5-D984-489D-8C5C-A37D6EE4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imSun" w:eastAsia="SimSun" w:hAnsi="SimSun" w:cs="SimSu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3">
    <w:name w:val="heading 3"/>
    <w:basedOn w:val="Normal"/>
    <w:link w:val="Heading3Char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link w:val="NormalWebChar"/>
    <w:uiPriority w:val="99"/>
    <w:unhideWhenUsed/>
    <w:qFormat/>
    <w:pPr>
      <w:widowControl w:val="0"/>
      <w:spacing w:before="100" w:beforeAutospacing="1" w:after="100" w:afterAutospacing="1"/>
      <w:jc w:val="both"/>
    </w:pPr>
    <w:rPr>
      <w:rFonts w:ascii="DengXian" w:eastAsia="DengXian" w:hAnsi="DengXian" w:cs="Times New Roman"/>
      <w:kern w:val="2"/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table" w:styleId="TableGrid">
    <w:name w:val="Table Grid"/>
    <w:basedOn w:val="TableNormal"/>
    <w:uiPriority w:val="99"/>
    <w:qFormat/>
    <w:pPr>
      <w:spacing w:after="160" w:line="48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Pr>
      <w:rFonts w:ascii="SimSun" w:eastAsia="SimSun" w:hAnsi="SimSun" w:cs="SimSun"/>
      <w:kern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rFonts w:ascii="SimSun" w:eastAsia="SimSun" w:hAnsi="SimSun" w:cs="SimSun"/>
      <w:kern w:val="0"/>
      <w:sz w:val="18"/>
      <w:szCs w:val="18"/>
    </w:rPr>
  </w:style>
  <w:style w:type="paragraph" w:customStyle="1" w:styleId="1">
    <w:name w:val="修订1"/>
    <w:hidden/>
    <w:uiPriority w:val="99"/>
    <w:semiHidden/>
    <w:rPr>
      <w:rFonts w:ascii="SimSun" w:eastAsia="SimSun" w:hAnsi="SimSun" w:cs="SimSun"/>
      <w:sz w:val="24"/>
      <w:szCs w:val="24"/>
    </w:rPr>
  </w:style>
  <w:style w:type="paragraph" w:styleId="ListParagraph">
    <w:name w:val="List Paragraph"/>
    <w:basedOn w:val="Normal"/>
    <w:uiPriority w:val="34"/>
    <w:qFormat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SimSun" w:eastAsia="SimSun" w:hAnsi="SimSun" w:cs="SimSun"/>
      <w:b/>
      <w:bCs/>
      <w:kern w:val="0"/>
      <w:sz w:val="27"/>
      <w:szCs w:val="27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SimSun" w:hAnsi="Tahoma" w:cs="Tahoma"/>
      <w:kern w:val="0"/>
      <w:sz w:val="16"/>
      <w:szCs w:val="16"/>
    </w:rPr>
  </w:style>
  <w:style w:type="character" w:customStyle="1" w:styleId="NormalWebChar">
    <w:name w:val="Normal (Web) Char"/>
    <w:basedOn w:val="DefaultParagraphFont"/>
    <w:link w:val="NormalWeb"/>
    <w:uiPriority w:val="99"/>
    <w:qFormat/>
    <w:rPr>
      <w:rFonts w:ascii="DengXian" w:eastAsia="DengXian" w:hAnsi="DengXian" w:cs="Times New Roman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SimSun" w:eastAsia="SimSun" w:hAnsi="SimSun" w:cs="SimSun"/>
      <w:b/>
      <w:bCs/>
      <w:kern w:val="44"/>
      <w:sz w:val="44"/>
      <w:szCs w:val="44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SimSun" w:eastAsia="SimSun" w:hAnsi="SimSun" w:cs="SimSun"/>
      <w:kern w:val="0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SimSun" w:eastAsia="SimSun" w:hAnsi="SimSun" w:cs="SimSun"/>
      <w:b/>
      <w:bCs/>
      <w:kern w:val="0"/>
      <w:sz w:val="20"/>
      <w:szCs w:val="20"/>
    </w:rPr>
  </w:style>
  <w:style w:type="paragraph" w:styleId="Revision">
    <w:name w:val="Revision"/>
    <w:hidden/>
    <w:uiPriority w:val="99"/>
    <w:unhideWhenUsed/>
    <w:rsid w:val="00B1206E"/>
    <w:rPr>
      <w:rFonts w:ascii="SimSun" w:eastAsia="SimSun" w:hAnsi="SimSun" w:cs="SimSu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790</Words>
  <Characters>4509</Characters>
  <Application>Microsoft Office Word</Application>
  <DocSecurity>0</DocSecurity>
  <Lines>37</Lines>
  <Paragraphs>10</Paragraphs>
  <ScaleCrop>false</ScaleCrop>
  <Company/>
  <LinksUpToDate>false</LinksUpToDate>
  <CharactersWithSpaces>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13598041071@163.com</dc:creator>
  <cp:lastModifiedBy>Capes, Imogen</cp:lastModifiedBy>
  <cp:revision>2</cp:revision>
  <dcterms:created xsi:type="dcterms:W3CDTF">2024-11-19T01:03:00Z</dcterms:created>
  <dcterms:modified xsi:type="dcterms:W3CDTF">2024-11-19T01:03:00Z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b1c138bd4ee030807a5f1e7bd9bcf5f7aafd410569f2fac289dfa2e4b40888e3</vt:lpwstr>
  </property>
  <property fmtid="{D5CDD505-2E9C-101B-9397-08002B2CF9AE}" pid="3" name="ClassificationContentMarkingFooterShapeIds">
    <vt:lpwstr>25d13d8,4e47ff6b,2638602d</vt:lpwstr>
  </property>
  <property fmtid="{D5CDD505-2E9C-101B-9397-08002B2CF9AE}" pid="4" name="ClassificationContentMarkingFooterFontProps">
    <vt:lpwstr>#0078d7,9,Rockwell</vt:lpwstr>
  </property>
  <property fmtid="{D5CDD505-2E9C-101B-9397-08002B2CF9AE}" pid="5" name="ClassificationContentMarkingFooterText">
    <vt:lpwstr>Information Classification: General</vt:lpwstr>
  </property>
  <property fmtid="{D5CDD505-2E9C-101B-9397-08002B2CF9AE}" pid="6" name="MSIP_Label_2bbab825-a111-45e4-86a1-18cee0005896_Enabled">
    <vt:lpwstr>true</vt:lpwstr>
  </property>
  <property fmtid="{D5CDD505-2E9C-101B-9397-08002B2CF9AE}" pid="7" name="MSIP_Label_2bbab825-a111-45e4-86a1-18cee0005896_SetDate">
    <vt:lpwstr>2024-11-13T01:09:26Z</vt:lpwstr>
  </property>
  <property fmtid="{D5CDD505-2E9C-101B-9397-08002B2CF9AE}" pid="8" name="MSIP_Label_2bbab825-a111-45e4-86a1-18cee0005896_Method">
    <vt:lpwstr>Standard</vt:lpwstr>
  </property>
  <property fmtid="{D5CDD505-2E9C-101B-9397-08002B2CF9AE}" pid="9" name="MSIP_Label_2bbab825-a111-45e4-86a1-18cee0005896_Name">
    <vt:lpwstr>2bbab825-a111-45e4-86a1-18cee0005896</vt:lpwstr>
  </property>
  <property fmtid="{D5CDD505-2E9C-101B-9397-08002B2CF9AE}" pid="10" name="MSIP_Label_2bbab825-a111-45e4-86a1-18cee0005896_SiteId">
    <vt:lpwstr>2567d566-604c-408a-8a60-55d0dc9d9d6b</vt:lpwstr>
  </property>
  <property fmtid="{D5CDD505-2E9C-101B-9397-08002B2CF9AE}" pid="11" name="MSIP_Label_2bbab825-a111-45e4-86a1-18cee0005896_ActionId">
    <vt:lpwstr>feb5e79a-2dca-495f-9373-5cbb317e3ea1</vt:lpwstr>
  </property>
  <property fmtid="{D5CDD505-2E9C-101B-9397-08002B2CF9AE}" pid="12" name="MSIP_Label_2bbab825-a111-45e4-86a1-18cee0005896_ContentBits">
    <vt:lpwstr>2</vt:lpwstr>
  </property>
  <property fmtid="{D5CDD505-2E9C-101B-9397-08002B2CF9AE}" pid="13" name="KSOProductBuildVer">
    <vt:lpwstr>2052-12.1.0.18608</vt:lpwstr>
  </property>
  <property fmtid="{D5CDD505-2E9C-101B-9397-08002B2CF9AE}" pid="14" name="ICV">
    <vt:lpwstr>16D91C9BF6974939B466DF07E4DCBCD2_13</vt:lpwstr>
  </property>
</Properties>
</file>