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1DE623" w14:textId="77777777" w:rsidR="00CC6076" w:rsidRDefault="00000000">
      <w:r>
        <w:rPr>
          <w:rFonts w:ascii="Times New Roman" w:eastAsia="SimSun" w:hAnsi="Times New Roman" w:cs="Times New Roman"/>
          <w:sz w:val="20"/>
          <w:szCs w:val="20"/>
          <w:lang w:bidi="ar"/>
        </w:rPr>
        <w:t>Supplementary</w:t>
      </w:r>
      <w:r>
        <w:rPr>
          <w:rFonts w:ascii="Times New Roman" w:eastAsia="SimSun" w:hAnsi="Times New Roman" w:cs="Times New Roman" w:hint="eastAsia"/>
          <w:sz w:val="20"/>
          <w:szCs w:val="20"/>
          <w:lang w:bidi="ar"/>
        </w:rPr>
        <w:t xml:space="preserve"> </w:t>
      </w:r>
      <w:r>
        <w:rPr>
          <w:rFonts w:ascii="Times New Roman" w:eastAsia="SimSun" w:hAnsi="Times New Roman" w:cs="Times New Roman"/>
          <w:sz w:val="20"/>
          <w:szCs w:val="20"/>
          <w:lang w:bidi="ar"/>
        </w:rPr>
        <w:t>Box 1</w:t>
      </w:r>
    </w:p>
    <w:tbl>
      <w:tblPr>
        <w:tblStyle w:val="TableGrid"/>
        <w:tblpPr w:leftFromText="180" w:rightFromText="180" w:vertAnchor="page" w:horzAnchor="page" w:tblpX="1726" w:tblpY="1858"/>
        <w:tblOverlap w:val="never"/>
        <w:tblW w:w="0" w:type="auto"/>
        <w:tblLook w:val="04A0" w:firstRow="1" w:lastRow="0" w:firstColumn="1" w:lastColumn="0" w:noHBand="0" w:noVBand="1"/>
      </w:tblPr>
      <w:tblGrid>
        <w:gridCol w:w="8420"/>
      </w:tblGrid>
      <w:tr w:rsidR="00CC6076" w14:paraId="36E9682E" w14:textId="77777777">
        <w:tc>
          <w:tcPr>
            <w:tcW w:w="8420" w:type="dxa"/>
          </w:tcPr>
          <w:p w14:paraId="4E1280F0" w14:textId="77777777" w:rsidR="00CC6076" w:rsidRDefault="00000000">
            <w:pPr>
              <w:jc w:val="center"/>
              <w:rPr>
                <w:rFonts w:ascii="Times New Roman" w:hAnsi="Times New Roman" w:cs="Times New Roman"/>
              </w:rPr>
            </w:pPr>
            <w:r>
              <w:rPr>
                <w:rFonts w:ascii="Times New Roman" w:hAnsi="Times New Roman" w:cs="Times New Roman"/>
              </w:rPr>
              <w:t>Search strategy</w:t>
            </w:r>
          </w:p>
        </w:tc>
      </w:tr>
      <w:tr w:rsidR="00CC6076" w14:paraId="660E2695" w14:textId="77777777">
        <w:tc>
          <w:tcPr>
            <w:tcW w:w="8420" w:type="dxa"/>
          </w:tcPr>
          <w:p w14:paraId="334E8341" w14:textId="77777777" w:rsidR="00CC6076" w:rsidRDefault="00000000">
            <w:pPr>
              <w:rPr>
                <w:rFonts w:ascii="Times New Roman" w:hAnsi="Times New Roman" w:cs="Times New Roman"/>
              </w:rPr>
            </w:pPr>
            <w:r>
              <w:rPr>
                <w:rFonts w:ascii="Times New Roman" w:hAnsi="Times New Roman" w:cs="Times New Roman"/>
              </w:rPr>
              <w:t>((((TS=("personalized medicine")) OR TS=("personalised medicine")) OR TS=("precision medicine")) OR TS=("Precise Medicine")) OR TS=("Individualized Medicine") and 2022 or 2021 or 2020 or 2019 or 2018 or 2017 or 2016 or 2015 or 2014 or 2013 or 2012 or 2011 or 2010 or 2009 or 2008 or 2007 or 2006 or 2005 or 2004 or 2003 or 2002 or 2001 or 2000 or 1999  (Publication Years) and Article or Review Article  (Document Types) and English  (Languages)</w:t>
            </w:r>
            <w:r>
              <w:rPr>
                <w:rFonts w:ascii="Times New Roman" w:hAnsi="Times New Roman" w:cs="Times New Roman"/>
              </w:rPr>
              <w:tab/>
            </w:r>
          </w:p>
        </w:tc>
      </w:tr>
    </w:tbl>
    <w:p w14:paraId="47EB1764" w14:textId="77777777" w:rsidR="00CC6076" w:rsidRDefault="00000000">
      <w:pPr>
        <w:rPr>
          <w:rFonts w:ascii="Times New Roman" w:eastAsia="SimSun" w:hAnsi="Times New Roman" w:cs="Times New Roman"/>
          <w:sz w:val="20"/>
          <w:szCs w:val="20"/>
          <w:lang w:bidi="ar"/>
        </w:rPr>
      </w:pPr>
      <w:r>
        <w:rPr>
          <w:rFonts w:ascii="Times New Roman" w:eastAsia="SimSun" w:hAnsi="Times New Roman" w:cs="Times New Roman"/>
          <w:sz w:val="20"/>
          <w:szCs w:val="20"/>
          <w:lang w:bidi="ar"/>
        </w:rPr>
        <w:br w:type="page"/>
      </w:r>
    </w:p>
    <w:p w14:paraId="20ED3B6F" w14:textId="77777777" w:rsidR="00CC6076" w:rsidRDefault="00CC6076">
      <w:pPr>
        <w:rPr>
          <w:rFonts w:ascii="Times New Roman" w:eastAsia="SimSun" w:hAnsi="Times New Roman" w:cs="Times New Roman"/>
          <w:sz w:val="20"/>
          <w:szCs w:val="20"/>
          <w:lang w:bidi="ar"/>
        </w:rPr>
      </w:pPr>
    </w:p>
    <w:p w14:paraId="480DDE93" w14:textId="77777777" w:rsidR="00CC6076" w:rsidRDefault="00CC6076"/>
    <w:p w14:paraId="572091A8" w14:textId="77777777" w:rsidR="00CC6076" w:rsidRDefault="00CC6076"/>
    <w:p w14:paraId="1780B539" w14:textId="77777777" w:rsidR="00CC6076" w:rsidRDefault="00000000">
      <w:r>
        <w:rPr>
          <w:rFonts w:hint="eastAsia"/>
          <w:noProof/>
        </w:rPr>
        <w:drawing>
          <wp:inline distT="0" distB="0" distL="114300" distR="114300" wp14:anchorId="57DA4BCD" wp14:editId="6C9AE850">
            <wp:extent cx="5264785" cy="4023995"/>
            <wp:effectExtent l="0" t="0" r="3175" b="2540"/>
            <wp:docPr id="18" name="图片 18" descr="Supplement 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upplement Figure1"/>
                    <pic:cNvPicPr>
                      <a:picLocks noChangeAspect="1"/>
                    </pic:cNvPicPr>
                  </pic:nvPicPr>
                  <pic:blipFill>
                    <a:blip r:embed="rId6"/>
                    <a:stretch>
                      <a:fillRect/>
                    </a:stretch>
                  </pic:blipFill>
                  <pic:spPr>
                    <a:xfrm>
                      <a:off x="0" y="0"/>
                      <a:ext cx="5264785" cy="4023995"/>
                    </a:xfrm>
                    <a:prstGeom prst="rect">
                      <a:avLst/>
                    </a:prstGeom>
                  </pic:spPr>
                </pic:pic>
              </a:graphicData>
            </a:graphic>
          </wp:inline>
        </w:drawing>
      </w:r>
    </w:p>
    <w:p w14:paraId="3FB5015B" w14:textId="77777777" w:rsidR="00CC6076" w:rsidRDefault="00000000">
      <w:pPr>
        <w:spacing w:line="480"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Supplementary Figure 1 Types of article type in the initial search.</w:t>
      </w:r>
    </w:p>
    <w:p w14:paraId="1E01DBFF" w14:textId="77777777" w:rsidR="00CC6076" w:rsidRDefault="00000000">
      <w:r>
        <w:rPr>
          <w:rFonts w:hint="eastAsia"/>
          <w:noProof/>
        </w:rPr>
        <w:drawing>
          <wp:inline distT="0" distB="0" distL="114300" distR="114300" wp14:anchorId="0DCF3409" wp14:editId="610BF131">
            <wp:extent cx="4929505" cy="3129915"/>
            <wp:effectExtent l="0" t="0" r="3810" b="635"/>
            <wp:docPr id="19" name="图片 19" descr="Supplement 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upplement Figure2"/>
                    <pic:cNvPicPr>
                      <a:picLocks noChangeAspect="1"/>
                    </pic:cNvPicPr>
                  </pic:nvPicPr>
                  <pic:blipFill>
                    <a:blip r:embed="rId7"/>
                    <a:stretch>
                      <a:fillRect/>
                    </a:stretch>
                  </pic:blipFill>
                  <pic:spPr>
                    <a:xfrm>
                      <a:off x="0" y="0"/>
                      <a:ext cx="4929505" cy="3129915"/>
                    </a:xfrm>
                    <a:prstGeom prst="rect">
                      <a:avLst/>
                    </a:prstGeom>
                  </pic:spPr>
                </pic:pic>
              </a:graphicData>
            </a:graphic>
          </wp:inline>
        </w:drawing>
      </w:r>
    </w:p>
    <w:p w14:paraId="48619A9B" w14:textId="77777777" w:rsidR="00CC6076" w:rsidRDefault="00000000">
      <w:pPr>
        <w:spacing w:line="480"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Supplementary Figure 2 Regional distribution of precision medicine.</w:t>
      </w:r>
    </w:p>
    <w:p w14:paraId="63750566" w14:textId="77777777" w:rsidR="00CC6076" w:rsidRDefault="00000000">
      <w:r>
        <w:rPr>
          <w:rFonts w:hint="eastAsia"/>
          <w:noProof/>
        </w:rPr>
        <w:drawing>
          <wp:inline distT="0" distB="0" distL="114300" distR="114300" wp14:anchorId="2230E049" wp14:editId="4819112F">
            <wp:extent cx="5268595" cy="5918200"/>
            <wp:effectExtent l="0" t="0" r="10160" b="8255"/>
            <wp:docPr id="20" name="图片 20" descr="Supplement 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Supplement Figure3"/>
                    <pic:cNvPicPr>
                      <a:picLocks noChangeAspect="1"/>
                    </pic:cNvPicPr>
                  </pic:nvPicPr>
                  <pic:blipFill>
                    <a:blip r:embed="rId8"/>
                    <a:stretch>
                      <a:fillRect/>
                    </a:stretch>
                  </pic:blipFill>
                  <pic:spPr>
                    <a:xfrm>
                      <a:off x="0" y="0"/>
                      <a:ext cx="5268595" cy="5918200"/>
                    </a:xfrm>
                    <a:prstGeom prst="rect">
                      <a:avLst/>
                    </a:prstGeom>
                  </pic:spPr>
                </pic:pic>
              </a:graphicData>
            </a:graphic>
          </wp:inline>
        </w:drawing>
      </w:r>
    </w:p>
    <w:p w14:paraId="1B5CF2C6" w14:textId="691CE495" w:rsidR="00CC6076" w:rsidRDefault="00000000">
      <w:pPr>
        <w:spacing w:line="480" w:lineRule="auto"/>
        <w:rPr>
          <w:rFonts w:ascii="Times New Roman" w:eastAsia="SimSun" w:hAnsi="Times New Roman" w:cs="Times New Roman"/>
          <w:sz w:val="20"/>
          <w:szCs w:val="20"/>
        </w:rPr>
      </w:pPr>
      <w:r>
        <w:rPr>
          <w:rFonts w:ascii="Times New Roman" w:eastAsia="SimSun" w:hAnsi="Times New Roman" w:cs="Times New Roman" w:hint="eastAsia"/>
          <w:sz w:val="20"/>
          <w:szCs w:val="20"/>
        </w:rPr>
        <w:t>Supplementary Figure 3 Analysis of the themes categories evolution of Precision Medicine. (A)Top 5 country-specific theme categories in the Netherlands. (B)Top 5 country-specific theme categories in the Italy.(C) Top 5 country-specific theme categories in Canada.(D) Top 5 country-specific themes categories in Australia. (</w:t>
      </w:r>
      <w:r w:rsidR="00AF22FD">
        <w:rPr>
          <w:rFonts w:ascii="Times New Roman" w:eastAsia="SimSun" w:hAnsi="Times New Roman" w:cs="Times New Roman"/>
          <w:sz w:val="20"/>
          <w:szCs w:val="20"/>
        </w:rPr>
        <w:t>E</w:t>
      </w:r>
      <w:r>
        <w:rPr>
          <w:rFonts w:ascii="Times New Roman" w:eastAsia="SimSun" w:hAnsi="Times New Roman" w:cs="Times New Roman" w:hint="eastAsia"/>
          <w:sz w:val="20"/>
          <w:szCs w:val="20"/>
        </w:rPr>
        <w:t>) Top 5 country-specific themes categories in Switzerland.</w:t>
      </w:r>
    </w:p>
    <w:sectPr w:rsidR="00CC6076">
      <w:footerReference w:type="even" r:id="rId9"/>
      <w:footerReference w:type="default" r:id="rId10"/>
      <w:footerReference w:type="firs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6093C7" w14:textId="77777777" w:rsidR="003D4135" w:rsidRDefault="003D4135" w:rsidP="00AF22FD">
      <w:r>
        <w:separator/>
      </w:r>
    </w:p>
  </w:endnote>
  <w:endnote w:type="continuationSeparator" w:id="0">
    <w:p w14:paraId="1B747A02" w14:textId="77777777" w:rsidR="003D4135" w:rsidRDefault="003D4135" w:rsidP="00AF2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3B14D" w14:textId="3F20D46B" w:rsidR="00AF22FD" w:rsidRDefault="00AF22FD">
    <w:pPr>
      <w:pStyle w:val="Footer"/>
    </w:pPr>
    <w:r>
      <w:rPr>
        <w:noProof/>
      </w:rPr>
      <mc:AlternateContent>
        <mc:Choice Requires="wps">
          <w:drawing>
            <wp:anchor distT="0" distB="0" distL="0" distR="0" simplePos="0" relativeHeight="251659264" behindDoc="0" locked="0" layoutInCell="1" allowOverlap="1" wp14:anchorId="6981F53E" wp14:editId="3BE6008C">
              <wp:simplePos x="635" y="635"/>
              <wp:positionH relativeFrom="page">
                <wp:align>left</wp:align>
              </wp:positionH>
              <wp:positionV relativeFrom="page">
                <wp:align>bottom</wp:align>
              </wp:positionV>
              <wp:extent cx="2075180" cy="325755"/>
              <wp:effectExtent l="0" t="0" r="1270" b="0"/>
              <wp:wrapNone/>
              <wp:docPr id="746047051"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5180" cy="325755"/>
                      </a:xfrm>
                      <a:prstGeom prst="rect">
                        <a:avLst/>
                      </a:prstGeom>
                      <a:noFill/>
                      <a:ln>
                        <a:noFill/>
                      </a:ln>
                    </wps:spPr>
                    <wps:txbx>
                      <w:txbxContent>
                        <w:p w14:paraId="11CBB47F" w14:textId="4ED818DE" w:rsidR="00AF22FD" w:rsidRPr="00AF22FD" w:rsidRDefault="00AF22FD" w:rsidP="00AF22FD">
                          <w:pPr>
                            <w:rPr>
                              <w:rFonts w:ascii="Rockwell" w:eastAsia="Rockwell" w:hAnsi="Rockwell" w:cs="Rockwell"/>
                              <w:noProof/>
                              <w:color w:val="0078D7"/>
                              <w:sz w:val="18"/>
                              <w:szCs w:val="18"/>
                            </w:rPr>
                          </w:pPr>
                          <w:r w:rsidRPr="00AF22F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981F53E" id="_x0000_t202" coordsize="21600,21600" o:spt="202" path="m,l,21600r21600,l21600,xe">
              <v:stroke joinstyle="miter"/>
              <v:path gradientshapeok="t" o:connecttype="rect"/>
            </v:shapetype>
            <v:shape id="Text Box 2" o:spid="_x0000_s1026" type="#_x0000_t202" alt="Information Classification: General" style="position:absolute;left:0;text-align:left;margin-left:0;margin-top:0;width:163.4pt;height:25.6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zkDwIAABsEAAAOAAAAZHJzL2Uyb0RvYy54bWysU8Fu2zAMvQ/YPwi6L3ayee2MOEXWIsOA&#10;oC2QFj0rshQbkERBUmJnXz9KdpKu62nYRaZI+pF8fJrf9FqRg3C+BVPR6SSnRBgOdWt2FX1+Wn26&#10;psQHZmqmwIiKHoWnN4uPH+adLcUMGlC1cARBjC87W9EmBFtmmeeN0MxPwAqDQQlOs4BXt8tqxzpE&#10;1yqb5fnXrANXWwdceI/euyFIFwlfSsHDg5ReBKIqir2FdLp0buOZLeas3Dlmm5aPbbB/6EKz1mDR&#10;M9QdC4zsXfsXlG65Aw8yTDjoDKRsuUgz4DTT/M00m4ZZkWZBcrw90+T/Hyy/P2zsoyOh/w49LjAS&#10;0llfenTGeXrpdPxipwTjSOHxTJvoA+HonOVXxfQaQxxjn2fFVVFEmOzyt3U+/BCgSTQq6nAtiS12&#10;WPswpJ5SYjEDq1aptBpl/nAgZvRklxajFfptP/a9hfqI4zgYNu0tX7VYc818eGQOV4ttolzDAx5S&#10;QVdRGC1KGnC/3vPHfGQco5R0KJWKGtQyJeqnwU3Mii95HqWVbmi4k7FNxvRbXsS42etbQBVO8UFY&#10;nsyYHNTJlA70C6p5GathiBmONSu6PZm3YRAuvgYulsuUhCqyLKzNxvIIHcmKTD71L8zZke6Ai7qH&#10;k5hY+Yb1ITf+6e1yH5D7tJJI7MDmyDcqMC11fC1R4q/vKevyphe/AQAA//8DAFBLAwQUAAYACAAA&#10;ACEA0KTXEdoAAAAEAQAADwAAAGRycy9kb3ducmV2LnhtbEyPzU7DMBCE70i8g7VIvVGnqYhQiFNV&#10;9EdcCUhwdOJtHDVeh9ht07dn4QKXkVazmvmmWE2uF2ccQ+dJwWKegEBqvOmoVfD+trt/BBGiJqN7&#10;T6jgigFW5e1NoXPjL/SK5yq2gkMo5FqBjXHIpQyNRafD3A9I7B386HTkc2ylGfWFw10v0yTJpNMd&#10;cYPVAz5bbI7VySnINvu1HT6yz69DGl5C7Y+x8lulZnfT+glExCn+PcMPPqNDyUy1P5EJolfAQ+Kv&#10;srdMM55RK3hYLEGWhfwPX34DAAD//wMAUEsBAi0AFAAGAAgAAAAhALaDOJL+AAAA4QEAABMAAAAA&#10;AAAAAAAAAAAAAAAAAFtDb250ZW50X1R5cGVzXS54bWxQSwECLQAUAAYACAAAACEAOP0h/9YAAACU&#10;AQAACwAAAAAAAAAAAAAAAAAvAQAAX3JlbHMvLnJlbHNQSwECLQAUAAYACAAAACEApi7c5A8CAAAb&#10;BAAADgAAAAAAAAAAAAAAAAAuAgAAZHJzL2Uyb0RvYy54bWxQSwECLQAUAAYACAAAACEA0KTXEdoA&#10;AAAEAQAADwAAAAAAAAAAAAAAAABpBAAAZHJzL2Rvd25yZXYueG1sUEsFBgAAAAAEAAQA8wAAAHAF&#10;AAAAAA==&#10;" filled="f" stroked="f">
              <v:fill o:detectmouseclick="t"/>
              <v:textbox style="mso-fit-shape-to-text:t" inset="20pt,0,0,15pt">
                <w:txbxContent>
                  <w:p w14:paraId="11CBB47F" w14:textId="4ED818DE" w:rsidR="00AF22FD" w:rsidRPr="00AF22FD" w:rsidRDefault="00AF22FD" w:rsidP="00AF22FD">
                    <w:pPr>
                      <w:rPr>
                        <w:rFonts w:ascii="Rockwell" w:eastAsia="Rockwell" w:hAnsi="Rockwell" w:cs="Rockwell"/>
                        <w:noProof/>
                        <w:color w:val="0078D7"/>
                        <w:sz w:val="18"/>
                        <w:szCs w:val="18"/>
                      </w:rPr>
                    </w:pPr>
                    <w:r w:rsidRPr="00AF22F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54220" w14:textId="51DBA48F" w:rsidR="00AF22FD" w:rsidRDefault="00AF22FD">
    <w:pPr>
      <w:pStyle w:val="Footer"/>
    </w:pPr>
    <w:r>
      <w:rPr>
        <w:noProof/>
      </w:rPr>
      <mc:AlternateContent>
        <mc:Choice Requires="wps">
          <w:drawing>
            <wp:anchor distT="0" distB="0" distL="0" distR="0" simplePos="0" relativeHeight="251660288" behindDoc="0" locked="0" layoutInCell="1" allowOverlap="1" wp14:anchorId="7244F0EB" wp14:editId="44F5562B">
              <wp:simplePos x="635" y="635"/>
              <wp:positionH relativeFrom="page">
                <wp:align>left</wp:align>
              </wp:positionH>
              <wp:positionV relativeFrom="page">
                <wp:align>bottom</wp:align>
              </wp:positionV>
              <wp:extent cx="2075180" cy="325755"/>
              <wp:effectExtent l="0" t="0" r="1270" b="0"/>
              <wp:wrapNone/>
              <wp:docPr id="984914510"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5180" cy="325755"/>
                      </a:xfrm>
                      <a:prstGeom prst="rect">
                        <a:avLst/>
                      </a:prstGeom>
                      <a:noFill/>
                      <a:ln>
                        <a:noFill/>
                      </a:ln>
                    </wps:spPr>
                    <wps:txbx>
                      <w:txbxContent>
                        <w:p w14:paraId="5D3D8C07" w14:textId="1D31DAD0" w:rsidR="00AF22FD" w:rsidRPr="00AF22FD" w:rsidRDefault="00AF22FD" w:rsidP="00AF22FD">
                          <w:pPr>
                            <w:rPr>
                              <w:rFonts w:ascii="Rockwell" w:eastAsia="Rockwell" w:hAnsi="Rockwell" w:cs="Rockwell"/>
                              <w:noProof/>
                              <w:color w:val="0078D7"/>
                              <w:sz w:val="18"/>
                              <w:szCs w:val="18"/>
                            </w:rPr>
                          </w:pPr>
                          <w:r w:rsidRPr="00AF22F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244F0EB"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163.4pt;height:25.6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8REQIAACIEAAAOAAAAZHJzL2Uyb0RvYy54bWysU8tu2zAQvBfoPxC815LcqkkFy4GbwEUB&#10;IwngFDnTFGkJILkESVtyv75Lyo807SnIhVrurvYxM5zdDFqRvXC+A1PTYpJTIgyHpjPbmv56Wn66&#10;psQHZhqmwIiaHoSnN/OPH2a9rcQUWlCNcASLGF/1tqZtCLbKMs9boZmfgBUGgxKcZgGvbps1jvVY&#10;Xatsmudfsx5cYx1w4T1678Ygnaf6UgoeHqT0IhBVU5wtpNOlcxPPbD5j1dYx23b8OAZ7wxSadQab&#10;nkvdscDIznX/lNIdd+BBhgkHnYGUHRdpB9ymyF9ts26ZFWkXBMfbM0z+/cry+/3aPjoShu8wIIER&#10;kN76yqMz7jNIp+MXJyUYRwgPZ9jEEAhH5zS/KotrDHGMfZ6WV2UZy2SXv63z4YcATaJRU4e0JLTY&#10;fuXDmHpKic0MLDulEjXK/OXAmtGTXUaMVhg2A+maF+NvoDngVg5Gwr3lyw5br5gPj8whwzgtqjY8&#10;4CEV9DWFo0VJC+73//wxH4HHKCU9KqamBiVNifppkJBp+SXPo8LSDQ13MjbJKL7lZYybnb4FFGOB&#10;78LyZMbkoE6mdKCfUdSL2A1DzHDsWdPNybwNo37xUXCxWKQkFJNlYWXWlsfSEbMI6NPwzJw9oh6Q&#10;r3s4aYpVr8Afc+Of3i52ASlIzER8RzSPsKMQE7fHRxOV/vKesi5Pe/4HAAD//wMAUEsDBBQABgAI&#10;AAAAIQDQpNcR2gAAAAQBAAAPAAAAZHJzL2Rvd25yZXYueG1sTI/NTsMwEITvSLyDtUi9UaepiFCI&#10;U1X0R1wJSHB04m0cNV6H2G3Tt2fhApeRVrOa+aZYTa4XZxxD50nBYp6AQGq86ahV8P62u38EEaIm&#10;o3tPqOCKAVbl7U2hc+Mv9IrnKraCQyjkWoGNccilDI1Fp8PcD0jsHfzodORzbKUZ9YXDXS/TJMmk&#10;0x1xg9UDPltsjtXJKcg2+7UdPrLPr0MaXkLtj7HyW6Vmd9P6CUTEKf49ww8+o0PJTLU/kQmiV8BD&#10;4q+yt0wznlEreFgsQZaF/A9ffgMAAP//AwBQSwECLQAUAAYACAAAACEAtoM4kv4AAADhAQAAEwAA&#10;AAAAAAAAAAAAAAAAAAAAW0NvbnRlbnRfVHlwZXNdLnhtbFBLAQItABQABgAIAAAAIQA4/SH/1gAA&#10;AJQBAAALAAAAAAAAAAAAAAAAAC8BAABfcmVscy8ucmVsc1BLAQItABQABgAIAAAAIQCTJy8REQIA&#10;ACIEAAAOAAAAAAAAAAAAAAAAAC4CAABkcnMvZTJvRG9jLnhtbFBLAQItABQABgAIAAAAIQDQpNcR&#10;2gAAAAQBAAAPAAAAAAAAAAAAAAAAAGsEAABkcnMvZG93bnJldi54bWxQSwUGAAAAAAQABADzAAAA&#10;cgUAAAAA&#10;" filled="f" stroked="f">
              <v:fill o:detectmouseclick="t"/>
              <v:textbox style="mso-fit-shape-to-text:t" inset="20pt,0,0,15pt">
                <w:txbxContent>
                  <w:p w14:paraId="5D3D8C07" w14:textId="1D31DAD0" w:rsidR="00AF22FD" w:rsidRPr="00AF22FD" w:rsidRDefault="00AF22FD" w:rsidP="00AF22FD">
                    <w:pPr>
                      <w:rPr>
                        <w:rFonts w:ascii="Rockwell" w:eastAsia="Rockwell" w:hAnsi="Rockwell" w:cs="Rockwell"/>
                        <w:noProof/>
                        <w:color w:val="0078D7"/>
                        <w:sz w:val="18"/>
                        <w:szCs w:val="18"/>
                      </w:rPr>
                    </w:pPr>
                    <w:r w:rsidRPr="00AF22F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85834" w14:textId="0F254298" w:rsidR="00AF22FD" w:rsidRDefault="00AF22FD">
    <w:pPr>
      <w:pStyle w:val="Footer"/>
    </w:pPr>
    <w:r>
      <w:rPr>
        <w:noProof/>
      </w:rPr>
      <mc:AlternateContent>
        <mc:Choice Requires="wps">
          <w:drawing>
            <wp:anchor distT="0" distB="0" distL="0" distR="0" simplePos="0" relativeHeight="251658240" behindDoc="0" locked="0" layoutInCell="1" allowOverlap="1" wp14:anchorId="237880D6" wp14:editId="0F74416E">
              <wp:simplePos x="635" y="635"/>
              <wp:positionH relativeFrom="page">
                <wp:align>left</wp:align>
              </wp:positionH>
              <wp:positionV relativeFrom="page">
                <wp:align>bottom</wp:align>
              </wp:positionV>
              <wp:extent cx="2075180" cy="325755"/>
              <wp:effectExtent l="0" t="0" r="1270" b="0"/>
              <wp:wrapNone/>
              <wp:docPr id="1377021372"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5180" cy="325755"/>
                      </a:xfrm>
                      <a:prstGeom prst="rect">
                        <a:avLst/>
                      </a:prstGeom>
                      <a:noFill/>
                      <a:ln>
                        <a:noFill/>
                      </a:ln>
                    </wps:spPr>
                    <wps:txbx>
                      <w:txbxContent>
                        <w:p w14:paraId="3FB353ED" w14:textId="5DA77BF2" w:rsidR="00AF22FD" w:rsidRPr="00AF22FD" w:rsidRDefault="00AF22FD" w:rsidP="00AF22FD">
                          <w:pPr>
                            <w:rPr>
                              <w:rFonts w:ascii="Rockwell" w:eastAsia="Rockwell" w:hAnsi="Rockwell" w:cs="Rockwell"/>
                              <w:noProof/>
                              <w:color w:val="0078D7"/>
                              <w:sz w:val="18"/>
                              <w:szCs w:val="18"/>
                            </w:rPr>
                          </w:pPr>
                          <w:r w:rsidRPr="00AF22F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37880D6" id="_x0000_t202" coordsize="21600,21600" o:spt="202" path="m,l,21600r21600,l21600,xe">
              <v:stroke joinstyle="miter"/>
              <v:path gradientshapeok="t" o:connecttype="rect"/>
            </v:shapetype>
            <v:shape id="Text Box 1" o:spid="_x0000_s1028" type="#_x0000_t202" alt="Information Classification: General" style="position:absolute;left:0;text-align:left;margin-left:0;margin-top:0;width:163.4pt;height:25.6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xTEwIAACIEAAAOAAAAZHJzL2Uyb0RvYy54bWysU01v2zAMvQ/YfxB0X+xk89oZcYqsRYYB&#10;QVsgLXpWZCk2IImCpMTOfv0oOU66rqdhF5kiaX689zS/6bUiB+F8C6ai00lOiTAc6tbsKvr8tPp0&#10;TYkPzNRMgREVPQpPbxYfP8w7W4oZNKBq4QgWMb7sbEWbEGyZZZ43QjM/ASsMBiU4zQJe3S6rHeuw&#10;ulbZLM+/Zh242jrgwnv03g1Bukj1pRQ8PEjpRSCqojhbSKdL5zae2WLOyp1jtmn5aQz2D1No1hps&#10;ei51xwIje9f+VUq33IEHGSYcdAZStlykHXCbaf5mm03DrEi7IDjenmHy/68svz9s7KMjof8OPRIY&#10;AemsLz064z69dDp+cVKCcYTweIZN9IFwdM7yq2J6jSGOsc+z4qooYpns8rd1PvwQoEk0KuqQloQW&#10;O6x9GFLHlNjMwKpVKlGjzB8OrBk92WXEaIV+25O2xknG8bdQH3ErBwPh3vJVi63XzIdH5pBhnBZV&#10;Gx7wkAq6isLJoqQB9+s9f8xH4DFKSYeKqahBSVOifhokZFZ8yfOosHRDw43GNhnTb3kR42avbwHF&#10;OMV3YXkyY3JQoykd6BcU9TJ2wxAzHHtWdDuat2HQLz4KLpbLlIRisiyszcbyWDpiFgF96l+YsyfU&#10;A/J1D6OmWPkG/CE3/untch+QgsRMxHdA8wQ7CjFxe3o0Uemv7ynr8rQXvwEAAP//AwBQSwMEFAAG&#10;AAgAAAAhANCk1xHaAAAABAEAAA8AAABkcnMvZG93bnJldi54bWxMj81OwzAQhO9IvIO1SL1Rp6mI&#10;UIhTVfRHXAlIcHTibRw1XofYbdO3Z+ECl5FWs5r5plhNrhdnHEPnScFinoBAarzpqFXw/ra7fwQR&#10;oiaje0+o4IoBVuXtTaFz4y/0iucqtoJDKORagY1xyKUMjUWnw9wPSOwd/Oh05HNspRn1hcNdL9Mk&#10;yaTTHXGD1QM+W2yO1ckpyDb7tR0+ss+vQxpeQu2PsfJbpWZ30/oJRMQp/j3DDz6jQ8lMtT+RCaJX&#10;wEPir7K3TDOeUSt4WCxBloX8D19+AwAA//8DAFBLAQItABQABgAIAAAAIQC2gziS/gAAAOEBAAAT&#10;AAAAAAAAAAAAAAAAAAAAAABbQ29udGVudF9UeXBlc10ueG1sUEsBAi0AFAAGAAgAAAAhADj9If/W&#10;AAAAlAEAAAsAAAAAAAAAAAAAAAAALwEAAF9yZWxzLy5yZWxzUEsBAi0AFAAGAAgAAAAhAMKx3FMT&#10;AgAAIgQAAA4AAAAAAAAAAAAAAAAALgIAAGRycy9lMm9Eb2MueG1sUEsBAi0AFAAGAAgAAAAhANCk&#10;1xHaAAAABAEAAA8AAAAAAAAAAAAAAAAAbQQAAGRycy9kb3ducmV2LnhtbFBLBQYAAAAABAAEAPMA&#10;AAB0BQAAAAA=&#10;" filled="f" stroked="f">
              <v:fill o:detectmouseclick="t"/>
              <v:textbox style="mso-fit-shape-to-text:t" inset="20pt,0,0,15pt">
                <w:txbxContent>
                  <w:p w14:paraId="3FB353ED" w14:textId="5DA77BF2" w:rsidR="00AF22FD" w:rsidRPr="00AF22FD" w:rsidRDefault="00AF22FD" w:rsidP="00AF22FD">
                    <w:pPr>
                      <w:rPr>
                        <w:rFonts w:ascii="Rockwell" w:eastAsia="Rockwell" w:hAnsi="Rockwell" w:cs="Rockwell"/>
                        <w:noProof/>
                        <w:color w:val="0078D7"/>
                        <w:sz w:val="18"/>
                        <w:szCs w:val="18"/>
                      </w:rPr>
                    </w:pPr>
                    <w:r w:rsidRPr="00AF22F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A866E4" w14:textId="77777777" w:rsidR="003D4135" w:rsidRDefault="003D4135" w:rsidP="00AF22FD">
      <w:r>
        <w:separator/>
      </w:r>
    </w:p>
  </w:footnote>
  <w:footnote w:type="continuationSeparator" w:id="0">
    <w:p w14:paraId="258139FC" w14:textId="77777777" w:rsidR="003D4135" w:rsidRDefault="003D4135" w:rsidP="00AF22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5"/>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zEwNTM5NzYwMDRjMzkwZTVkZjY2ODkwMGIxNGU0OTUifQ=="/>
  </w:docVars>
  <w:rsids>
    <w:rsidRoot w:val="78466E45"/>
    <w:rsid w:val="003D4135"/>
    <w:rsid w:val="00AF22FD"/>
    <w:rsid w:val="00C731E7"/>
    <w:rsid w:val="00CC6076"/>
    <w:rsid w:val="51BE2181"/>
    <w:rsid w:val="78466E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6DAB44"/>
  <w15:docId w15:val="{594CB895-DA31-414D-ABD4-B77CBA1E4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kern w:val="2"/>
      <w:sz w:val="21"/>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AF22FD"/>
    <w:pPr>
      <w:tabs>
        <w:tab w:val="center" w:pos="4513"/>
        <w:tab w:val="right" w:pos="9026"/>
      </w:tabs>
    </w:pPr>
  </w:style>
  <w:style w:type="character" w:customStyle="1" w:styleId="FooterChar">
    <w:name w:val="Footer Char"/>
    <w:basedOn w:val="DefaultParagraphFont"/>
    <w:link w:val="Footer"/>
    <w:rsid w:val="00AF22FD"/>
    <w:rPr>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151</Words>
  <Characters>864</Characters>
  <Application>Microsoft Office Word</Application>
  <DocSecurity>0</DocSecurity>
  <Lines>7</Lines>
  <Paragraphs>2</Paragraphs>
  <ScaleCrop>false</ScaleCrop>
  <Company/>
  <LinksUpToDate>false</LinksUpToDate>
  <CharactersWithSpaces>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●℉ight»ing</dc:creator>
  <cp:lastModifiedBy>Khanapur, Soumya</cp:lastModifiedBy>
  <cp:revision>2</cp:revision>
  <dcterms:created xsi:type="dcterms:W3CDTF">2024-10-07T11:47:00Z</dcterms:created>
  <dcterms:modified xsi:type="dcterms:W3CDTF">2024-10-16T20:39:00Z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52C1B44F35AB4E9FBE5D6D89408E25E6_11</vt:lpwstr>
  </property>
  <property fmtid="{D5CDD505-2E9C-101B-9397-08002B2CF9AE}" pid="4" name="ClassificationContentMarkingFooterShapeIds">
    <vt:lpwstr>5213adbc,2c77c64b,3ab49a4e</vt:lpwstr>
  </property>
  <property fmtid="{D5CDD505-2E9C-101B-9397-08002B2CF9AE}" pid="5" name="ClassificationContentMarkingFooterFontProps">
    <vt:lpwstr>#0078d7,9,Rockwell</vt:lpwstr>
  </property>
  <property fmtid="{D5CDD505-2E9C-101B-9397-08002B2CF9AE}" pid="6" name="ClassificationContentMarkingFooterText">
    <vt:lpwstr>Information Classification: General</vt:lpwstr>
  </property>
  <property fmtid="{D5CDD505-2E9C-101B-9397-08002B2CF9AE}" pid="7" name="MSIP_Label_2bbab825-a111-45e4-86a1-18cee0005896_Enabled">
    <vt:lpwstr>true</vt:lpwstr>
  </property>
  <property fmtid="{D5CDD505-2E9C-101B-9397-08002B2CF9AE}" pid="8" name="MSIP_Label_2bbab825-a111-45e4-86a1-18cee0005896_SetDate">
    <vt:lpwstr>2024-10-16T20:39:57Z</vt:lpwstr>
  </property>
  <property fmtid="{D5CDD505-2E9C-101B-9397-08002B2CF9AE}" pid="9" name="MSIP_Label_2bbab825-a111-45e4-86a1-18cee0005896_Method">
    <vt:lpwstr>Standard</vt:lpwstr>
  </property>
  <property fmtid="{D5CDD505-2E9C-101B-9397-08002B2CF9AE}" pid="10" name="MSIP_Label_2bbab825-a111-45e4-86a1-18cee0005896_Name">
    <vt:lpwstr>2bbab825-a111-45e4-86a1-18cee0005896</vt:lpwstr>
  </property>
  <property fmtid="{D5CDD505-2E9C-101B-9397-08002B2CF9AE}" pid="11" name="MSIP_Label_2bbab825-a111-45e4-86a1-18cee0005896_SiteId">
    <vt:lpwstr>2567d566-604c-408a-8a60-55d0dc9d9d6b</vt:lpwstr>
  </property>
  <property fmtid="{D5CDD505-2E9C-101B-9397-08002B2CF9AE}" pid="12" name="MSIP_Label_2bbab825-a111-45e4-86a1-18cee0005896_ActionId">
    <vt:lpwstr>2cfc37e0-83e8-4888-996a-27ed28156253</vt:lpwstr>
  </property>
  <property fmtid="{D5CDD505-2E9C-101B-9397-08002B2CF9AE}" pid="13" name="MSIP_Label_2bbab825-a111-45e4-86a1-18cee0005896_ContentBits">
    <vt:lpwstr>2</vt:lpwstr>
  </property>
</Properties>
</file>