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194B9" w14:textId="77777777" w:rsidR="00240110" w:rsidRPr="00CF5AE6" w:rsidRDefault="00240110" w:rsidP="00240110">
      <w:pPr>
        <w:pStyle w:val="Heading1"/>
        <w:numPr>
          <w:ilvl w:val="0"/>
          <w:numId w:val="0"/>
        </w:numPr>
        <w:spacing w:line="480" w:lineRule="auto"/>
        <w:ind w:left="567" w:hanging="567"/>
        <w:rPr>
          <w:rFonts w:eastAsiaTheme="minorEastAsia"/>
          <w:color w:val="000000"/>
          <w:lang w:eastAsia="zh-CN"/>
        </w:rPr>
      </w:pPr>
      <w:r w:rsidRPr="00CF5AE6">
        <w:rPr>
          <w:color w:val="000000"/>
        </w:rPr>
        <w:t>Supplementary Material</w:t>
      </w:r>
    </w:p>
    <w:p w14:paraId="17065D5C" w14:textId="0CA8EB7C" w:rsidR="00240110" w:rsidRPr="00CF5AE6" w:rsidRDefault="00240110" w:rsidP="006D5543">
      <w:pPr>
        <w:pStyle w:val="Heading2"/>
        <w:numPr>
          <w:ilvl w:val="0"/>
          <w:numId w:val="0"/>
        </w:numPr>
        <w:spacing w:line="480" w:lineRule="auto"/>
        <w:ind w:left="567" w:hanging="567"/>
        <w:rPr>
          <w:rFonts w:eastAsiaTheme="minorEastAsia"/>
          <w:color w:val="000000"/>
          <w:lang w:eastAsia="zh-CN"/>
        </w:rPr>
      </w:pPr>
      <w:bookmarkStart w:id="0" w:name="_Hlk125750578"/>
      <w:r w:rsidRPr="00CF5AE6">
        <w:rPr>
          <w:rFonts w:eastAsiaTheme="minorEastAsia" w:hint="eastAsia"/>
          <w:color w:val="000000"/>
          <w:lang w:eastAsia="zh-CN"/>
        </w:rPr>
        <w:t>Suppl</w:t>
      </w:r>
      <w:r w:rsidR="006D5543" w:rsidRPr="00CF5AE6">
        <w:rPr>
          <w:rFonts w:eastAsiaTheme="minorEastAsia"/>
          <w:color w:val="000000"/>
          <w:lang w:eastAsia="zh-CN"/>
        </w:rPr>
        <w:t>ementary</w:t>
      </w:r>
      <w:r w:rsidRPr="00CF5AE6">
        <w:rPr>
          <w:rFonts w:eastAsiaTheme="minorEastAsia" w:hint="eastAsia"/>
          <w:color w:val="000000"/>
          <w:lang w:eastAsia="zh-CN"/>
        </w:rPr>
        <w:t xml:space="preserve"> Table 1</w:t>
      </w:r>
      <w:r w:rsidR="006D5543" w:rsidRPr="00CF5AE6">
        <w:rPr>
          <w:rFonts w:eastAsiaTheme="minorEastAsia"/>
          <w:color w:val="000000"/>
          <w:lang w:eastAsia="zh-CN"/>
        </w:rPr>
        <w:t xml:space="preserve"> </w:t>
      </w:r>
      <w:r w:rsidRPr="00CF5AE6">
        <w:rPr>
          <w:bCs/>
          <w:color w:val="000000"/>
        </w:rPr>
        <w:t>The forward and reverse primers for qPCR detection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202"/>
        <w:gridCol w:w="2301"/>
        <w:gridCol w:w="3803"/>
      </w:tblGrid>
      <w:tr w:rsidR="00240110" w:rsidRPr="00CF5AE6" w14:paraId="44744918" w14:textId="77777777" w:rsidTr="00C11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6A3845E5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Gene</w:t>
            </w:r>
          </w:p>
        </w:tc>
        <w:tc>
          <w:tcPr>
            <w:tcW w:w="2335" w:type="dxa"/>
          </w:tcPr>
          <w:p w14:paraId="0BDE5A3B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Primers</w:t>
            </w:r>
          </w:p>
        </w:tc>
        <w:tc>
          <w:tcPr>
            <w:tcW w:w="3731" w:type="dxa"/>
          </w:tcPr>
          <w:p w14:paraId="6C383C75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Sequence (5’ to 3’)</w:t>
            </w:r>
          </w:p>
        </w:tc>
      </w:tr>
      <w:tr w:rsidR="00240110" w:rsidRPr="00CF5AE6" w14:paraId="371FE359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single" w:sz="4" w:space="0" w:color="7F7F7F"/>
              <w:bottom w:val="single" w:sz="4" w:space="0" w:color="7F7F7F"/>
            </w:tcBorders>
          </w:tcPr>
          <w:p w14:paraId="3C24E979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β-actin</w:t>
            </w:r>
          </w:p>
        </w:tc>
        <w:tc>
          <w:tcPr>
            <w:tcW w:w="2335" w:type="dxa"/>
            <w:tcBorders>
              <w:top w:val="single" w:sz="4" w:space="0" w:color="7F7F7F"/>
              <w:bottom w:val="single" w:sz="4" w:space="0" w:color="7F7F7F"/>
            </w:tcBorders>
          </w:tcPr>
          <w:p w14:paraId="6F1D92EF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Forward primer</w:t>
            </w:r>
          </w:p>
        </w:tc>
        <w:tc>
          <w:tcPr>
            <w:tcW w:w="3731" w:type="dxa"/>
            <w:tcBorders>
              <w:top w:val="single" w:sz="4" w:space="0" w:color="7F7F7F"/>
              <w:bottom w:val="single" w:sz="4" w:space="0" w:color="7F7F7F"/>
            </w:tcBorders>
          </w:tcPr>
          <w:p w14:paraId="5C9ABBB5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GGCTGTATTCCCCTCCATCG</w:t>
            </w:r>
          </w:p>
        </w:tc>
      </w:tr>
      <w:tr w:rsidR="00240110" w:rsidRPr="00CF5AE6" w14:paraId="46FB76F6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5D61A9F1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β-actin</w:t>
            </w:r>
          </w:p>
        </w:tc>
        <w:tc>
          <w:tcPr>
            <w:tcW w:w="2335" w:type="dxa"/>
          </w:tcPr>
          <w:p w14:paraId="06C16FE0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Reverse primer</w:t>
            </w:r>
          </w:p>
        </w:tc>
        <w:tc>
          <w:tcPr>
            <w:tcW w:w="3731" w:type="dxa"/>
          </w:tcPr>
          <w:p w14:paraId="45ED9860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CCAGTTGGTAACAATGCCATGT</w:t>
            </w:r>
          </w:p>
        </w:tc>
      </w:tr>
      <w:tr w:rsidR="00240110" w:rsidRPr="00CF5AE6" w14:paraId="20CD762C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single" w:sz="4" w:space="0" w:color="7F7F7F"/>
              <w:bottom w:val="single" w:sz="4" w:space="0" w:color="7F7F7F"/>
            </w:tcBorders>
          </w:tcPr>
          <w:p w14:paraId="380F9E46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PGC-1α</w:t>
            </w:r>
          </w:p>
        </w:tc>
        <w:tc>
          <w:tcPr>
            <w:tcW w:w="2335" w:type="dxa"/>
            <w:tcBorders>
              <w:top w:val="single" w:sz="4" w:space="0" w:color="7F7F7F"/>
              <w:bottom w:val="single" w:sz="4" w:space="0" w:color="7F7F7F"/>
            </w:tcBorders>
          </w:tcPr>
          <w:p w14:paraId="4A37B447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Forward primer</w:t>
            </w:r>
          </w:p>
        </w:tc>
        <w:tc>
          <w:tcPr>
            <w:tcW w:w="3731" w:type="dxa"/>
            <w:tcBorders>
              <w:top w:val="single" w:sz="4" w:space="0" w:color="7F7F7F"/>
              <w:bottom w:val="single" w:sz="4" w:space="0" w:color="7F7F7F"/>
            </w:tcBorders>
          </w:tcPr>
          <w:p w14:paraId="560BE142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ATGTGTCGCCTTCTTGCTCT</w:t>
            </w:r>
          </w:p>
        </w:tc>
      </w:tr>
      <w:tr w:rsidR="00240110" w:rsidRPr="00CF5AE6" w14:paraId="542B8173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053B3D9F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PGC-1α</w:t>
            </w:r>
          </w:p>
        </w:tc>
        <w:tc>
          <w:tcPr>
            <w:tcW w:w="2335" w:type="dxa"/>
          </w:tcPr>
          <w:p w14:paraId="4CB7A2C0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Reverse primer</w:t>
            </w:r>
          </w:p>
        </w:tc>
        <w:tc>
          <w:tcPr>
            <w:tcW w:w="3731" w:type="dxa"/>
          </w:tcPr>
          <w:p w14:paraId="3BEB7D1C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CGGTGTCTGTAGTGGCTTGA</w:t>
            </w:r>
          </w:p>
        </w:tc>
      </w:tr>
      <w:tr w:rsidR="00240110" w:rsidRPr="00CF5AE6" w14:paraId="0A0EB267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tcBorders>
              <w:top w:val="single" w:sz="4" w:space="0" w:color="7F7F7F"/>
              <w:bottom w:val="single" w:sz="4" w:space="0" w:color="7F7F7F"/>
            </w:tcBorders>
          </w:tcPr>
          <w:p w14:paraId="2411F04C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NRF-1</w:t>
            </w:r>
          </w:p>
        </w:tc>
        <w:tc>
          <w:tcPr>
            <w:tcW w:w="2335" w:type="dxa"/>
            <w:tcBorders>
              <w:top w:val="single" w:sz="4" w:space="0" w:color="7F7F7F"/>
              <w:bottom w:val="single" w:sz="4" w:space="0" w:color="7F7F7F"/>
            </w:tcBorders>
          </w:tcPr>
          <w:p w14:paraId="5F3C4D14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Forward primer</w:t>
            </w:r>
          </w:p>
        </w:tc>
        <w:tc>
          <w:tcPr>
            <w:tcW w:w="3731" w:type="dxa"/>
            <w:tcBorders>
              <w:top w:val="single" w:sz="4" w:space="0" w:color="7F7F7F"/>
              <w:bottom w:val="single" w:sz="4" w:space="0" w:color="7F7F7F"/>
            </w:tcBorders>
          </w:tcPr>
          <w:p w14:paraId="2765DE52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GTTGGTACAGGGGCAACAGT</w:t>
            </w:r>
          </w:p>
        </w:tc>
      </w:tr>
      <w:tr w:rsidR="00240110" w:rsidRPr="00CF5AE6" w14:paraId="5F64C59F" w14:textId="77777777" w:rsidTr="00C1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0DEDF40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NRF-1</w:t>
            </w:r>
          </w:p>
        </w:tc>
        <w:tc>
          <w:tcPr>
            <w:tcW w:w="2335" w:type="dxa"/>
          </w:tcPr>
          <w:p w14:paraId="31277F2E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Reverse primer</w:t>
            </w:r>
          </w:p>
        </w:tc>
        <w:tc>
          <w:tcPr>
            <w:tcW w:w="3731" w:type="dxa"/>
          </w:tcPr>
          <w:p w14:paraId="5346D4F6" w14:textId="77777777" w:rsidR="00240110" w:rsidRPr="00CF5AE6" w:rsidRDefault="00240110" w:rsidP="00C119AF">
            <w:pPr>
              <w:widowControl w:val="0"/>
              <w:spacing w:before="0"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szCs w:val="24"/>
                <w:lang w:eastAsia="zh-CN"/>
              </w:rPr>
            </w:pPr>
            <w:r w:rsidRPr="00CF5AE6">
              <w:rPr>
                <w:rFonts w:eastAsia="DengXian"/>
                <w:color w:val="000000"/>
                <w:szCs w:val="24"/>
                <w:lang w:eastAsia="zh-CN"/>
              </w:rPr>
              <w:t>TCGTCTGGATGGTCATTTCA</w:t>
            </w:r>
          </w:p>
        </w:tc>
      </w:tr>
      <w:bookmarkEnd w:id="0"/>
    </w:tbl>
    <w:p w14:paraId="37FE3FF3" w14:textId="77777777" w:rsidR="00240110" w:rsidRPr="00CF5AE6" w:rsidRDefault="00240110" w:rsidP="00240110">
      <w:pPr>
        <w:rPr>
          <w:color w:val="000000"/>
          <w:lang w:eastAsia="zh-CN"/>
        </w:rPr>
      </w:pPr>
    </w:p>
    <w:p w14:paraId="1B586843" w14:textId="3A550975" w:rsidR="00240110" w:rsidRPr="00CF5AE6" w:rsidRDefault="00240110" w:rsidP="00240110">
      <w:pPr>
        <w:spacing w:line="480" w:lineRule="auto"/>
        <w:rPr>
          <w:color w:val="000000"/>
          <w:lang w:eastAsia="zh-CN"/>
        </w:rPr>
      </w:pPr>
      <w:r w:rsidRPr="00CF5AE6">
        <w:rPr>
          <w:rFonts w:hint="eastAsia"/>
          <w:color w:val="000000"/>
          <w:lang w:eastAsia="zh-CN"/>
        </w:rPr>
        <w:t xml:space="preserve">A </w:t>
      </w:r>
      <w:r w:rsidRPr="00CF5AE6">
        <w:rPr>
          <w:color w:val="000000"/>
          <w:lang w:eastAsia="zh-CN"/>
        </w:rPr>
        <w:t xml:space="preserve">                                                      </w:t>
      </w:r>
      <w:r w:rsidRPr="00CF5AE6">
        <w:rPr>
          <w:rFonts w:hint="eastAsia"/>
          <w:color w:val="000000"/>
          <w:lang w:eastAsia="zh-CN"/>
        </w:rPr>
        <w:t xml:space="preserve">    </w:t>
      </w:r>
      <w:r w:rsidRPr="00CF5AE6">
        <w:rPr>
          <w:color w:val="000000"/>
          <w:lang w:eastAsia="zh-CN"/>
        </w:rPr>
        <w:t xml:space="preserve">    </w:t>
      </w:r>
      <w:r w:rsidRPr="00CF5AE6">
        <w:rPr>
          <w:rFonts w:hint="eastAsia"/>
          <w:color w:val="000000"/>
          <w:lang w:eastAsia="zh-CN"/>
        </w:rPr>
        <w:t xml:space="preserve">    B</w:t>
      </w:r>
      <w:r w:rsidRPr="00CF5AE6">
        <w:rPr>
          <w:color w:val="000000"/>
        </w:rPr>
        <w:drawing>
          <wp:inline distT="0" distB="0" distL="0" distR="0" wp14:anchorId="73CDAD90" wp14:editId="2ACD9FC9">
            <wp:extent cx="2713914" cy="180702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463" cy="18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AE6">
        <w:rPr>
          <w:color w:val="000000"/>
        </w:rPr>
        <w:drawing>
          <wp:inline distT="0" distB="0" distL="0" distR="0" wp14:anchorId="17EF4C90" wp14:editId="561CD2BE">
            <wp:extent cx="2476137" cy="174171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656" cy="174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48538" w14:textId="4C4D276E" w:rsidR="00240110" w:rsidRPr="00CF5AE6" w:rsidRDefault="006D5543" w:rsidP="00240110">
      <w:pPr>
        <w:spacing w:line="360" w:lineRule="auto"/>
        <w:rPr>
          <w:rFonts w:cs="Times New Roman"/>
          <w:color w:val="000000"/>
          <w:szCs w:val="24"/>
        </w:rPr>
      </w:pPr>
      <w:r w:rsidRPr="00CF5AE6">
        <w:rPr>
          <w:rFonts w:cs="Times New Roman"/>
          <w:b/>
          <w:bCs/>
          <w:color w:val="000000"/>
          <w:szCs w:val="24"/>
        </w:rPr>
        <w:t>Supplementary Figure 1</w:t>
      </w:r>
      <w:r w:rsidR="00240110" w:rsidRPr="00CF5AE6">
        <w:rPr>
          <w:rFonts w:cs="Times New Roman"/>
          <w:b/>
          <w:bCs/>
          <w:color w:val="000000"/>
          <w:szCs w:val="24"/>
        </w:rPr>
        <w:t xml:space="preserve"> </w:t>
      </w:r>
      <w:r w:rsidR="00240110" w:rsidRPr="00CF5AE6">
        <w:rPr>
          <w:rFonts w:hint="eastAsia"/>
          <w:color w:val="000000"/>
          <w:szCs w:val="24"/>
          <w:lang w:eastAsia="zh-CN"/>
        </w:rPr>
        <w:t>T</w:t>
      </w:r>
      <w:r w:rsidR="00240110" w:rsidRPr="00CF5AE6">
        <w:rPr>
          <w:color w:val="000000"/>
          <w:szCs w:val="24"/>
        </w:rPr>
        <w:t>he sham (C group), the surgery and DMSO (S group), the surgery and ZLN005 (5 mg/(kg</w:t>
      </w:r>
      <w:r w:rsidR="00240110" w:rsidRPr="00CF5AE6">
        <w:rPr>
          <w:rFonts w:ascii="MS Gothic" w:eastAsia="MS Gothic" w:hAnsi="MS Gothic" w:cs="MS Gothic" w:hint="eastAsia"/>
          <w:color w:val="000000"/>
          <w:szCs w:val="24"/>
        </w:rPr>
        <w:t>⋅</w:t>
      </w:r>
      <w:r w:rsidR="00240110" w:rsidRPr="00CF5AE6">
        <w:rPr>
          <w:color w:val="000000"/>
          <w:szCs w:val="24"/>
        </w:rPr>
        <w:t>d)) (L group), and the surgery and ZLN005 (7.5 mg/(kg</w:t>
      </w:r>
      <w:r w:rsidR="00240110" w:rsidRPr="00CF5AE6">
        <w:rPr>
          <w:rFonts w:ascii="MS Gothic" w:eastAsia="MS Gothic" w:hAnsi="MS Gothic" w:cs="MS Gothic" w:hint="eastAsia"/>
          <w:color w:val="000000"/>
          <w:szCs w:val="24"/>
        </w:rPr>
        <w:t>⋅</w:t>
      </w:r>
      <w:r w:rsidR="00240110" w:rsidRPr="00CF5AE6">
        <w:rPr>
          <w:color w:val="000000"/>
          <w:szCs w:val="24"/>
        </w:rPr>
        <w:t xml:space="preserve">d)) </w:t>
      </w:r>
      <w:r w:rsidR="00240110" w:rsidRPr="00CF5AE6">
        <w:rPr>
          <w:rFonts w:hint="eastAsia"/>
          <w:color w:val="000000"/>
          <w:szCs w:val="24"/>
          <w:lang w:eastAsia="zh-CN"/>
        </w:rPr>
        <w:t xml:space="preserve"> </w:t>
      </w:r>
      <w:r w:rsidR="00240110" w:rsidRPr="00CF5AE6">
        <w:rPr>
          <w:color w:val="000000"/>
          <w:szCs w:val="24"/>
        </w:rPr>
        <w:t>(H group)</w:t>
      </w:r>
      <w:r w:rsidR="00240110" w:rsidRPr="00CF5AE6">
        <w:rPr>
          <w:rFonts w:cs="Times New Roman"/>
          <w:color w:val="000000"/>
          <w:szCs w:val="24"/>
        </w:rPr>
        <w:t xml:space="preserve"> (6 d post-surgery) mice were subjected to the open field test (n=1</w:t>
      </w:r>
      <w:r w:rsidR="00240110" w:rsidRPr="00CF5AE6">
        <w:rPr>
          <w:rFonts w:cs="Times New Roman" w:hint="eastAsia"/>
          <w:color w:val="000000"/>
          <w:szCs w:val="24"/>
          <w:lang w:eastAsia="zh-CN"/>
        </w:rPr>
        <w:t>0</w:t>
      </w:r>
      <w:r w:rsidR="00240110" w:rsidRPr="00CF5AE6">
        <w:rPr>
          <w:rFonts w:cs="Times New Roman"/>
          <w:color w:val="000000"/>
          <w:szCs w:val="24"/>
        </w:rPr>
        <w:t xml:space="preserve"> per group). </w:t>
      </w:r>
      <w:bookmarkStart w:id="1" w:name="OLE_LINK6"/>
      <w:r w:rsidR="00240110" w:rsidRPr="00CF5AE6">
        <w:rPr>
          <w:rFonts w:cs="Times New Roman"/>
          <w:color w:val="000000"/>
          <w:szCs w:val="24"/>
        </w:rPr>
        <w:t xml:space="preserve">(A) </w:t>
      </w:r>
      <w:bookmarkEnd w:id="1"/>
      <w:r w:rsidR="00240110" w:rsidRPr="00CF5AE6">
        <w:rPr>
          <w:rFonts w:cs="Times New Roman"/>
          <w:color w:val="000000"/>
          <w:szCs w:val="24"/>
        </w:rPr>
        <w:t>Total distance traveled</w:t>
      </w:r>
      <w:r w:rsidR="00240110" w:rsidRPr="00CF5AE6">
        <w:rPr>
          <w:rFonts w:cs="Times New Roman" w:hint="eastAsia"/>
          <w:color w:val="000000"/>
          <w:szCs w:val="24"/>
          <w:lang w:eastAsia="zh-CN"/>
        </w:rPr>
        <w:t>.</w:t>
      </w:r>
      <w:r w:rsidR="00240110" w:rsidRPr="00CF5AE6">
        <w:rPr>
          <w:rFonts w:cs="Times New Roman"/>
          <w:color w:val="000000"/>
          <w:szCs w:val="24"/>
        </w:rPr>
        <w:t xml:space="preserve"> (</w:t>
      </w:r>
      <w:r w:rsidR="00240110" w:rsidRPr="00CF5AE6">
        <w:rPr>
          <w:rFonts w:cs="Times New Roman" w:hint="eastAsia"/>
          <w:color w:val="000000"/>
          <w:szCs w:val="24"/>
          <w:lang w:eastAsia="zh-CN"/>
        </w:rPr>
        <w:t>B</w:t>
      </w:r>
      <w:r w:rsidR="00240110" w:rsidRPr="00CF5AE6">
        <w:rPr>
          <w:rFonts w:cs="Times New Roman"/>
          <w:color w:val="000000"/>
          <w:szCs w:val="24"/>
        </w:rPr>
        <w:t xml:space="preserve">) </w:t>
      </w:r>
      <w:r w:rsidR="00240110" w:rsidRPr="00CF5AE6">
        <w:rPr>
          <w:rFonts w:cs="Times New Roman" w:hint="eastAsia"/>
          <w:color w:val="000000"/>
          <w:szCs w:val="24"/>
          <w:lang w:eastAsia="zh-CN"/>
        </w:rPr>
        <w:t>T</w:t>
      </w:r>
      <w:r w:rsidR="00240110" w:rsidRPr="00CF5AE6">
        <w:rPr>
          <w:rFonts w:cs="Times New Roman"/>
          <w:color w:val="000000"/>
          <w:szCs w:val="24"/>
        </w:rPr>
        <w:t xml:space="preserve">ime spent in the central zone of the arena were recorded.  </w:t>
      </w:r>
      <w:r w:rsidR="00240110" w:rsidRPr="00CF5AE6">
        <w:rPr>
          <w:color w:val="000000"/>
          <w:szCs w:val="24"/>
        </w:rPr>
        <w:t xml:space="preserve"> </w:t>
      </w:r>
      <w:r w:rsidR="00240110" w:rsidRPr="00CF5AE6">
        <w:rPr>
          <w:rFonts w:hint="eastAsia"/>
          <w:color w:val="000000"/>
          <w:szCs w:val="24"/>
          <w:lang w:eastAsia="zh-CN"/>
        </w:rPr>
        <w:t>O</w:t>
      </w:r>
      <w:r w:rsidR="00240110" w:rsidRPr="00CF5AE6">
        <w:rPr>
          <w:color w:val="000000"/>
          <w:szCs w:val="24"/>
        </w:rPr>
        <w:t>ne-way analysis of variance (ANOVA)</w:t>
      </w:r>
      <w:r w:rsidR="00240110" w:rsidRPr="00CF5AE6">
        <w:rPr>
          <w:rFonts w:cs="Times New Roman"/>
          <w:color w:val="000000"/>
          <w:szCs w:val="24"/>
        </w:rPr>
        <w:t>; n.s. not significant; error bars denote the SEM.</w:t>
      </w:r>
    </w:p>
    <w:p w14:paraId="2249C5AA" w14:textId="0C485D1D" w:rsidR="00547A18" w:rsidRPr="00CF5AE6" w:rsidRDefault="00547A18">
      <w:pPr>
        <w:rPr>
          <w:color w:val="000000"/>
          <w:lang w:eastAsia="zh-CN"/>
        </w:rPr>
      </w:pPr>
    </w:p>
    <w:sectPr w:rsidR="00547A18" w:rsidRPr="00CF5AE6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0033D" w14:textId="77777777" w:rsidR="00AB1B73" w:rsidRDefault="00AB1B73" w:rsidP="00EF5A70">
      <w:pPr>
        <w:spacing w:before="0" w:after="0"/>
      </w:pPr>
      <w:r>
        <w:separator/>
      </w:r>
    </w:p>
  </w:endnote>
  <w:endnote w:type="continuationSeparator" w:id="0">
    <w:p w14:paraId="57341C93" w14:textId="77777777" w:rsidR="00AB1B73" w:rsidRDefault="00AB1B73" w:rsidP="00EF5A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003D" w14:textId="7DDD6BB0" w:rsidR="00EF5A70" w:rsidRDefault="00EF5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94B0E" wp14:editId="176897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9529004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E3B7A" w14:textId="18BC7AE9" w:rsidR="00EF5A70" w:rsidRPr="00EF5A70" w:rsidRDefault="00EF5A70" w:rsidP="00EF5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5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94B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1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textbox style="mso-fit-shape-to-text:t" inset="20pt,0,0,15pt">
                <w:txbxContent>
                  <w:p w14:paraId="2F7E3B7A" w14:textId="18BC7AE9" w:rsidR="00EF5A70" w:rsidRPr="00EF5A70" w:rsidRDefault="00EF5A70" w:rsidP="00EF5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5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260B" w14:textId="41970D41" w:rsidR="00EF5A70" w:rsidRDefault="00EF5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E4547F" wp14:editId="1AC16FA8">
              <wp:simplePos x="1148316" y="988827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5495475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258D0" w14:textId="3F861754" w:rsidR="00EF5A70" w:rsidRPr="00EF5A70" w:rsidRDefault="00EF5A70" w:rsidP="00EF5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5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45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1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" filled="f" stroked="f">
              <v:textbox style="mso-fit-shape-to-text:t" inset="20pt,0,0,15pt">
                <w:txbxContent>
                  <w:p w14:paraId="6D3258D0" w14:textId="3F861754" w:rsidR="00EF5A70" w:rsidRPr="00EF5A70" w:rsidRDefault="00EF5A70" w:rsidP="00EF5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5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27E32" w14:textId="24ABDB17" w:rsidR="00EF5A70" w:rsidRDefault="00EF5A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0B9B3" wp14:editId="78C58E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9191280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968CF" w14:textId="73E6BC77" w:rsidR="00EF5A70" w:rsidRPr="00EF5A70" w:rsidRDefault="00EF5A70" w:rsidP="00EF5A7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F5A7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0B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1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textbox style="mso-fit-shape-to-text:t" inset="20pt,0,0,15pt">
                <w:txbxContent>
                  <w:p w14:paraId="716968CF" w14:textId="73E6BC77" w:rsidR="00EF5A70" w:rsidRPr="00EF5A70" w:rsidRDefault="00EF5A70" w:rsidP="00EF5A7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F5A7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D1DF" w14:textId="77777777" w:rsidR="00AB1B73" w:rsidRDefault="00AB1B73" w:rsidP="00EF5A70">
      <w:pPr>
        <w:spacing w:before="0" w:after="0"/>
      </w:pPr>
      <w:r>
        <w:separator/>
      </w:r>
    </w:p>
  </w:footnote>
  <w:footnote w:type="continuationSeparator" w:id="0">
    <w:p w14:paraId="16424AE8" w14:textId="77777777" w:rsidR="00AB1B73" w:rsidRDefault="00AB1B73" w:rsidP="00EF5A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 w16cid:durableId="873031826">
    <w:abstractNumId w:val="0"/>
    <w:lvlOverride w:ilvl="0">
      <w:lvl w:ilvl="0" w:tentative="1">
        <w:start w:val="1"/>
        <w:numFmt w:val="decimal"/>
        <w:pStyle w:val="Heading1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Heading2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oNotTrackFormatting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10"/>
    <w:rsid w:val="001E6490"/>
    <w:rsid w:val="00240110"/>
    <w:rsid w:val="00334D1E"/>
    <w:rsid w:val="003E6595"/>
    <w:rsid w:val="00547A18"/>
    <w:rsid w:val="005D3155"/>
    <w:rsid w:val="00617720"/>
    <w:rsid w:val="00641794"/>
    <w:rsid w:val="006D5543"/>
    <w:rsid w:val="00A54401"/>
    <w:rsid w:val="00AB1B73"/>
    <w:rsid w:val="00AB3ABA"/>
    <w:rsid w:val="00B26901"/>
    <w:rsid w:val="00BC7FC6"/>
    <w:rsid w:val="00CA7142"/>
    <w:rsid w:val="00CF5AE6"/>
    <w:rsid w:val="00D67BF5"/>
    <w:rsid w:val="00DE694E"/>
    <w:rsid w:val="00EF5A70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47FF"/>
  <w15:chartTrackingRefBased/>
  <w15:docId w15:val="{58D622A2-41A2-4470-A6B0-92529DF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10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240110"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40110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240110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40110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240110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qFormat/>
    <w:rsid w:val="0024011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qFormat/>
    <w:rsid w:val="00240110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240110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24011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40110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table" w:customStyle="1" w:styleId="21">
    <w:name w:val="无格式表格 21"/>
    <w:basedOn w:val="TableNormal"/>
    <w:uiPriority w:val="42"/>
    <w:qFormat/>
    <w:rsid w:val="00240110"/>
    <w:rPr>
      <w:rFonts w:ascii="DengXian" w:eastAsia="SimSun" w:hAnsi="DengXian" w:cs="Times New Roman"/>
      <w:kern w:val="0"/>
      <w:sz w:val="20"/>
      <w:szCs w:val="20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240110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unhideWhenUsed/>
    <w:rsid w:val="00EF5A7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5A70"/>
    <w:rPr>
      <w:rFonts w:ascii="Times New Roman" w:hAnsi="Times New Roman"/>
      <w:kern w:val="0"/>
      <w:sz w:val="24"/>
      <w:lang w:eastAsia="en-US"/>
    </w:rPr>
  </w:style>
  <w:style w:type="paragraph" w:styleId="Revision">
    <w:name w:val="Revision"/>
    <w:hidden/>
    <w:uiPriority w:val="99"/>
    <w:semiHidden/>
    <w:rsid w:val="006D5543"/>
    <w:rPr>
      <w:rFonts w:ascii="Times New Roman" w:hAnsi="Times New Roman"/>
      <w:kern w:val="0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5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543"/>
    <w:rPr>
      <w:rFonts w:ascii="Times New Roman" w:hAnsi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543"/>
    <w:rPr>
      <w:rFonts w:ascii="Times New Roman" w:hAnsi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孙</dc:creator>
  <cp:keywords/>
  <dc:description/>
  <cp:lastModifiedBy>Shaw, Grace</cp:lastModifiedBy>
  <cp:revision>2</cp:revision>
  <dcterms:created xsi:type="dcterms:W3CDTF">2024-10-25T00:38:00Z</dcterms:created>
  <dcterms:modified xsi:type="dcterms:W3CDTF">2024-10-25T00:38:00Z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36c8c7cc,7466e580,5c5c383e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2024-10-23T02:27:51Z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a83f57d4-4a78-4739-a928-f6e5afd3c323</vt:lpwstr>
  </property>
  <property fmtid="{D5CDD505-2E9C-101B-9397-08002B2CF9AE}" pid="11" name="MSIP_Label_2bbab825-a111-45e4-86a1-18cee0005896_ContentBits">
    <vt:lpwstr>2</vt:lpwstr>
  </property>
</Properties>
</file>