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80CB" w14:textId="7B4F6EAD" w:rsidR="002A0F5D" w:rsidRPr="006C68C4" w:rsidRDefault="002A0F5D" w:rsidP="002A0F5D">
      <w:pPr>
        <w:spacing w:line="480" w:lineRule="auto"/>
        <w:jc w:val="both"/>
        <w:rPr>
          <w:rFonts w:ascii="Arial" w:hAnsi="Arial" w:cs="Arial"/>
          <w:b/>
          <w:bCs/>
          <w:szCs w:val="28"/>
          <w:lang w:val="en-US"/>
        </w:rPr>
      </w:pPr>
      <w:r w:rsidRPr="006C68C4">
        <w:rPr>
          <w:rFonts w:ascii="Arial" w:hAnsi="Arial" w:cs="Arial"/>
          <w:b/>
          <w:bCs/>
          <w:szCs w:val="28"/>
          <w:lang w:val="en-US"/>
        </w:rPr>
        <w:t>Dose escalation patterns and associated costs of advanced therapies for Ulcerative Colitis in France and the United Kingdom: a retrospective database analysis</w:t>
      </w:r>
    </w:p>
    <w:p w14:paraId="3FFA355A" w14:textId="5098E604" w:rsidR="002A0F5D" w:rsidRPr="006C68C4" w:rsidRDefault="002A0F5D" w:rsidP="002A0F5D">
      <w:pPr>
        <w:spacing w:after="60"/>
        <w:rPr>
          <w:rFonts w:ascii="Arial" w:hAnsi="Arial" w:cs="Arial"/>
          <w:b/>
          <w:bCs/>
          <w:lang w:val="en-US"/>
        </w:rPr>
      </w:pPr>
      <w:r w:rsidRPr="006C68C4">
        <w:rPr>
          <w:rFonts w:ascii="Arial" w:hAnsi="Arial" w:cs="Arial"/>
          <w:b/>
          <w:bCs/>
          <w:lang w:val="en-US"/>
        </w:rPr>
        <w:t>Supplementary Data</w:t>
      </w:r>
    </w:p>
    <w:p w14:paraId="1017A625" w14:textId="76CBA1ED" w:rsidR="002A0F5D" w:rsidRDefault="002A0F5D" w:rsidP="002A0F5D">
      <w:pPr>
        <w:spacing w:after="60"/>
        <w:rPr>
          <w:rFonts w:ascii="Arial" w:hAnsi="Arial" w:cs="Arial"/>
          <w:b/>
          <w:bCs/>
        </w:rPr>
      </w:pPr>
    </w:p>
    <w:p w14:paraId="7CDD8C4B" w14:textId="6114E3BC" w:rsidR="002A0F5D" w:rsidRDefault="002A0F5D" w:rsidP="002A0F5D">
      <w:pPr>
        <w:spacing w:after="60"/>
        <w:rPr>
          <w:rFonts w:ascii="Arial" w:hAnsi="Arial" w:cs="Arial"/>
          <w:b/>
          <w:bCs/>
        </w:rPr>
      </w:pPr>
      <w:r w:rsidRPr="006C68C4">
        <w:rPr>
          <w:rFonts w:ascii="Arial" w:hAnsi="Arial" w:cs="Arial"/>
          <w:b/>
          <w:bCs/>
        </w:rPr>
        <w:t>Supplementary Table 1. Local codes used for UC diagnosis in the THIN-France and THIN-UK</w:t>
      </w:r>
    </w:p>
    <w:p w14:paraId="1B74F4FB" w14:textId="77777777" w:rsidR="006C68C4" w:rsidRPr="006C68C4" w:rsidRDefault="006C68C4" w:rsidP="002A0F5D">
      <w:pPr>
        <w:spacing w:after="60"/>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4035"/>
      </w:tblGrid>
      <w:tr w:rsidR="002A0F5D" w:rsidRPr="006C68C4" w14:paraId="48183ADC" w14:textId="77777777" w:rsidTr="00BA04E9">
        <w:trPr>
          <w:tblHeader/>
        </w:trPr>
        <w:tc>
          <w:tcPr>
            <w:tcW w:w="2625" w:type="pct"/>
            <w:shd w:val="clear" w:color="auto" w:fill="auto"/>
            <w:vAlign w:val="center"/>
          </w:tcPr>
          <w:p w14:paraId="5A5C07D7" w14:textId="77777777" w:rsidR="002A0F5D" w:rsidRPr="006C68C4" w:rsidRDefault="002A0F5D" w:rsidP="00BA04E9">
            <w:pPr>
              <w:spacing w:after="60" w:line="240" w:lineRule="auto"/>
              <w:jc w:val="both"/>
              <w:rPr>
                <w:rFonts w:ascii="Arial" w:hAnsi="Arial" w:cs="Arial"/>
                <w:b/>
                <w:i/>
                <w:szCs w:val="24"/>
                <w:lang w:val="en-GB"/>
              </w:rPr>
            </w:pPr>
            <w:r w:rsidRPr="006C68C4">
              <w:rPr>
                <w:rFonts w:ascii="Arial" w:hAnsi="Arial" w:cs="Arial"/>
                <w:b/>
                <w:i/>
                <w:szCs w:val="24"/>
                <w:lang w:val="en-GB"/>
              </w:rPr>
              <w:t>Original local France codification</w:t>
            </w:r>
          </w:p>
        </w:tc>
        <w:tc>
          <w:tcPr>
            <w:tcW w:w="2375" w:type="pct"/>
          </w:tcPr>
          <w:p w14:paraId="17A5A0D8" w14:textId="77777777" w:rsidR="002A0F5D" w:rsidRPr="006C68C4" w:rsidRDefault="002A0F5D" w:rsidP="00BA04E9">
            <w:pPr>
              <w:spacing w:after="60" w:line="240" w:lineRule="auto"/>
              <w:jc w:val="both"/>
              <w:rPr>
                <w:rFonts w:ascii="Arial" w:hAnsi="Arial" w:cs="Arial"/>
                <w:b/>
                <w:i/>
                <w:szCs w:val="24"/>
                <w:lang w:val="en-GB"/>
              </w:rPr>
            </w:pPr>
            <w:r w:rsidRPr="006C68C4">
              <w:rPr>
                <w:rFonts w:ascii="Arial" w:hAnsi="Arial" w:cs="Arial"/>
                <w:b/>
                <w:i/>
                <w:szCs w:val="24"/>
                <w:lang w:val="en-GB"/>
              </w:rPr>
              <w:t>Local UK Codification</w:t>
            </w:r>
          </w:p>
        </w:tc>
      </w:tr>
      <w:tr w:rsidR="002A0F5D" w:rsidRPr="006C68C4" w14:paraId="626D58FB" w14:textId="77777777" w:rsidTr="00BA04E9">
        <w:trPr>
          <w:trHeight w:val="450"/>
        </w:trPr>
        <w:tc>
          <w:tcPr>
            <w:tcW w:w="2625" w:type="pct"/>
            <w:vMerge w:val="restart"/>
            <w:shd w:val="clear" w:color="auto" w:fill="auto"/>
          </w:tcPr>
          <w:p w14:paraId="6496F332"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BCB.10006445</w:t>
            </w:r>
            <w:r w:rsidRPr="006C68C4">
              <w:rPr>
                <w:rFonts w:ascii="Arial" w:hAnsi="Arial" w:cs="Arial"/>
                <w:i/>
                <w:szCs w:val="24"/>
                <w:lang w:val="fr-FR"/>
              </w:rPr>
              <w:tab/>
            </w:r>
            <w:proofErr w:type="spellStart"/>
            <w:r w:rsidRPr="006C68C4">
              <w:rPr>
                <w:rFonts w:ascii="Arial" w:hAnsi="Arial" w:cs="Arial"/>
                <w:i/>
                <w:szCs w:val="24"/>
                <w:lang w:val="fr-FR"/>
              </w:rPr>
              <w:t>Entéro-colite</w:t>
            </w:r>
            <w:proofErr w:type="spellEnd"/>
            <w:r w:rsidRPr="006C68C4">
              <w:rPr>
                <w:rFonts w:ascii="Arial" w:hAnsi="Arial" w:cs="Arial"/>
                <w:i/>
                <w:szCs w:val="24"/>
                <w:lang w:val="fr-FR"/>
              </w:rPr>
              <w:t xml:space="preserve"> ulcéreuse (chronique)</w:t>
            </w:r>
          </w:p>
          <w:p w14:paraId="0DFCA6E0"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BCB.10006452</w:t>
            </w:r>
            <w:r w:rsidRPr="006C68C4">
              <w:rPr>
                <w:rFonts w:ascii="Arial" w:hAnsi="Arial" w:cs="Arial"/>
                <w:i/>
                <w:szCs w:val="24"/>
                <w:lang w:val="fr-FR"/>
              </w:rPr>
              <w:tab/>
              <w:t>Recto-colite hémorragique (RCH), sans précision</w:t>
            </w:r>
          </w:p>
          <w:p w14:paraId="309A8D75"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BCB.10006607</w:t>
            </w:r>
            <w:r w:rsidRPr="006C68C4">
              <w:rPr>
                <w:rFonts w:ascii="Arial" w:hAnsi="Arial" w:cs="Arial"/>
                <w:i/>
                <w:szCs w:val="24"/>
                <w:lang w:val="fr-FR"/>
              </w:rPr>
              <w:tab/>
              <w:t>Colite hémorragique</w:t>
            </w:r>
          </w:p>
          <w:p w14:paraId="3431902E"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BCB.10006446</w:t>
            </w:r>
            <w:r w:rsidRPr="006C68C4">
              <w:rPr>
                <w:rFonts w:ascii="Arial" w:hAnsi="Arial" w:cs="Arial"/>
                <w:i/>
                <w:szCs w:val="24"/>
                <w:lang w:val="fr-FR"/>
              </w:rPr>
              <w:tab/>
              <w:t>Iléo-colite ulcéreuse (chronique)</w:t>
            </w:r>
          </w:p>
          <w:p w14:paraId="6C7503E8"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BCB.10006454</w:t>
            </w:r>
            <w:r w:rsidRPr="006C68C4">
              <w:rPr>
                <w:rFonts w:ascii="Arial" w:hAnsi="Arial" w:cs="Arial"/>
                <w:i/>
                <w:szCs w:val="24"/>
                <w:lang w:val="fr-FR"/>
              </w:rPr>
              <w:tab/>
              <w:t>Colite chronique ulcéreuse</w:t>
            </w:r>
          </w:p>
          <w:p w14:paraId="6023DB42"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BCB.10006453</w:t>
            </w:r>
            <w:r w:rsidRPr="006C68C4">
              <w:rPr>
                <w:rFonts w:ascii="Arial" w:hAnsi="Arial" w:cs="Arial"/>
                <w:i/>
                <w:szCs w:val="24"/>
                <w:lang w:val="fr-FR"/>
              </w:rPr>
              <w:tab/>
            </w:r>
            <w:proofErr w:type="spellStart"/>
            <w:r w:rsidRPr="006C68C4">
              <w:rPr>
                <w:rFonts w:ascii="Arial" w:hAnsi="Arial" w:cs="Arial"/>
                <w:i/>
                <w:szCs w:val="24"/>
                <w:lang w:val="fr-FR"/>
              </w:rPr>
              <w:t>Pan-colite</w:t>
            </w:r>
            <w:proofErr w:type="spellEnd"/>
            <w:r w:rsidRPr="006C68C4">
              <w:rPr>
                <w:rFonts w:ascii="Arial" w:hAnsi="Arial" w:cs="Arial"/>
                <w:i/>
                <w:szCs w:val="24"/>
                <w:lang w:val="fr-FR"/>
              </w:rPr>
              <w:t xml:space="preserve"> ulcéreuse</w:t>
            </w:r>
          </w:p>
          <w:p w14:paraId="5A9F561B"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BCB.10032466</w:t>
            </w:r>
            <w:r w:rsidRPr="006C68C4">
              <w:rPr>
                <w:rFonts w:ascii="Arial" w:hAnsi="Arial" w:cs="Arial"/>
                <w:i/>
                <w:szCs w:val="24"/>
                <w:lang w:val="fr-FR"/>
              </w:rPr>
              <w:tab/>
              <w:t xml:space="preserve">Recto-colite </w:t>
            </w:r>
            <w:proofErr w:type="spellStart"/>
            <w:r w:rsidRPr="006C68C4">
              <w:rPr>
                <w:rFonts w:ascii="Arial" w:hAnsi="Arial" w:cs="Arial"/>
                <w:i/>
                <w:szCs w:val="24"/>
                <w:lang w:val="fr-FR"/>
              </w:rPr>
              <w:t>hémoragique</w:t>
            </w:r>
            <w:proofErr w:type="spellEnd"/>
            <w:r w:rsidRPr="006C68C4">
              <w:rPr>
                <w:rFonts w:ascii="Arial" w:hAnsi="Arial" w:cs="Arial"/>
                <w:i/>
                <w:szCs w:val="24"/>
                <w:lang w:val="fr-FR"/>
              </w:rPr>
              <w:t xml:space="preserve"> en rémission</w:t>
            </w:r>
          </w:p>
          <w:p w14:paraId="2DB72F90"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BCB.10032216</w:t>
            </w:r>
            <w:r w:rsidRPr="006C68C4">
              <w:rPr>
                <w:rFonts w:ascii="Arial" w:hAnsi="Arial" w:cs="Arial"/>
                <w:i/>
                <w:szCs w:val="24"/>
                <w:lang w:val="fr-FR"/>
              </w:rPr>
              <w:tab/>
              <w:t xml:space="preserve">Recto-colite </w:t>
            </w:r>
            <w:proofErr w:type="spellStart"/>
            <w:r w:rsidRPr="006C68C4">
              <w:rPr>
                <w:rFonts w:ascii="Arial" w:hAnsi="Arial" w:cs="Arial"/>
                <w:i/>
                <w:szCs w:val="24"/>
                <w:lang w:val="fr-FR"/>
              </w:rPr>
              <w:t>hemorragique</w:t>
            </w:r>
            <w:proofErr w:type="spellEnd"/>
          </w:p>
          <w:p w14:paraId="67A87469"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BCB.40061</w:t>
            </w:r>
            <w:r w:rsidRPr="006C68C4">
              <w:rPr>
                <w:rFonts w:ascii="Arial" w:hAnsi="Arial" w:cs="Arial"/>
                <w:i/>
                <w:szCs w:val="24"/>
                <w:lang w:val="fr-FR"/>
              </w:rPr>
              <w:tab/>
              <w:t xml:space="preserve">           Rectocolite hémorragique (RCH)</w:t>
            </w:r>
          </w:p>
          <w:p w14:paraId="4486DCD3"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BCB.10015677</w:t>
            </w:r>
            <w:r w:rsidRPr="006C68C4">
              <w:rPr>
                <w:rFonts w:ascii="Arial" w:hAnsi="Arial" w:cs="Arial"/>
                <w:i/>
                <w:szCs w:val="24"/>
                <w:lang w:val="fr-FR"/>
              </w:rPr>
              <w:tab/>
              <w:t xml:space="preserve">Recto-colite </w:t>
            </w:r>
            <w:r w:rsidRPr="006C68C4">
              <w:rPr>
                <w:rFonts w:ascii="Arial" w:hAnsi="Arial" w:cs="Arial"/>
                <w:i/>
                <w:szCs w:val="24"/>
                <w:lang w:val="fr-FR"/>
              </w:rPr>
              <w:pgNum/>
            </w:r>
            <w:proofErr w:type="spellStart"/>
            <w:r w:rsidRPr="006C68C4">
              <w:rPr>
                <w:rFonts w:ascii="Arial" w:hAnsi="Arial" w:cs="Arial"/>
                <w:i/>
                <w:szCs w:val="24"/>
                <w:lang w:val="fr-FR"/>
              </w:rPr>
              <w:t>émorragique</w:t>
            </w:r>
            <w:proofErr w:type="spellEnd"/>
            <w:r w:rsidRPr="006C68C4">
              <w:rPr>
                <w:rFonts w:ascii="Arial" w:hAnsi="Arial" w:cs="Arial"/>
                <w:i/>
                <w:szCs w:val="24"/>
                <w:lang w:val="fr-FR"/>
              </w:rPr>
              <w:t xml:space="preserve"> en poussée</w:t>
            </w:r>
          </w:p>
          <w:p w14:paraId="04D26E16"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BCB.24020</w:t>
            </w:r>
            <w:r w:rsidRPr="006C68C4">
              <w:rPr>
                <w:rFonts w:ascii="Arial" w:hAnsi="Arial" w:cs="Arial"/>
                <w:i/>
                <w:szCs w:val="24"/>
                <w:lang w:val="fr-FR"/>
              </w:rPr>
              <w:tab/>
              <w:t>Rectocolite hémorragique</w:t>
            </w:r>
          </w:p>
          <w:p w14:paraId="17D5F6E5"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BCB.10000999</w:t>
            </w:r>
            <w:r w:rsidRPr="006C68C4">
              <w:rPr>
                <w:rFonts w:ascii="Arial" w:hAnsi="Arial" w:cs="Arial"/>
                <w:i/>
                <w:szCs w:val="24"/>
                <w:lang w:val="fr-FR"/>
              </w:rPr>
              <w:tab/>
              <w:t>Recto-colite hémorragique</w:t>
            </w:r>
          </w:p>
          <w:p w14:paraId="066D6BD0"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BCB.10006447</w:t>
            </w:r>
            <w:r w:rsidRPr="006C68C4">
              <w:rPr>
                <w:rFonts w:ascii="Arial" w:hAnsi="Arial" w:cs="Arial"/>
                <w:i/>
                <w:szCs w:val="24"/>
                <w:lang w:val="fr-FR"/>
              </w:rPr>
              <w:tab/>
              <w:t>Rectite ulcéreuse (chronique)</w:t>
            </w:r>
          </w:p>
          <w:p w14:paraId="2ECDBC04" w14:textId="77777777" w:rsidR="002A0F5D" w:rsidRPr="006C68C4" w:rsidRDefault="002A0F5D" w:rsidP="00BA04E9">
            <w:pPr>
              <w:spacing w:after="60" w:line="240" w:lineRule="auto"/>
              <w:jc w:val="both"/>
              <w:rPr>
                <w:rFonts w:ascii="Arial" w:hAnsi="Arial" w:cs="Arial"/>
                <w:i/>
                <w:szCs w:val="24"/>
                <w:lang w:val="fr-FR"/>
              </w:rPr>
            </w:pPr>
            <w:r w:rsidRPr="006C68C4">
              <w:rPr>
                <w:rFonts w:ascii="Arial" w:hAnsi="Arial" w:cs="Arial"/>
                <w:i/>
                <w:szCs w:val="24"/>
                <w:lang w:val="fr-FR"/>
              </w:rPr>
              <w:t>BCB.10006448</w:t>
            </w:r>
            <w:r w:rsidRPr="006C68C4">
              <w:rPr>
                <w:rFonts w:ascii="Arial" w:hAnsi="Arial" w:cs="Arial"/>
                <w:i/>
                <w:szCs w:val="24"/>
                <w:lang w:val="fr-FR"/>
              </w:rPr>
              <w:tab/>
              <w:t>Recto-sigmoïdite ulcéreuse (chronique)</w:t>
            </w:r>
          </w:p>
        </w:tc>
        <w:tc>
          <w:tcPr>
            <w:tcW w:w="2375" w:type="pct"/>
            <w:vMerge w:val="restart"/>
          </w:tcPr>
          <w:p w14:paraId="25B2BACC"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INUK.14C4.11</w:t>
            </w:r>
            <w:r w:rsidRPr="006C68C4">
              <w:rPr>
                <w:rFonts w:ascii="Arial" w:hAnsi="Arial" w:cs="Arial"/>
                <w:i/>
                <w:szCs w:val="24"/>
                <w:lang w:val="en-GB"/>
              </w:rPr>
              <w:tab/>
              <w:t>H/O: ulcerative colitis</w:t>
            </w:r>
          </w:p>
          <w:p w14:paraId="54B4F9AD"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INUK.J41.12</w:t>
            </w:r>
            <w:r w:rsidRPr="006C68C4">
              <w:rPr>
                <w:rFonts w:ascii="Arial" w:hAnsi="Arial" w:cs="Arial"/>
                <w:i/>
                <w:szCs w:val="24"/>
                <w:lang w:val="en-GB"/>
              </w:rPr>
              <w:tab/>
              <w:t>Ulcerative colitis and/or proctitis</w:t>
            </w:r>
          </w:p>
          <w:p w14:paraId="3DDB4C52"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INUK.J410.00</w:t>
            </w:r>
            <w:r w:rsidRPr="006C68C4">
              <w:rPr>
                <w:rFonts w:ascii="Arial" w:hAnsi="Arial" w:cs="Arial"/>
                <w:i/>
                <w:szCs w:val="24"/>
                <w:lang w:val="en-GB"/>
              </w:rPr>
              <w:tab/>
              <w:t>Ulcerative proctocolitis</w:t>
            </w:r>
          </w:p>
          <w:p w14:paraId="210BC3E7"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INUK.J410000</w:t>
            </w:r>
            <w:r w:rsidRPr="006C68C4">
              <w:rPr>
                <w:rFonts w:ascii="Arial" w:hAnsi="Arial" w:cs="Arial"/>
                <w:i/>
                <w:szCs w:val="24"/>
                <w:lang w:val="en-GB"/>
              </w:rPr>
              <w:tab/>
              <w:t xml:space="preserve">Ulcerative </w:t>
            </w:r>
            <w:proofErr w:type="spellStart"/>
            <w:r w:rsidRPr="006C68C4">
              <w:rPr>
                <w:rFonts w:ascii="Arial" w:hAnsi="Arial" w:cs="Arial"/>
                <w:i/>
                <w:szCs w:val="24"/>
                <w:lang w:val="en-GB"/>
              </w:rPr>
              <w:t>ileocolitis</w:t>
            </w:r>
            <w:proofErr w:type="spellEnd"/>
          </w:p>
          <w:p w14:paraId="5B672DCA"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INUK.J410100</w:t>
            </w:r>
            <w:r w:rsidRPr="006C68C4">
              <w:rPr>
                <w:rFonts w:ascii="Arial" w:hAnsi="Arial" w:cs="Arial"/>
                <w:i/>
                <w:szCs w:val="24"/>
                <w:lang w:val="en-GB"/>
              </w:rPr>
              <w:tab/>
              <w:t>Ulcerative colitis</w:t>
            </w:r>
          </w:p>
          <w:p w14:paraId="2054730E"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INUK.J410400</w:t>
            </w:r>
            <w:r w:rsidRPr="006C68C4">
              <w:rPr>
                <w:rFonts w:ascii="Arial" w:hAnsi="Arial" w:cs="Arial"/>
                <w:i/>
                <w:szCs w:val="24"/>
                <w:lang w:val="en-GB"/>
              </w:rPr>
              <w:tab/>
              <w:t>Exacerbation of ulcerative colitis</w:t>
            </w:r>
          </w:p>
          <w:p w14:paraId="62CE9D4D"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INUK.J411.00</w:t>
            </w:r>
            <w:r w:rsidRPr="006C68C4">
              <w:rPr>
                <w:rFonts w:ascii="Arial" w:hAnsi="Arial" w:cs="Arial"/>
                <w:i/>
                <w:szCs w:val="24"/>
                <w:lang w:val="en-GB"/>
              </w:rPr>
              <w:tab/>
              <w:t>Ulcerative (chronic) enterocolitis</w:t>
            </w:r>
          </w:p>
          <w:p w14:paraId="2B757C2C"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INUK.J412.00</w:t>
            </w:r>
            <w:r w:rsidRPr="006C68C4">
              <w:rPr>
                <w:rFonts w:ascii="Arial" w:hAnsi="Arial" w:cs="Arial"/>
                <w:i/>
                <w:szCs w:val="24"/>
                <w:lang w:val="en-GB"/>
              </w:rPr>
              <w:tab/>
              <w:t xml:space="preserve">Ulcerative (chronic) </w:t>
            </w:r>
            <w:proofErr w:type="spellStart"/>
            <w:r w:rsidRPr="006C68C4">
              <w:rPr>
                <w:rFonts w:ascii="Arial" w:hAnsi="Arial" w:cs="Arial"/>
                <w:i/>
                <w:szCs w:val="24"/>
                <w:lang w:val="en-GB"/>
              </w:rPr>
              <w:t>ileocolitis</w:t>
            </w:r>
            <w:proofErr w:type="spellEnd"/>
          </w:p>
          <w:p w14:paraId="55297EB9"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INUK.J413.00</w:t>
            </w:r>
            <w:r w:rsidRPr="006C68C4">
              <w:rPr>
                <w:rFonts w:ascii="Arial" w:hAnsi="Arial" w:cs="Arial"/>
                <w:i/>
                <w:szCs w:val="24"/>
                <w:lang w:val="en-GB"/>
              </w:rPr>
              <w:tab/>
              <w:t>Ulcerative pancolitis</w:t>
            </w:r>
          </w:p>
          <w:p w14:paraId="33EF57C6"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INUK.Jyu4100</w:t>
            </w:r>
            <w:r w:rsidRPr="006C68C4">
              <w:rPr>
                <w:rFonts w:ascii="Arial" w:hAnsi="Arial" w:cs="Arial"/>
                <w:i/>
                <w:szCs w:val="24"/>
                <w:lang w:val="en-GB"/>
              </w:rPr>
              <w:tab/>
              <w:t>[X]Other ulcerative colitis</w:t>
            </w:r>
          </w:p>
          <w:p w14:paraId="0007153C"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INUK.N031000</w:t>
            </w:r>
            <w:r w:rsidRPr="006C68C4">
              <w:rPr>
                <w:rFonts w:ascii="Arial" w:hAnsi="Arial" w:cs="Arial"/>
                <w:i/>
                <w:szCs w:val="24"/>
                <w:lang w:val="en-GB"/>
              </w:rPr>
              <w:tab/>
              <w:t>Arthropathy in ulcerative colitis</w:t>
            </w:r>
          </w:p>
          <w:p w14:paraId="2AC64B28"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INUK.N045400</w:t>
            </w:r>
            <w:r w:rsidRPr="006C68C4">
              <w:rPr>
                <w:rFonts w:ascii="Arial" w:hAnsi="Arial" w:cs="Arial"/>
                <w:i/>
                <w:szCs w:val="24"/>
                <w:lang w:val="en-GB"/>
              </w:rPr>
              <w:tab/>
              <w:t>Juvenile arthritis in ulcerative colitis</w:t>
            </w:r>
          </w:p>
          <w:p w14:paraId="143E0564"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INUK.J410300</w:t>
            </w:r>
            <w:r w:rsidRPr="006C68C4">
              <w:rPr>
                <w:rFonts w:ascii="Arial" w:hAnsi="Arial" w:cs="Arial"/>
                <w:i/>
                <w:szCs w:val="24"/>
                <w:lang w:val="en-GB"/>
              </w:rPr>
              <w:tab/>
              <w:t>Ulcerative proctitis</w:t>
            </w:r>
          </w:p>
          <w:p w14:paraId="2A6195DC"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INUK.J410200</w:t>
            </w:r>
            <w:r w:rsidRPr="006C68C4">
              <w:rPr>
                <w:rFonts w:ascii="Arial" w:hAnsi="Arial" w:cs="Arial"/>
                <w:i/>
                <w:szCs w:val="24"/>
                <w:lang w:val="en-GB"/>
              </w:rPr>
              <w:tab/>
              <w:t xml:space="preserve">Ulcerative </w:t>
            </w:r>
            <w:proofErr w:type="spellStart"/>
            <w:r w:rsidRPr="006C68C4">
              <w:rPr>
                <w:rFonts w:ascii="Arial" w:hAnsi="Arial" w:cs="Arial"/>
                <w:i/>
                <w:szCs w:val="24"/>
                <w:lang w:val="en-GB"/>
              </w:rPr>
              <w:t>rectosigmoiditis</w:t>
            </w:r>
            <w:proofErr w:type="spellEnd"/>
          </w:p>
          <w:p w14:paraId="7CBEEC2A" w14:textId="77777777" w:rsidR="002A0F5D" w:rsidRPr="006C68C4" w:rsidRDefault="002A0F5D" w:rsidP="00BA04E9">
            <w:pPr>
              <w:spacing w:after="60" w:line="240" w:lineRule="auto"/>
              <w:jc w:val="both"/>
              <w:rPr>
                <w:rFonts w:ascii="Arial" w:hAnsi="Arial" w:cs="Arial"/>
                <w:i/>
                <w:szCs w:val="24"/>
                <w:lang w:val="en-GB"/>
              </w:rPr>
            </w:pPr>
            <w:proofErr w:type="spellStart"/>
            <w:r w:rsidRPr="006C68C4">
              <w:rPr>
                <w:rFonts w:ascii="Arial" w:hAnsi="Arial" w:cs="Arial"/>
                <w:i/>
                <w:szCs w:val="24"/>
                <w:lang w:val="en-GB"/>
              </w:rPr>
              <w:t>Rectocolitis</w:t>
            </w:r>
            <w:proofErr w:type="spellEnd"/>
            <w:r w:rsidRPr="006C68C4">
              <w:rPr>
                <w:rFonts w:ascii="Arial" w:hAnsi="Arial" w:cs="Arial"/>
                <w:i/>
                <w:szCs w:val="24"/>
                <w:lang w:val="en-GB"/>
              </w:rPr>
              <w:t>, haemorrhagic</w:t>
            </w:r>
          </w:p>
          <w:p w14:paraId="4376FFE4" w14:textId="77777777" w:rsidR="002A0F5D" w:rsidRPr="006C68C4" w:rsidRDefault="002A0F5D" w:rsidP="00BA04E9">
            <w:pPr>
              <w:spacing w:after="60" w:line="240" w:lineRule="auto"/>
              <w:jc w:val="both"/>
              <w:rPr>
                <w:rFonts w:ascii="Arial" w:hAnsi="Arial" w:cs="Arial"/>
                <w:i/>
                <w:szCs w:val="24"/>
                <w:lang w:val="en-GB"/>
              </w:rPr>
            </w:pPr>
            <w:proofErr w:type="spellStart"/>
            <w:r w:rsidRPr="006C68C4">
              <w:rPr>
                <w:rFonts w:ascii="Arial" w:hAnsi="Arial" w:cs="Arial"/>
                <w:i/>
                <w:szCs w:val="24"/>
                <w:lang w:val="en-GB"/>
              </w:rPr>
              <w:t>Rectocolitis</w:t>
            </w:r>
            <w:proofErr w:type="spellEnd"/>
            <w:r w:rsidRPr="006C68C4">
              <w:rPr>
                <w:rFonts w:ascii="Arial" w:hAnsi="Arial" w:cs="Arial"/>
                <w:i/>
                <w:szCs w:val="24"/>
                <w:lang w:val="en-GB"/>
              </w:rPr>
              <w:t>, haemorrhagic (RCH)</w:t>
            </w:r>
          </w:p>
          <w:p w14:paraId="4743B8C0" w14:textId="77777777" w:rsidR="002A0F5D" w:rsidRPr="006C68C4" w:rsidRDefault="002A0F5D" w:rsidP="00BA04E9">
            <w:pPr>
              <w:spacing w:after="60" w:line="240" w:lineRule="auto"/>
              <w:jc w:val="both"/>
              <w:rPr>
                <w:rFonts w:ascii="Arial" w:hAnsi="Arial" w:cs="Arial"/>
                <w:i/>
                <w:szCs w:val="24"/>
                <w:lang w:val="en-GB"/>
              </w:rPr>
            </w:pPr>
            <w:proofErr w:type="spellStart"/>
            <w:r w:rsidRPr="006C68C4">
              <w:rPr>
                <w:rFonts w:ascii="Arial" w:hAnsi="Arial" w:cs="Arial"/>
                <w:i/>
                <w:szCs w:val="24"/>
                <w:lang w:val="en-GB"/>
              </w:rPr>
              <w:t>Rectocolitis</w:t>
            </w:r>
            <w:proofErr w:type="spellEnd"/>
            <w:r w:rsidRPr="006C68C4">
              <w:rPr>
                <w:rFonts w:ascii="Arial" w:hAnsi="Arial" w:cs="Arial"/>
                <w:i/>
                <w:szCs w:val="24"/>
                <w:lang w:val="en-GB"/>
              </w:rPr>
              <w:t>, haemorrhagic acute episode</w:t>
            </w:r>
          </w:p>
          <w:p w14:paraId="0C137F4F" w14:textId="77777777" w:rsidR="002A0F5D" w:rsidRPr="006C68C4" w:rsidRDefault="002A0F5D" w:rsidP="00BA04E9">
            <w:pPr>
              <w:spacing w:after="60" w:line="240" w:lineRule="auto"/>
              <w:jc w:val="both"/>
              <w:rPr>
                <w:rFonts w:ascii="Arial" w:hAnsi="Arial" w:cs="Arial"/>
                <w:i/>
                <w:szCs w:val="24"/>
                <w:lang w:val="en-GB"/>
              </w:rPr>
            </w:pPr>
            <w:proofErr w:type="spellStart"/>
            <w:r w:rsidRPr="006C68C4">
              <w:rPr>
                <w:rFonts w:ascii="Arial" w:hAnsi="Arial" w:cs="Arial"/>
                <w:i/>
                <w:szCs w:val="24"/>
                <w:lang w:val="en-GB"/>
              </w:rPr>
              <w:t>Rectocolitis</w:t>
            </w:r>
            <w:proofErr w:type="spellEnd"/>
            <w:r w:rsidRPr="006C68C4">
              <w:rPr>
                <w:rFonts w:ascii="Arial" w:hAnsi="Arial" w:cs="Arial"/>
                <w:i/>
                <w:szCs w:val="24"/>
                <w:lang w:val="en-GB"/>
              </w:rPr>
              <w:t>, haemorrhagic</w:t>
            </w:r>
          </w:p>
          <w:p w14:paraId="6307C034"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 xml:space="preserve">Haemorrhagic </w:t>
            </w:r>
            <w:proofErr w:type="spellStart"/>
            <w:r w:rsidRPr="006C68C4">
              <w:rPr>
                <w:rFonts w:ascii="Arial" w:hAnsi="Arial" w:cs="Arial"/>
                <w:i/>
                <w:szCs w:val="24"/>
                <w:lang w:val="en-GB"/>
              </w:rPr>
              <w:t>colo</w:t>
            </w:r>
            <w:proofErr w:type="spellEnd"/>
            <w:r w:rsidRPr="006C68C4">
              <w:rPr>
                <w:rFonts w:ascii="Arial" w:hAnsi="Arial" w:cs="Arial"/>
                <w:i/>
                <w:szCs w:val="24"/>
                <w:lang w:val="en-GB"/>
              </w:rPr>
              <w:t>-proctitis</w:t>
            </w:r>
          </w:p>
          <w:p w14:paraId="3B65882C"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Ulcerative proctitis (chronic)</w:t>
            </w:r>
          </w:p>
          <w:p w14:paraId="4125CE6F" w14:textId="77777777" w:rsidR="002A0F5D" w:rsidRPr="006C68C4" w:rsidRDefault="002A0F5D" w:rsidP="00BA04E9">
            <w:pPr>
              <w:spacing w:after="60" w:line="240" w:lineRule="auto"/>
              <w:jc w:val="both"/>
              <w:rPr>
                <w:rFonts w:ascii="Arial" w:hAnsi="Arial" w:cs="Arial"/>
                <w:i/>
                <w:szCs w:val="24"/>
                <w:lang w:val="en-GB"/>
              </w:rPr>
            </w:pPr>
            <w:r w:rsidRPr="006C68C4">
              <w:rPr>
                <w:rFonts w:ascii="Arial" w:hAnsi="Arial" w:cs="Arial"/>
                <w:i/>
                <w:szCs w:val="24"/>
                <w:lang w:val="en-GB"/>
              </w:rPr>
              <w:t>Recto-sigmoiditis, ulcerative (chronic)</w:t>
            </w:r>
          </w:p>
        </w:tc>
      </w:tr>
      <w:tr w:rsidR="002A0F5D" w:rsidRPr="006C68C4" w14:paraId="073F28E0" w14:textId="77777777" w:rsidTr="00BA04E9">
        <w:trPr>
          <w:trHeight w:val="450"/>
        </w:trPr>
        <w:tc>
          <w:tcPr>
            <w:tcW w:w="2625" w:type="pct"/>
            <w:vMerge/>
            <w:shd w:val="clear" w:color="auto" w:fill="auto"/>
          </w:tcPr>
          <w:p w14:paraId="17FB7B2A" w14:textId="77777777" w:rsidR="002A0F5D" w:rsidRPr="006C68C4" w:rsidRDefault="002A0F5D" w:rsidP="00BA04E9">
            <w:pPr>
              <w:spacing w:after="60" w:line="240" w:lineRule="auto"/>
              <w:jc w:val="both"/>
              <w:rPr>
                <w:rFonts w:ascii="Arial" w:hAnsi="Arial" w:cs="Arial"/>
                <w:i/>
                <w:szCs w:val="24"/>
                <w:lang w:val="en-GB"/>
              </w:rPr>
            </w:pPr>
          </w:p>
        </w:tc>
        <w:tc>
          <w:tcPr>
            <w:tcW w:w="2375" w:type="pct"/>
            <w:vMerge/>
          </w:tcPr>
          <w:p w14:paraId="25B0B5E7" w14:textId="77777777" w:rsidR="002A0F5D" w:rsidRPr="006C68C4" w:rsidRDefault="002A0F5D" w:rsidP="00BA04E9">
            <w:pPr>
              <w:spacing w:after="60" w:line="240" w:lineRule="auto"/>
              <w:jc w:val="both"/>
              <w:rPr>
                <w:rFonts w:ascii="Arial" w:hAnsi="Arial" w:cs="Arial"/>
                <w:i/>
                <w:szCs w:val="24"/>
                <w:lang w:val="en-GB"/>
              </w:rPr>
            </w:pPr>
          </w:p>
        </w:tc>
      </w:tr>
      <w:tr w:rsidR="002A0F5D" w:rsidRPr="006C68C4" w14:paraId="03747C68" w14:textId="77777777" w:rsidTr="00BA04E9">
        <w:trPr>
          <w:trHeight w:val="450"/>
        </w:trPr>
        <w:tc>
          <w:tcPr>
            <w:tcW w:w="2625" w:type="pct"/>
            <w:vMerge/>
            <w:shd w:val="clear" w:color="auto" w:fill="auto"/>
            <w:vAlign w:val="center"/>
          </w:tcPr>
          <w:p w14:paraId="1D0FD791" w14:textId="77777777" w:rsidR="002A0F5D" w:rsidRPr="006C68C4" w:rsidRDefault="002A0F5D" w:rsidP="00BA04E9">
            <w:pPr>
              <w:spacing w:after="60" w:line="240" w:lineRule="auto"/>
              <w:jc w:val="both"/>
              <w:rPr>
                <w:rFonts w:ascii="Arial" w:hAnsi="Arial" w:cs="Arial"/>
                <w:i/>
                <w:szCs w:val="24"/>
                <w:lang w:val="en-GB"/>
              </w:rPr>
            </w:pPr>
          </w:p>
        </w:tc>
        <w:tc>
          <w:tcPr>
            <w:tcW w:w="2375" w:type="pct"/>
            <w:vMerge/>
          </w:tcPr>
          <w:p w14:paraId="03CDA661" w14:textId="77777777" w:rsidR="002A0F5D" w:rsidRPr="006C68C4" w:rsidRDefault="002A0F5D" w:rsidP="00BA04E9">
            <w:pPr>
              <w:spacing w:after="60" w:line="240" w:lineRule="auto"/>
              <w:jc w:val="both"/>
              <w:rPr>
                <w:rFonts w:ascii="Arial" w:hAnsi="Arial" w:cs="Arial"/>
                <w:i/>
                <w:szCs w:val="24"/>
                <w:lang w:val="en-GB"/>
              </w:rPr>
            </w:pPr>
          </w:p>
        </w:tc>
      </w:tr>
      <w:tr w:rsidR="002A0F5D" w:rsidRPr="006C68C4" w14:paraId="66B81272" w14:textId="77777777" w:rsidTr="00BA04E9">
        <w:trPr>
          <w:trHeight w:val="450"/>
        </w:trPr>
        <w:tc>
          <w:tcPr>
            <w:tcW w:w="2625" w:type="pct"/>
            <w:vMerge/>
            <w:shd w:val="clear" w:color="auto" w:fill="auto"/>
          </w:tcPr>
          <w:p w14:paraId="26D558DB" w14:textId="77777777" w:rsidR="002A0F5D" w:rsidRPr="006C68C4" w:rsidRDefault="002A0F5D" w:rsidP="00BA04E9">
            <w:pPr>
              <w:spacing w:after="60" w:line="240" w:lineRule="auto"/>
              <w:jc w:val="both"/>
              <w:rPr>
                <w:rFonts w:ascii="Arial" w:hAnsi="Arial" w:cs="Arial"/>
                <w:i/>
                <w:szCs w:val="24"/>
                <w:lang w:val="en-GB"/>
              </w:rPr>
            </w:pPr>
          </w:p>
        </w:tc>
        <w:tc>
          <w:tcPr>
            <w:tcW w:w="2375" w:type="pct"/>
            <w:vMerge/>
          </w:tcPr>
          <w:p w14:paraId="61BE9070" w14:textId="77777777" w:rsidR="002A0F5D" w:rsidRPr="006C68C4" w:rsidRDefault="002A0F5D" w:rsidP="00BA04E9">
            <w:pPr>
              <w:spacing w:after="60" w:line="240" w:lineRule="auto"/>
              <w:jc w:val="both"/>
              <w:rPr>
                <w:rFonts w:ascii="Arial" w:hAnsi="Arial" w:cs="Arial"/>
                <w:i/>
                <w:szCs w:val="24"/>
                <w:lang w:val="en-GB"/>
              </w:rPr>
            </w:pPr>
          </w:p>
        </w:tc>
      </w:tr>
      <w:tr w:rsidR="002A0F5D" w:rsidRPr="006C68C4" w14:paraId="4380E69E" w14:textId="77777777" w:rsidTr="00BA04E9">
        <w:trPr>
          <w:trHeight w:val="450"/>
        </w:trPr>
        <w:tc>
          <w:tcPr>
            <w:tcW w:w="2625" w:type="pct"/>
            <w:vMerge/>
            <w:shd w:val="clear" w:color="auto" w:fill="auto"/>
          </w:tcPr>
          <w:p w14:paraId="3EA87F9F" w14:textId="77777777" w:rsidR="002A0F5D" w:rsidRPr="006C68C4" w:rsidRDefault="002A0F5D" w:rsidP="00BA04E9">
            <w:pPr>
              <w:spacing w:after="60" w:line="240" w:lineRule="auto"/>
              <w:jc w:val="both"/>
              <w:rPr>
                <w:rFonts w:ascii="Arial" w:hAnsi="Arial" w:cs="Arial"/>
                <w:i/>
                <w:szCs w:val="24"/>
                <w:lang w:val="en-GB"/>
              </w:rPr>
            </w:pPr>
          </w:p>
        </w:tc>
        <w:tc>
          <w:tcPr>
            <w:tcW w:w="2375" w:type="pct"/>
            <w:vMerge/>
          </w:tcPr>
          <w:p w14:paraId="6134D94A" w14:textId="77777777" w:rsidR="002A0F5D" w:rsidRPr="006C68C4" w:rsidRDefault="002A0F5D" w:rsidP="00BA04E9">
            <w:pPr>
              <w:spacing w:after="60" w:line="240" w:lineRule="auto"/>
              <w:jc w:val="both"/>
              <w:rPr>
                <w:rFonts w:ascii="Arial" w:hAnsi="Arial" w:cs="Arial"/>
                <w:i/>
                <w:szCs w:val="24"/>
                <w:lang w:val="en-GB"/>
              </w:rPr>
            </w:pPr>
          </w:p>
        </w:tc>
      </w:tr>
      <w:tr w:rsidR="002A0F5D" w:rsidRPr="006C68C4" w14:paraId="0D82293B" w14:textId="77777777" w:rsidTr="00BA04E9">
        <w:trPr>
          <w:trHeight w:val="450"/>
        </w:trPr>
        <w:tc>
          <w:tcPr>
            <w:tcW w:w="2625" w:type="pct"/>
            <w:vMerge/>
            <w:shd w:val="clear" w:color="auto" w:fill="auto"/>
            <w:vAlign w:val="center"/>
          </w:tcPr>
          <w:p w14:paraId="431C031B" w14:textId="77777777" w:rsidR="002A0F5D" w:rsidRPr="006C68C4" w:rsidRDefault="002A0F5D" w:rsidP="00BA04E9">
            <w:pPr>
              <w:spacing w:after="60" w:line="240" w:lineRule="auto"/>
              <w:jc w:val="both"/>
              <w:rPr>
                <w:rFonts w:ascii="Arial" w:hAnsi="Arial" w:cs="Arial"/>
                <w:i/>
                <w:szCs w:val="24"/>
                <w:lang w:val="en-GB"/>
              </w:rPr>
            </w:pPr>
          </w:p>
        </w:tc>
        <w:tc>
          <w:tcPr>
            <w:tcW w:w="2375" w:type="pct"/>
            <w:vMerge/>
          </w:tcPr>
          <w:p w14:paraId="24AFF621" w14:textId="77777777" w:rsidR="002A0F5D" w:rsidRPr="006C68C4" w:rsidRDefault="002A0F5D" w:rsidP="00BA04E9">
            <w:pPr>
              <w:tabs>
                <w:tab w:val="left" w:pos="2392"/>
              </w:tabs>
              <w:spacing w:after="60" w:line="240" w:lineRule="auto"/>
              <w:jc w:val="both"/>
              <w:rPr>
                <w:rFonts w:ascii="Arial" w:hAnsi="Arial" w:cs="Arial"/>
                <w:i/>
                <w:color w:val="000000"/>
                <w:szCs w:val="24"/>
                <w:lang w:val="en-GB"/>
              </w:rPr>
            </w:pPr>
          </w:p>
        </w:tc>
      </w:tr>
      <w:tr w:rsidR="002A0F5D" w:rsidRPr="006C68C4" w14:paraId="19BF2B1F" w14:textId="77777777" w:rsidTr="00BA04E9">
        <w:trPr>
          <w:trHeight w:val="450"/>
        </w:trPr>
        <w:tc>
          <w:tcPr>
            <w:tcW w:w="2625" w:type="pct"/>
            <w:vMerge/>
            <w:shd w:val="clear" w:color="auto" w:fill="auto"/>
          </w:tcPr>
          <w:p w14:paraId="55747CB9" w14:textId="77777777" w:rsidR="002A0F5D" w:rsidRPr="006C68C4" w:rsidRDefault="002A0F5D" w:rsidP="00BA04E9">
            <w:pPr>
              <w:spacing w:after="60" w:line="240" w:lineRule="auto"/>
              <w:jc w:val="both"/>
              <w:rPr>
                <w:rFonts w:ascii="Arial" w:hAnsi="Arial" w:cs="Arial"/>
                <w:szCs w:val="24"/>
                <w:lang w:val="en-GB"/>
              </w:rPr>
            </w:pPr>
          </w:p>
        </w:tc>
        <w:tc>
          <w:tcPr>
            <w:tcW w:w="2375" w:type="pct"/>
            <w:vMerge/>
          </w:tcPr>
          <w:p w14:paraId="70E19933" w14:textId="77777777" w:rsidR="002A0F5D" w:rsidRPr="006C68C4" w:rsidRDefault="002A0F5D" w:rsidP="00BA04E9">
            <w:pPr>
              <w:tabs>
                <w:tab w:val="left" w:pos="2392"/>
              </w:tabs>
              <w:spacing w:after="60" w:line="240" w:lineRule="auto"/>
              <w:jc w:val="both"/>
              <w:rPr>
                <w:rFonts w:ascii="Arial" w:hAnsi="Arial" w:cs="Arial"/>
                <w:i/>
                <w:color w:val="000000"/>
                <w:szCs w:val="24"/>
                <w:lang w:val="en-GB"/>
              </w:rPr>
            </w:pPr>
          </w:p>
        </w:tc>
      </w:tr>
      <w:tr w:rsidR="002A0F5D" w:rsidRPr="006C68C4" w14:paraId="12035CB7" w14:textId="77777777" w:rsidTr="00BA04E9">
        <w:trPr>
          <w:trHeight w:val="450"/>
        </w:trPr>
        <w:tc>
          <w:tcPr>
            <w:tcW w:w="2625" w:type="pct"/>
            <w:vMerge/>
            <w:shd w:val="clear" w:color="auto" w:fill="auto"/>
          </w:tcPr>
          <w:p w14:paraId="55E605D3" w14:textId="77777777" w:rsidR="002A0F5D" w:rsidRPr="006C68C4" w:rsidRDefault="002A0F5D" w:rsidP="00BA04E9">
            <w:pPr>
              <w:spacing w:after="60" w:line="240" w:lineRule="auto"/>
              <w:jc w:val="both"/>
              <w:rPr>
                <w:rFonts w:ascii="Arial" w:hAnsi="Arial" w:cs="Arial"/>
                <w:szCs w:val="24"/>
                <w:lang w:val="en-GB"/>
              </w:rPr>
            </w:pPr>
          </w:p>
        </w:tc>
        <w:tc>
          <w:tcPr>
            <w:tcW w:w="2375" w:type="pct"/>
            <w:vMerge/>
          </w:tcPr>
          <w:p w14:paraId="747A4704" w14:textId="77777777" w:rsidR="002A0F5D" w:rsidRPr="006C68C4" w:rsidRDefault="002A0F5D" w:rsidP="00BA04E9">
            <w:pPr>
              <w:tabs>
                <w:tab w:val="left" w:pos="2392"/>
              </w:tabs>
              <w:spacing w:after="60" w:line="240" w:lineRule="auto"/>
              <w:jc w:val="both"/>
              <w:rPr>
                <w:rFonts w:ascii="Arial" w:hAnsi="Arial" w:cs="Arial"/>
                <w:i/>
                <w:color w:val="000000"/>
                <w:szCs w:val="24"/>
                <w:lang w:val="en-GB"/>
              </w:rPr>
            </w:pPr>
          </w:p>
        </w:tc>
      </w:tr>
      <w:tr w:rsidR="002A0F5D" w:rsidRPr="006C68C4" w14:paraId="3E06A747" w14:textId="77777777" w:rsidTr="00BA04E9">
        <w:trPr>
          <w:trHeight w:val="450"/>
        </w:trPr>
        <w:tc>
          <w:tcPr>
            <w:tcW w:w="2625" w:type="pct"/>
            <w:vMerge/>
            <w:shd w:val="clear" w:color="auto" w:fill="auto"/>
          </w:tcPr>
          <w:p w14:paraId="2608A07D" w14:textId="77777777" w:rsidR="002A0F5D" w:rsidRPr="006C68C4" w:rsidRDefault="002A0F5D" w:rsidP="00BA04E9">
            <w:pPr>
              <w:spacing w:after="60" w:line="240" w:lineRule="auto"/>
              <w:jc w:val="both"/>
              <w:rPr>
                <w:rFonts w:ascii="Arial" w:hAnsi="Arial" w:cs="Arial"/>
                <w:szCs w:val="24"/>
                <w:lang w:val="en-GB"/>
              </w:rPr>
            </w:pPr>
          </w:p>
        </w:tc>
        <w:tc>
          <w:tcPr>
            <w:tcW w:w="2375" w:type="pct"/>
            <w:vMerge/>
          </w:tcPr>
          <w:p w14:paraId="3401A43E" w14:textId="77777777" w:rsidR="002A0F5D" w:rsidRPr="006C68C4" w:rsidRDefault="002A0F5D" w:rsidP="00BA04E9">
            <w:pPr>
              <w:tabs>
                <w:tab w:val="left" w:pos="2392"/>
              </w:tabs>
              <w:spacing w:after="60" w:line="240" w:lineRule="auto"/>
              <w:jc w:val="both"/>
              <w:rPr>
                <w:rFonts w:ascii="Arial" w:hAnsi="Arial" w:cs="Arial"/>
                <w:i/>
                <w:color w:val="000000"/>
                <w:szCs w:val="24"/>
                <w:lang w:val="en-GB"/>
              </w:rPr>
            </w:pPr>
          </w:p>
        </w:tc>
      </w:tr>
      <w:tr w:rsidR="002A0F5D" w:rsidRPr="006C68C4" w14:paraId="2D070F30" w14:textId="77777777" w:rsidTr="00BA04E9">
        <w:trPr>
          <w:trHeight w:val="450"/>
        </w:trPr>
        <w:tc>
          <w:tcPr>
            <w:tcW w:w="2625" w:type="pct"/>
            <w:vMerge/>
            <w:shd w:val="clear" w:color="auto" w:fill="auto"/>
          </w:tcPr>
          <w:p w14:paraId="204C36F2" w14:textId="77777777" w:rsidR="002A0F5D" w:rsidRPr="006C68C4" w:rsidRDefault="002A0F5D" w:rsidP="00BA04E9">
            <w:pPr>
              <w:spacing w:after="60" w:line="240" w:lineRule="auto"/>
              <w:jc w:val="both"/>
              <w:rPr>
                <w:rFonts w:ascii="Arial" w:hAnsi="Arial" w:cs="Arial"/>
                <w:szCs w:val="24"/>
                <w:lang w:val="en-GB"/>
              </w:rPr>
            </w:pPr>
          </w:p>
        </w:tc>
        <w:tc>
          <w:tcPr>
            <w:tcW w:w="2375" w:type="pct"/>
            <w:vMerge/>
          </w:tcPr>
          <w:p w14:paraId="26E4A7D3" w14:textId="77777777" w:rsidR="002A0F5D" w:rsidRPr="006C68C4" w:rsidRDefault="002A0F5D" w:rsidP="00BA04E9">
            <w:pPr>
              <w:tabs>
                <w:tab w:val="left" w:pos="2392"/>
              </w:tabs>
              <w:spacing w:after="60" w:line="240" w:lineRule="auto"/>
              <w:jc w:val="both"/>
              <w:rPr>
                <w:rFonts w:ascii="Arial" w:hAnsi="Arial" w:cs="Arial"/>
                <w:i/>
                <w:color w:val="000000"/>
                <w:szCs w:val="24"/>
                <w:lang w:val="en-GB"/>
              </w:rPr>
            </w:pPr>
          </w:p>
        </w:tc>
      </w:tr>
      <w:tr w:rsidR="002A0F5D" w:rsidRPr="006C68C4" w14:paraId="761C761C" w14:textId="77777777" w:rsidTr="00BA04E9">
        <w:trPr>
          <w:trHeight w:val="450"/>
        </w:trPr>
        <w:tc>
          <w:tcPr>
            <w:tcW w:w="2625" w:type="pct"/>
            <w:vMerge/>
            <w:shd w:val="clear" w:color="auto" w:fill="auto"/>
          </w:tcPr>
          <w:p w14:paraId="02DE6D7F" w14:textId="77777777" w:rsidR="002A0F5D" w:rsidRPr="006C68C4" w:rsidRDefault="002A0F5D" w:rsidP="00BA04E9">
            <w:pPr>
              <w:spacing w:after="60" w:line="240" w:lineRule="auto"/>
              <w:jc w:val="both"/>
              <w:rPr>
                <w:rFonts w:ascii="Arial" w:hAnsi="Arial" w:cs="Arial"/>
                <w:szCs w:val="24"/>
                <w:lang w:val="en-GB"/>
              </w:rPr>
            </w:pPr>
          </w:p>
        </w:tc>
        <w:tc>
          <w:tcPr>
            <w:tcW w:w="2375" w:type="pct"/>
            <w:vMerge/>
          </w:tcPr>
          <w:p w14:paraId="2A1B586F" w14:textId="77777777" w:rsidR="002A0F5D" w:rsidRPr="006C68C4" w:rsidRDefault="002A0F5D" w:rsidP="00BA04E9">
            <w:pPr>
              <w:tabs>
                <w:tab w:val="left" w:pos="2392"/>
              </w:tabs>
              <w:spacing w:after="60" w:line="240" w:lineRule="auto"/>
              <w:jc w:val="both"/>
              <w:rPr>
                <w:rFonts w:ascii="Arial" w:hAnsi="Arial" w:cs="Arial"/>
                <w:i/>
                <w:color w:val="000000"/>
                <w:szCs w:val="24"/>
                <w:lang w:val="en-GB"/>
              </w:rPr>
            </w:pPr>
          </w:p>
        </w:tc>
      </w:tr>
    </w:tbl>
    <w:p w14:paraId="3CEC1492" w14:textId="77777777" w:rsidR="002A0F5D" w:rsidRPr="006C68C4" w:rsidRDefault="002A0F5D" w:rsidP="002A0F5D">
      <w:pPr>
        <w:rPr>
          <w:rFonts w:ascii="Arial" w:hAnsi="Arial" w:cs="Arial"/>
          <w:b/>
          <w:bCs/>
        </w:rPr>
        <w:sectPr w:rsidR="002A0F5D" w:rsidRPr="006C68C4" w:rsidSect="002A0F5D">
          <w:footerReference w:type="even" r:id="rId7"/>
          <w:footerReference w:type="default" r:id="rId8"/>
          <w:footerReference w:type="first" r:id="rId9"/>
          <w:pgSz w:w="11906" w:h="16838"/>
          <w:pgMar w:top="1417" w:right="1701" w:bottom="1417" w:left="1701" w:header="708" w:footer="708" w:gutter="0"/>
          <w:cols w:space="708"/>
          <w:docGrid w:linePitch="360"/>
        </w:sectPr>
      </w:pPr>
    </w:p>
    <w:p w14:paraId="47DDFD61" w14:textId="77777777" w:rsidR="002A0F5D" w:rsidRPr="006C68C4" w:rsidRDefault="002A0F5D" w:rsidP="002A0F5D">
      <w:pPr>
        <w:spacing w:after="60"/>
        <w:rPr>
          <w:rFonts w:ascii="Arial" w:hAnsi="Arial" w:cs="Arial"/>
          <w:b/>
          <w:bCs/>
          <w:sz w:val="20"/>
          <w:szCs w:val="20"/>
        </w:rPr>
      </w:pPr>
      <w:r w:rsidRPr="006C68C4">
        <w:rPr>
          <w:rFonts w:ascii="Arial" w:hAnsi="Arial" w:cs="Arial"/>
          <w:b/>
          <w:bCs/>
          <w:sz w:val="20"/>
          <w:szCs w:val="20"/>
        </w:rPr>
        <w:lastRenderedPageBreak/>
        <w:t>Supplementary Table 2. UC advanced treatment drugs induction period length</w:t>
      </w:r>
    </w:p>
    <w:p w14:paraId="2A4E5200" w14:textId="77777777" w:rsidR="002A0F5D" w:rsidRPr="006C68C4" w:rsidRDefault="002A0F5D" w:rsidP="002A0F5D">
      <w:pPr>
        <w:spacing w:after="60"/>
        <w:rPr>
          <w:rFonts w:ascii="Arial" w:hAnsi="Arial" w:cs="Arial"/>
          <w:b/>
          <w:bCs/>
          <w:sz w:val="20"/>
          <w:szCs w:val="20"/>
        </w:rPr>
      </w:pPr>
    </w:p>
    <w:tbl>
      <w:tblPr>
        <w:tblStyle w:val="TableGrid"/>
        <w:tblW w:w="3220" w:type="pct"/>
        <w:jc w:val="center"/>
        <w:tblLook w:val="04A0" w:firstRow="1" w:lastRow="0" w:firstColumn="1" w:lastColumn="0" w:noHBand="0" w:noVBand="1"/>
      </w:tblPr>
      <w:tblGrid>
        <w:gridCol w:w="3333"/>
        <w:gridCol w:w="2137"/>
      </w:tblGrid>
      <w:tr w:rsidR="002A0F5D" w:rsidRPr="006C68C4" w14:paraId="7E2D1801" w14:textId="77777777" w:rsidTr="00BA04E9">
        <w:trPr>
          <w:jc w:val="center"/>
        </w:trPr>
        <w:tc>
          <w:tcPr>
            <w:tcW w:w="3047" w:type="pct"/>
          </w:tcPr>
          <w:p w14:paraId="19AC82B9" w14:textId="77777777" w:rsidR="002A0F5D" w:rsidRPr="006C68C4" w:rsidRDefault="002A0F5D" w:rsidP="00BA04E9">
            <w:pPr>
              <w:pStyle w:val="TFSBODYTEXT"/>
              <w:rPr>
                <w:rFonts w:cs="Arial"/>
                <w:b/>
                <w:bCs/>
              </w:rPr>
            </w:pPr>
            <w:r w:rsidRPr="006C68C4">
              <w:rPr>
                <w:rFonts w:cs="Arial"/>
                <w:b/>
                <w:bCs/>
              </w:rPr>
              <w:t>UC advanced therapy drug</w:t>
            </w:r>
          </w:p>
        </w:tc>
        <w:tc>
          <w:tcPr>
            <w:tcW w:w="1953" w:type="pct"/>
          </w:tcPr>
          <w:p w14:paraId="0A1FB9F1" w14:textId="77777777" w:rsidR="002A0F5D" w:rsidRPr="006C68C4" w:rsidRDefault="002A0F5D" w:rsidP="00BA04E9">
            <w:pPr>
              <w:pStyle w:val="TFSBODYTEXT"/>
              <w:rPr>
                <w:rFonts w:cs="Arial"/>
                <w:b/>
                <w:bCs/>
              </w:rPr>
            </w:pPr>
            <w:r w:rsidRPr="006C68C4">
              <w:rPr>
                <w:rFonts w:cs="Arial"/>
                <w:b/>
                <w:bCs/>
              </w:rPr>
              <w:t>Induction period</w:t>
            </w:r>
          </w:p>
        </w:tc>
      </w:tr>
      <w:tr w:rsidR="002A0F5D" w:rsidRPr="006C68C4" w14:paraId="5D19C224" w14:textId="77777777" w:rsidTr="00BA04E9">
        <w:trPr>
          <w:jc w:val="center"/>
        </w:trPr>
        <w:tc>
          <w:tcPr>
            <w:tcW w:w="3047" w:type="pct"/>
          </w:tcPr>
          <w:p w14:paraId="22FEED2E" w14:textId="77777777" w:rsidR="002A0F5D" w:rsidRPr="006C68C4" w:rsidRDefault="002A0F5D" w:rsidP="00BA04E9">
            <w:pPr>
              <w:pStyle w:val="TFSBODYTEXT"/>
              <w:rPr>
                <w:rFonts w:cs="Arial"/>
              </w:rPr>
            </w:pPr>
            <w:r w:rsidRPr="006C68C4">
              <w:rPr>
                <w:rFonts w:cs="Arial"/>
              </w:rPr>
              <w:t>Adalimumab</w:t>
            </w:r>
          </w:p>
        </w:tc>
        <w:tc>
          <w:tcPr>
            <w:tcW w:w="1953" w:type="pct"/>
            <w:vMerge w:val="restart"/>
          </w:tcPr>
          <w:p w14:paraId="28DDB948" w14:textId="77777777" w:rsidR="002A0F5D" w:rsidRPr="006C68C4" w:rsidRDefault="002A0F5D" w:rsidP="00BA04E9">
            <w:pPr>
              <w:pStyle w:val="TFSBODYTEXT"/>
              <w:rPr>
                <w:rFonts w:cs="Arial"/>
              </w:rPr>
            </w:pPr>
            <w:r w:rsidRPr="006C68C4">
              <w:rPr>
                <w:rFonts w:cs="Arial"/>
              </w:rPr>
              <w:t>2 weeks</w:t>
            </w:r>
          </w:p>
        </w:tc>
      </w:tr>
      <w:tr w:rsidR="002A0F5D" w:rsidRPr="006C68C4" w14:paraId="397722BD" w14:textId="77777777" w:rsidTr="00BA04E9">
        <w:trPr>
          <w:jc w:val="center"/>
        </w:trPr>
        <w:tc>
          <w:tcPr>
            <w:tcW w:w="3047" w:type="pct"/>
          </w:tcPr>
          <w:p w14:paraId="4039C7C1" w14:textId="77777777" w:rsidR="002A0F5D" w:rsidRPr="006C68C4" w:rsidRDefault="002A0F5D" w:rsidP="00BA04E9">
            <w:pPr>
              <w:pStyle w:val="TFSBODYTEXT"/>
              <w:rPr>
                <w:rFonts w:cs="Arial"/>
              </w:rPr>
            </w:pPr>
            <w:r w:rsidRPr="006C68C4">
              <w:rPr>
                <w:rFonts w:cs="Arial"/>
              </w:rPr>
              <w:t>Golimumab</w:t>
            </w:r>
          </w:p>
        </w:tc>
        <w:tc>
          <w:tcPr>
            <w:tcW w:w="1953" w:type="pct"/>
            <w:vMerge/>
          </w:tcPr>
          <w:p w14:paraId="03B10771" w14:textId="77777777" w:rsidR="002A0F5D" w:rsidRPr="006C68C4" w:rsidRDefault="002A0F5D" w:rsidP="00BA04E9">
            <w:pPr>
              <w:pStyle w:val="TFSBODYTEXT"/>
              <w:rPr>
                <w:rFonts w:cs="Arial"/>
              </w:rPr>
            </w:pPr>
          </w:p>
        </w:tc>
      </w:tr>
      <w:tr w:rsidR="002A0F5D" w:rsidRPr="006C68C4" w14:paraId="106A7A0B" w14:textId="77777777" w:rsidTr="00BA04E9">
        <w:trPr>
          <w:jc w:val="center"/>
        </w:trPr>
        <w:tc>
          <w:tcPr>
            <w:tcW w:w="3047" w:type="pct"/>
          </w:tcPr>
          <w:p w14:paraId="2A7C7857" w14:textId="77777777" w:rsidR="002A0F5D" w:rsidRPr="006C68C4" w:rsidRDefault="002A0F5D" w:rsidP="00BA04E9">
            <w:pPr>
              <w:pStyle w:val="TFSBODYTEXT"/>
              <w:rPr>
                <w:rFonts w:cs="Arial"/>
              </w:rPr>
            </w:pPr>
            <w:r w:rsidRPr="006C68C4">
              <w:rPr>
                <w:rFonts w:cs="Arial"/>
              </w:rPr>
              <w:t>Infliximab</w:t>
            </w:r>
          </w:p>
        </w:tc>
        <w:tc>
          <w:tcPr>
            <w:tcW w:w="1953" w:type="pct"/>
            <w:vMerge w:val="restart"/>
          </w:tcPr>
          <w:p w14:paraId="0421669E" w14:textId="77777777" w:rsidR="002A0F5D" w:rsidRPr="006C68C4" w:rsidRDefault="002A0F5D" w:rsidP="00BA04E9">
            <w:pPr>
              <w:pStyle w:val="TFSBODYTEXT"/>
              <w:rPr>
                <w:rFonts w:cs="Arial"/>
              </w:rPr>
            </w:pPr>
            <w:r w:rsidRPr="006C68C4">
              <w:rPr>
                <w:rFonts w:cs="Arial"/>
              </w:rPr>
              <w:t>6 weeks</w:t>
            </w:r>
          </w:p>
        </w:tc>
      </w:tr>
      <w:tr w:rsidR="002A0F5D" w:rsidRPr="006C68C4" w14:paraId="1CEB1431" w14:textId="77777777" w:rsidTr="00BA04E9">
        <w:trPr>
          <w:jc w:val="center"/>
        </w:trPr>
        <w:tc>
          <w:tcPr>
            <w:tcW w:w="3047" w:type="pct"/>
          </w:tcPr>
          <w:p w14:paraId="5FD8A5C7" w14:textId="77777777" w:rsidR="002A0F5D" w:rsidRPr="006C68C4" w:rsidRDefault="002A0F5D" w:rsidP="00BA04E9">
            <w:pPr>
              <w:pStyle w:val="TFSBODYTEXT"/>
              <w:rPr>
                <w:rFonts w:cs="Arial"/>
              </w:rPr>
            </w:pPr>
            <w:r w:rsidRPr="006C68C4">
              <w:rPr>
                <w:rFonts w:cs="Arial"/>
              </w:rPr>
              <w:t>Vedolizumab</w:t>
            </w:r>
          </w:p>
        </w:tc>
        <w:tc>
          <w:tcPr>
            <w:tcW w:w="1953" w:type="pct"/>
            <w:vMerge/>
          </w:tcPr>
          <w:p w14:paraId="155C9C76" w14:textId="77777777" w:rsidR="002A0F5D" w:rsidRPr="006C68C4" w:rsidRDefault="002A0F5D" w:rsidP="00BA04E9">
            <w:pPr>
              <w:pStyle w:val="TFSBODYTEXT"/>
              <w:rPr>
                <w:rFonts w:cs="Arial"/>
              </w:rPr>
            </w:pPr>
          </w:p>
        </w:tc>
      </w:tr>
      <w:tr w:rsidR="002A0F5D" w:rsidRPr="006C68C4" w14:paraId="7DC1B322" w14:textId="77777777" w:rsidTr="00BA04E9">
        <w:trPr>
          <w:jc w:val="center"/>
        </w:trPr>
        <w:tc>
          <w:tcPr>
            <w:tcW w:w="3047" w:type="pct"/>
          </w:tcPr>
          <w:p w14:paraId="01724D8F" w14:textId="77777777" w:rsidR="002A0F5D" w:rsidRPr="006C68C4" w:rsidRDefault="002A0F5D" w:rsidP="00BA04E9">
            <w:pPr>
              <w:pStyle w:val="TFSBODYTEXT"/>
              <w:rPr>
                <w:rFonts w:cs="Arial"/>
              </w:rPr>
            </w:pPr>
            <w:r w:rsidRPr="006C68C4">
              <w:rPr>
                <w:rFonts w:cs="Arial"/>
              </w:rPr>
              <w:t>Tofacitinib</w:t>
            </w:r>
          </w:p>
        </w:tc>
        <w:tc>
          <w:tcPr>
            <w:tcW w:w="1953" w:type="pct"/>
            <w:vMerge w:val="restart"/>
          </w:tcPr>
          <w:p w14:paraId="19160B71" w14:textId="77777777" w:rsidR="002A0F5D" w:rsidRPr="006C68C4" w:rsidRDefault="002A0F5D" w:rsidP="00BA04E9">
            <w:pPr>
              <w:pStyle w:val="TFSBODYTEXT"/>
              <w:rPr>
                <w:rFonts w:cs="Arial"/>
              </w:rPr>
            </w:pPr>
            <w:r w:rsidRPr="006C68C4">
              <w:rPr>
                <w:rFonts w:cs="Arial"/>
              </w:rPr>
              <w:t>8 weeks</w:t>
            </w:r>
          </w:p>
        </w:tc>
      </w:tr>
      <w:tr w:rsidR="002A0F5D" w:rsidRPr="006C68C4" w14:paraId="2DB648E9" w14:textId="77777777" w:rsidTr="00BA04E9">
        <w:trPr>
          <w:jc w:val="center"/>
        </w:trPr>
        <w:tc>
          <w:tcPr>
            <w:tcW w:w="3047" w:type="pct"/>
          </w:tcPr>
          <w:p w14:paraId="0B0216D4" w14:textId="77777777" w:rsidR="002A0F5D" w:rsidRPr="006C68C4" w:rsidRDefault="002A0F5D" w:rsidP="00BA04E9">
            <w:pPr>
              <w:pStyle w:val="TFSBODYTEXT"/>
              <w:rPr>
                <w:rFonts w:cs="Arial"/>
              </w:rPr>
            </w:pPr>
            <w:r w:rsidRPr="006C68C4">
              <w:rPr>
                <w:rFonts w:cs="Arial"/>
              </w:rPr>
              <w:t>Upadacitinib</w:t>
            </w:r>
          </w:p>
        </w:tc>
        <w:tc>
          <w:tcPr>
            <w:tcW w:w="1953" w:type="pct"/>
            <w:vMerge/>
          </w:tcPr>
          <w:p w14:paraId="6A327B6F" w14:textId="77777777" w:rsidR="002A0F5D" w:rsidRPr="006C68C4" w:rsidRDefault="002A0F5D" w:rsidP="00BA04E9">
            <w:pPr>
              <w:pStyle w:val="TFSBODYTEXT"/>
              <w:rPr>
                <w:rFonts w:cs="Arial"/>
              </w:rPr>
            </w:pPr>
          </w:p>
        </w:tc>
      </w:tr>
      <w:tr w:rsidR="002A0F5D" w:rsidRPr="006C68C4" w14:paraId="356B43EB" w14:textId="77777777" w:rsidTr="00BA04E9">
        <w:trPr>
          <w:jc w:val="center"/>
        </w:trPr>
        <w:tc>
          <w:tcPr>
            <w:tcW w:w="3047" w:type="pct"/>
          </w:tcPr>
          <w:p w14:paraId="4517E896" w14:textId="4D132AE5" w:rsidR="002A0F5D" w:rsidRPr="006C68C4" w:rsidRDefault="002A0F5D" w:rsidP="00BA04E9">
            <w:pPr>
              <w:pStyle w:val="TFSBODYTEXT"/>
              <w:rPr>
                <w:rFonts w:cs="Arial"/>
              </w:rPr>
            </w:pPr>
            <w:r w:rsidRPr="006C68C4">
              <w:rPr>
                <w:rFonts w:cs="Arial"/>
              </w:rPr>
              <w:t>Ustekinuma</w:t>
            </w:r>
            <w:r w:rsidR="00A87202">
              <w:rPr>
                <w:rFonts w:cs="Arial"/>
              </w:rPr>
              <w:t>b</w:t>
            </w:r>
          </w:p>
        </w:tc>
        <w:tc>
          <w:tcPr>
            <w:tcW w:w="1953" w:type="pct"/>
            <w:vMerge/>
          </w:tcPr>
          <w:p w14:paraId="4142A972" w14:textId="77777777" w:rsidR="002A0F5D" w:rsidRPr="006C68C4" w:rsidRDefault="002A0F5D" w:rsidP="00BA04E9">
            <w:pPr>
              <w:pStyle w:val="TFSBODYTEXT"/>
              <w:rPr>
                <w:rFonts w:cs="Arial"/>
              </w:rPr>
            </w:pPr>
          </w:p>
        </w:tc>
      </w:tr>
    </w:tbl>
    <w:p w14:paraId="6F196F7A" w14:textId="77777777" w:rsidR="002A0F5D" w:rsidRPr="006C68C4" w:rsidRDefault="002A0F5D" w:rsidP="002A0F5D">
      <w:pPr>
        <w:spacing w:after="60"/>
        <w:rPr>
          <w:rFonts w:ascii="Arial" w:hAnsi="Arial" w:cs="Arial"/>
          <w:sz w:val="20"/>
          <w:szCs w:val="20"/>
        </w:rPr>
      </w:pPr>
    </w:p>
    <w:p w14:paraId="3DD684BF" w14:textId="77777777" w:rsidR="002A0F5D" w:rsidRPr="006C68C4" w:rsidRDefault="002A0F5D" w:rsidP="002A0F5D">
      <w:pPr>
        <w:rPr>
          <w:rFonts w:ascii="Arial" w:hAnsi="Arial" w:cs="Arial"/>
        </w:rPr>
        <w:sectPr w:rsidR="002A0F5D" w:rsidRPr="006C68C4" w:rsidSect="006C68C4">
          <w:pgSz w:w="11906" w:h="16838"/>
          <w:pgMar w:top="1417" w:right="1701" w:bottom="1417" w:left="1701" w:header="708" w:footer="708" w:gutter="0"/>
          <w:cols w:space="708"/>
          <w:docGrid w:linePitch="360"/>
        </w:sectPr>
      </w:pPr>
    </w:p>
    <w:p w14:paraId="69AF5CBD" w14:textId="70E70451" w:rsidR="002A0F5D" w:rsidRDefault="002A0F5D" w:rsidP="002A0F5D">
      <w:pPr>
        <w:spacing w:after="60"/>
        <w:rPr>
          <w:rFonts w:ascii="Arial" w:hAnsi="Arial" w:cs="Arial"/>
          <w:b/>
          <w:bCs/>
          <w:sz w:val="20"/>
          <w:szCs w:val="20"/>
        </w:rPr>
      </w:pPr>
      <w:r w:rsidRPr="006C68C4">
        <w:rPr>
          <w:rFonts w:ascii="Arial" w:hAnsi="Arial" w:cs="Arial"/>
          <w:b/>
          <w:bCs/>
          <w:sz w:val="20"/>
          <w:szCs w:val="20"/>
        </w:rPr>
        <w:t xml:space="preserve">Supplementary Table 3. </w:t>
      </w:r>
      <w:r w:rsidR="006C68C4" w:rsidRPr="006C68C4">
        <w:rPr>
          <w:rFonts w:ascii="Arial" w:hAnsi="Arial" w:cs="Arial"/>
          <w:b/>
          <w:bCs/>
          <w:sz w:val="20"/>
          <w:szCs w:val="20"/>
        </w:rPr>
        <w:t>Recommended doses for UC (exce</w:t>
      </w:r>
      <w:r w:rsidRPr="006C68C4">
        <w:rPr>
          <w:rFonts w:ascii="Arial" w:hAnsi="Arial" w:cs="Arial"/>
          <w:b/>
          <w:bCs/>
          <w:sz w:val="20"/>
          <w:szCs w:val="20"/>
        </w:rPr>
        <w:t>pt from the SPCs available in EMA website)</w:t>
      </w:r>
    </w:p>
    <w:p w14:paraId="699D8E09" w14:textId="77777777" w:rsidR="006C68C4" w:rsidRPr="006C68C4" w:rsidRDefault="006C68C4" w:rsidP="002A0F5D">
      <w:pPr>
        <w:spacing w:after="60"/>
        <w:rPr>
          <w:rFonts w:ascii="Arial" w:hAnsi="Arial" w:cs="Arial"/>
          <w:b/>
          <w:bCs/>
          <w:sz w:val="20"/>
          <w:szCs w:val="20"/>
        </w:rPr>
      </w:pPr>
    </w:p>
    <w:tbl>
      <w:tblPr>
        <w:tblW w:w="4812" w:type="pct"/>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7"/>
        <w:gridCol w:w="6672"/>
      </w:tblGrid>
      <w:tr w:rsidR="002A0F5D" w:rsidRPr="006C68C4" w14:paraId="5D28C11F" w14:textId="77777777" w:rsidTr="002A0F5D">
        <w:trPr>
          <w:trHeight w:val="300"/>
        </w:trPr>
        <w:tc>
          <w:tcPr>
            <w:tcW w:w="916"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785B833" w14:textId="77777777" w:rsidR="002A0F5D" w:rsidRPr="006C68C4" w:rsidRDefault="002A0F5D" w:rsidP="00BA04E9">
            <w:pPr>
              <w:rPr>
                <w:rFonts w:ascii="Arial" w:hAnsi="Arial" w:cs="Arial"/>
                <w:b/>
                <w:bCs/>
                <w:szCs w:val="24"/>
                <w:lang w:eastAsia="ca-ES"/>
              </w:rPr>
            </w:pPr>
            <w:bookmarkStart w:id="0" w:name="IDX"/>
            <w:bookmarkEnd w:id="0"/>
            <w:r w:rsidRPr="006C68C4">
              <w:rPr>
                <w:rFonts w:ascii="Arial" w:hAnsi="Arial" w:cs="Arial"/>
                <w:b/>
                <w:bCs/>
                <w:sz w:val="20"/>
                <w:lang w:val="en-US" w:eastAsia="ca-ES"/>
              </w:rPr>
              <w:t>Treatments</w:t>
            </w:r>
            <w:r w:rsidRPr="006C68C4">
              <w:rPr>
                <w:rFonts w:ascii="Arial" w:hAnsi="Arial" w:cs="Arial"/>
                <w:b/>
                <w:bCs/>
                <w:sz w:val="20"/>
                <w:lang w:eastAsia="ca-ES"/>
              </w:rPr>
              <w:t> </w:t>
            </w:r>
          </w:p>
        </w:tc>
        <w:tc>
          <w:tcPr>
            <w:tcW w:w="4084" w:type="pc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FF82178" w14:textId="77777777" w:rsidR="002A0F5D" w:rsidRPr="006C68C4" w:rsidRDefault="002A0F5D" w:rsidP="00BA04E9">
            <w:pPr>
              <w:rPr>
                <w:rFonts w:ascii="Arial" w:hAnsi="Arial" w:cs="Arial"/>
                <w:b/>
                <w:bCs/>
                <w:szCs w:val="24"/>
                <w:lang w:eastAsia="ca-ES"/>
              </w:rPr>
            </w:pPr>
            <w:r w:rsidRPr="006C68C4">
              <w:rPr>
                <w:rFonts w:ascii="Arial" w:hAnsi="Arial" w:cs="Arial"/>
                <w:b/>
                <w:bCs/>
                <w:sz w:val="20"/>
                <w:lang w:val="en-US" w:eastAsia="ca-ES"/>
              </w:rPr>
              <w:t>Recommended doses</w:t>
            </w:r>
            <w:r w:rsidRPr="006C68C4">
              <w:rPr>
                <w:rFonts w:ascii="Arial" w:hAnsi="Arial" w:cs="Arial"/>
                <w:b/>
                <w:bCs/>
                <w:sz w:val="20"/>
                <w:lang w:eastAsia="ca-ES"/>
              </w:rPr>
              <w:t> </w:t>
            </w:r>
          </w:p>
        </w:tc>
      </w:tr>
      <w:tr w:rsidR="002A0F5D" w:rsidRPr="006C68C4" w14:paraId="3800B114" w14:textId="77777777" w:rsidTr="002A0F5D">
        <w:trPr>
          <w:trHeight w:val="300"/>
        </w:trPr>
        <w:tc>
          <w:tcPr>
            <w:tcW w:w="91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85BBDE" w14:textId="77777777" w:rsidR="002A0F5D" w:rsidRPr="006C68C4" w:rsidRDefault="002A0F5D" w:rsidP="00BA04E9">
            <w:pPr>
              <w:rPr>
                <w:rFonts w:ascii="Arial" w:hAnsi="Arial" w:cs="Arial"/>
                <w:szCs w:val="24"/>
                <w:lang w:eastAsia="ca-ES"/>
              </w:rPr>
            </w:pPr>
            <w:r w:rsidRPr="006C68C4">
              <w:rPr>
                <w:rFonts w:ascii="Arial" w:hAnsi="Arial" w:cs="Arial"/>
                <w:sz w:val="20"/>
                <w:lang w:eastAsia="ca-ES"/>
              </w:rPr>
              <w:t>Adalimumab </w:t>
            </w:r>
          </w:p>
        </w:tc>
        <w:tc>
          <w:tcPr>
            <w:tcW w:w="4084" w:type="pct"/>
            <w:tcBorders>
              <w:top w:val="single" w:sz="6" w:space="0" w:color="auto"/>
              <w:left w:val="single" w:sz="6" w:space="0" w:color="auto"/>
              <w:bottom w:val="single" w:sz="6" w:space="0" w:color="auto"/>
              <w:right w:val="single" w:sz="6" w:space="0" w:color="auto"/>
            </w:tcBorders>
            <w:shd w:val="clear" w:color="auto" w:fill="auto"/>
            <w:hideMark/>
          </w:tcPr>
          <w:p w14:paraId="48852C48" w14:textId="77777777" w:rsidR="002A0F5D" w:rsidRPr="006C68C4" w:rsidRDefault="002A0F5D" w:rsidP="00BA04E9">
            <w:pPr>
              <w:rPr>
                <w:rFonts w:ascii="Arial" w:hAnsi="Arial" w:cs="Arial"/>
                <w:szCs w:val="24"/>
                <w:lang w:eastAsia="ca-ES"/>
              </w:rPr>
            </w:pPr>
            <w:r w:rsidRPr="006C68C4">
              <w:rPr>
                <w:rFonts w:ascii="Arial" w:hAnsi="Arial" w:cs="Arial"/>
                <w:sz w:val="20"/>
                <w:lang w:eastAsia="ca-ES"/>
              </w:rPr>
              <w:t>First dose of 160 mg (two 80 mg injections in one day or one 80 mg injection per day for two consecutive days), followed by 80 mg (one 80 mg injection) two weeks later. Thereafter, the usual dose is 40 mg every other week. </w:t>
            </w:r>
          </w:p>
        </w:tc>
      </w:tr>
      <w:tr w:rsidR="002A0F5D" w:rsidRPr="006C68C4" w14:paraId="7B62F894" w14:textId="77777777" w:rsidTr="002A0F5D">
        <w:trPr>
          <w:trHeight w:val="300"/>
        </w:trPr>
        <w:tc>
          <w:tcPr>
            <w:tcW w:w="91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962DD3" w14:textId="77777777" w:rsidR="002A0F5D" w:rsidRPr="006C68C4" w:rsidRDefault="002A0F5D" w:rsidP="00BA04E9">
            <w:pPr>
              <w:rPr>
                <w:rFonts w:ascii="Arial" w:hAnsi="Arial" w:cs="Arial"/>
                <w:szCs w:val="24"/>
                <w:lang w:eastAsia="ca-ES"/>
              </w:rPr>
            </w:pPr>
            <w:r w:rsidRPr="006C68C4">
              <w:rPr>
                <w:rFonts w:ascii="Arial" w:hAnsi="Arial" w:cs="Arial"/>
                <w:sz w:val="20"/>
                <w:lang w:eastAsia="ca-ES"/>
              </w:rPr>
              <w:t>Golimumab </w:t>
            </w:r>
          </w:p>
        </w:tc>
        <w:tc>
          <w:tcPr>
            <w:tcW w:w="4084" w:type="pct"/>
            <w:tcBorders>
              <w:top w:val="single" w:sz="6" w:space="0" w:color="auto"/>
              <w:left w:val="single" w:sz="6" w:space="0" w:color="auto"/>
              <w:bottom w:val="single" w:sz="6" w:space="0" w:color="auto"/>
              <w:right w:val="single" w:sz="6" w:space="0" w:color="auto"/>
            </w:tcBorders>
            <w:shd w:val="clear" w:color="auto" w:fill="auto"/>
            <w:hideMark/>
          </w:tcPr>
          <w:p w14:paraId="5568BE29"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Patients with body weight less than 80 kg: </w:t>
            </w:r>
          </w:p>
          <w:p w14:paraId="2E5401D0"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The initial dose is 200 mg, followed by 100 mg at week 2.  </w:t>
            </w:r>
          </w:p>
          <w:p w14:paraId="67D65703"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Patients who have an adequate response should receive 50 mg at week 6 and every 4 weeks thereafter.  </w:t>
            </w:r>
          </w:p>
          <w:p w14:paraId="24D4EEC0"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Patients who have an inadequate response may benefit from continuing with 100 mg at week 6 and every 4 weeks thereafter.  </w:t>
            </w:r>
          </w:p>
          <w:p w14:paraId="17D7FB5E"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Patients with body weight greater than or equal to 80 kg  </w:t>
            </w:r>
          </w:p>
          <w:p w14:paraId="53D300CA"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Golimumab given as an initial dose of 200 mg, followed by 100 mg at week 2, then 100 mg every 4 weeks, thereafter. </w:t>
            </w:r>
          </w:p>
          <w:p w14:paraId="60D235B3"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Available data suggest that clinical response is usually achieved within 12-14 weeks of treatment. </w:t>
            </w:r>
          </w:p>
        </w:tc>
      </w:tr>
      <w:tr w:rsidR="002A0F5D" w:rsidRPr="006C68C4" w14:paraId="3DF0E35A" w14:textId="77777777" w:rsidTr="002A0F5D">
        <w:trPr>
          <w:trHeight w:val="300"/>
        </w:trPr>
        <w:tc>
          <w:tcPr>
            <w:tcW w:w="91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E73CD4" w14:textId="77777777" w:rsidR="002A0F5D" w:rsidRPr="006C68C4" w:rsidRDefault="002A0F5D" w:rsidP="00BA04E9">
            <w:pPr>
              <w:rPr>
                <w:rFonts w:ascii="Arial" w:hAnsi="Arial" w:cs="Arial"/>
                <w:szCs w:val="24"/>
                <w:lang w:eastAsia="ca-ES"/>
              </w:rPr>
            </w:pPr>
            <w:r w:rsidRPr="006C68C4">
              <w:rPr>
                <w:rFonts w:ascii="Arial" w:hAnsi="Arial" w:cs="Arial"/>
                <w:sz w:val="20"/>
                <w:lang w:eastAsia="ca-ES"/>
              </w:rPr>
              <w:t>Infliximab </w:t>
            </w:r>
          </w:p>
        </w:tc>
        <w:tc>
          <w:tcPr>
            <w:tcW w:w="4084" w:type="pct"/>
            <w:tcBorders>
              <w:top w:val="single" w:sz="6" w:space="0" w:color="auto"/>
              <w:left w:val="single" w:sz="6" w:space="0" w:color="auto"/>
              <w:bottom w:val="single" w:sz="6" w:space="0" w:color="auto"/>
              <w:right w:val="single" w:sz="6" w:space="0" w:color="auto"/>
            </w:tcBorders>
            <w:shd w:val="clear" w:color="auto" w:fill="auto"/>
            <w:hideMark/>
          </w:tcPr>
          <w:p w14:paraId="28155C9F"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The posology is 5 mg/kg given as an intravenous infusion followed by additional 5 mg/kg infusion doses at 2 and 6 weeks after the first infusion, then every 8 weeks thereafter.  </w:t>
            </w:r>
          </w:p>
          <w:p w14:paraId="568EFDCD"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Available data suggest that the clinical response is usually achieved within 14 weeks of treatment, i.e., three doses.  </w:t>
            </w:r>
          </w:p>
          <w:p w14:paraId="46AB8A99"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Continued therapy should be carefully reconsidered in patients who show no evidence of therapeutic benefit within this time period. </w:t>
            </w:r>
          </w:p>
        </w:tc>
      </w:tr>
      <w:tr w:rsidR="002A0F5D" w:rsidRPr="006C68C4" w14:paraId="3905D943" w14:textId="77777777" w:rsidTr="002A0F5D">
        <w:trPr>
          <w:trHeight w:val="300"/>
        </w:trPr>
        <w:tc>
          <w:tcPr>
            <w:tcW w:w="91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D4ED061" w14:textId="77777777" w:rsidR="002A0F5D" w:rsidRPr="006C68C4" w:rsidRDefault="002A0F5D" w:rsidP="00BA04E9">
            <w:pPr>
              <w:rPr>
                <w:rFonts w:ascii="Arial" w:hAnsi="Arial" w:cs="Arial"/>
                <w:szCs w:val="24"/>
                <w:lang w:eastAsia="ca-ES"/>
              </w:rPr>
            </w:pPr>
            <w:r w:rsidRPr="006C68C4">
              <w:rPr>
                <w:rFonts w:ascii="Arial" w:hAnsi="Arial" w:cs="Arial"/>
                <w:sz w:val="20"/>
                <w:lang w:eastAsia="ca-ES"/>
              </w:rPr>
              <w:t>Tofacitinib </w:t>
            </w:r>
          </w:p>
        </w:tc>
        <w:tc>
          <w:tcPr>
            <w:tcW w:w="4084" w:type="pct"/>
            <w:tcBorders>
              <w:top w:val="single" w:sz="6" w:space="0" w:color="auto"/>
              <w:left w:val="single" w:sz="6" w:space="0" w:color="auto"/>
              <w:bottom w:val="single" w:sz="6" w:space="0" w:color="auto"/>
              <w:right w:val="single" w:sz="6" w:space="0" w:color="auto"/>
            </w:tcBorders>
            <w:shd w:val="clear" w:color="auto" w:fill="auto"/>
            <w:hideMark/>
          </w:tcPr>
          <w:p w14:paraId="339D0D87"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val="en-US" w:eastAsia="ca-ES"/>
              </w:rPr>
              <w:t>In induction, the recommended dose is 10 mg given orally twice daily for 8 weeks.</w:t>
            </w:r>
            <w:r w:rsidRPr="006C68C4">
              <w:rPr>
                <w:rFonts w:ascii="Arial" w:hAnsi="Arial" w:cs="Arial"/>
                <w:sz w:val="20"/>
                <w:lang w:eastAsia="ca-ES"/>
              </w:rPr>
              <w:t> </w:t>
            </w:r>
          </w:p>
          <w:p w14:paraId="2B1CCA49"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val="en-US" w:eastAsia="ca-ES"/>
              </w:rPr>
              <w:t>For patients who do not achieve adequate therapeutic benefit by week 8, the induction dose of 10 mg twice daily can be extended for an additional 8 weeks (16 weeks total), followed by 5 mg twice daily for maintenance. </w:t>
            </w:r>
            <w:r w:rsidRPr="006C68C4">
              <w:rPr>
                <w:rFonts w:ascii="Arial" w:hAnsi="Arial" w:cs="Arial"/>
                <w:sz w:val="20"/>
                <w:lang w:eastAsia="ca-ES"/>
              </w:rPr>
              <w:t> </w:t>
            </w:r>
          </w:p>
          <w:p w14:paraId="0A892EFC"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val="en-US" w:eastAsia="ca-ES"/>
              </w:rPr>
              <w:t>Tofacitinib induction therapy should be discontinued in any patient who shows no evidence of therapeutic benefit by week 16.</w:t>
            </w:r>
            <w:r w:rsidRPr="006C68C4">
              <w:rPr>
                <w:rFonts w:ascii="Arial" w:hAnsi="Arial" w:cs="Arial"/>
                <w:sz w:val="20"/>
                <w:lang w:eastAsia="ca-ES"/>
              </w:rPr>
              <w:t> </w:t>
            </w:r>
          </w:p>
          <w:p w14:paraId="4BDC3291"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val="en-US" w:eastAsia="ca-ES"/>
              </w:rPr>
              <w:t>The recommended dose for maintenance treatment is tofacitinib 5 mg given orally twice daily.</w:t>
            </w:r>
            <w:r w:rsidRPr="006C68C4">
              <w:rPr>
                <w:rFonts w:ascii="Arial" w:hAnsi="Arial" w:cs="Arial"/>
                <w:sz w:val="20"/>
                <w:lang w:eastAsia="ca-ES"/>
              </w:rPr>
              <w:t> </w:t>
            </w:r>
          </w:p>
          <w:p w14:paraId="598CC748"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val="en-US" w:eastAsia="ca-ES"/>
              </w:rPr>
              <w:t>Tofacitinib 10 mg twice daily for maintenance treatment is not recommended in patients with UC who have known venous thromboembolism (VTE), major adverse cardiovascular events (MACE) and malignancy risk factors, unless there is no suitable alternative treatment available.</w:t>
            </w:r>
            <w:r w:rsidRPr="006C68C4">
              <w:rPr>
                <w:rFonts w:ascii="Arial" w:hAnsi="Arial" w:cs="Arial"/>
                <w:sz w:val="20"/>
                <w:lang w:eastAsia="ca-ES"/>
              </w:rPr>
              <w:t> </w:t>
            </w:r>
          </w:p>
          <w:p w14:paraId="08C5F07F"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val="en-US" w:eastAsia="ca-ES"/>
              </w:rPr>
              <w:t xml:space="preserve">For patients with UC who are not at increased risk for VTE, MACE and malignancy tofacitinib 10 mg orally twice daily may be considered if the patient experiences a decrease in response on tofacitinib 5 mg twice daily and failed to respond to alternative treatment options for ulcerative colitis such as </w:t>
            </w:r>
            <w:proofErr w:type="spellStart"/>
            <w:r w:rsidRPr="006C68C4">
              <w:rPr>
                <w:rFonts w:ascii="Arial" w:hAnsi="Arial" w:cs="Arial"/>
                <w:sz w:val="20"/>
                <w:lang w:val="en-US" w:eastAsia="ca-ES"/>
              </w:rPr>
              <w:t>tumour</w:t>
            </w:r>
            <w:proofErr w:type="spellEnd"/>
            <w:r w:rsidRPr="006C68C4">
              <w:rPr>
                <w:rFonts w:ascii="Arial" w:hAnsi="Arial" w:cs="Arial"/>
                <w:sz w:val="20"/>
                <w:lang w:val="en-US" w:eastAsia="ca-ES"/>
              </w:rPr>
              <w:t xml:space="preserve"> necrosis factor inhibitor (TNF inhibitor) treatment. </w:t>
            </w:r>
            <w:r w:rsidRPr="006C68C4">
              <w:rPr>
                <w:rFonts w:ascii="Arial" w:hAnsi="Arial" w:cs="Arial"/>
                <w:sz w:val="20"/>
                <w:lang w:eastAsia="ca-ES"/>
              </w:rPr>
              <w:t> </w:t>
            </w:r>
          </w:p>
          <w:p w14:paraId="2CA7FBB9"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val="en-US" w:eastAsia="ca-ES"/>
              </w:rPr>
              <w:t>Tofacitinib 10 mg twice daily for maintenance treatment should be used for the shortest duration possible. The lowest effective dose needed to maintain response should be used.</w:t>
            </w:r>
            <w:r w:rsidRPr="006C68C4">
              <w:rPr>
                <w:rFonts w:ascii="Arial" w:hAnsi="Arial" w:cs="Arial"/>
                <w:sz w:val="20"/>
                <w:lang w:eastAsia="ca-ES"/>
              </w:rPr>
              <w:t> </w:t>
            </w:r>
          </w:p>
          <w:p w14:paraId="4370BBE7"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val="en-US" w:eastAsia="ca-ES"/>
              </w:rPr>
              <w:t>Retreatment in UC</w:t>
            </w:r>
            <w:r w:rsidRPr="006C68C4">
              <w:rPr>
                <w:rFonts w:ascii="Arial" w:hAnsi="Arial" w:cs="Arial"/>
                <w:sz w:val="20"/>
                <w:lang w:eastAsia="ca-ES"/>
              </w:rPr>
              <w:t> </w:t>
            </w:r>
          </w:p>
          <w:p w14:paraId="56E562A3"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val="en-US" w:eastAsia="ca-ES"/>
              </w:rPr>
              <w:t>If therapy is interrupted, restarting treatment with tofacitinib can be considered. If there has been a loss of response, reinduction with tofacitinib 10 mg twice daily may be considered. The treatment interruption period in clinical studies extended up to 1 year. Efficacy may be regained by 8 weeks of 10 mg twice daily therapy.</w:t>
            </w:r>
            <w:r w:rsidRPr="006C68C4">
              <w:rPr>
                <w:rFonts w:ascii="Arial" w:hAnsi="Arial" w:cs="Arial"/>
                <w:sz w:val="20"/>
                <w:lang w:eastAsia="ca-ES"/>
              </w:rPr>
              <w:t> </w:t>
            </w:r>
          </w:p>
        </w:tc>
      </w:tr>
      <w:tr w:rsidR="002A0F5D" w:rsidRPr="006C68C4" w14:paraId="0A20BAF2" w14:textId="77777777" w:rsidTr="002A0F5D">
        <w:trPr>
          <w:trHeight w:val="300"/>
        </w:trPr>
        <w:tc>
          <w:tcPr>
            <w:tcW w:w="91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06CB535" w14:textId="77777777" w:rsidR="002A0F5D" w:rsidRPr="006C68C4" w:rsidRDefault="002A0F5D" w:rsidP="00BA04E9">
            <w:pPr>
              <w:rPr>
                <w:rFonts w:ascii="Arial" w:hAnsi="Arial" w:cs="Arial"/>
                <w:szCs w:val="24"/>
                <w:lang w:eastAsia="ca-ES"/>
              </w:rPr>
            </w:pPr>
            <w:r w:rsidRPr="006C68C4">
              <w:rPr>
                <w:rFonts w:ascii="Arial" w:hAnsi="Arial" w:cs="Arial"/>
                <w:sz w:val="20"/>
                <w:lang w:eastAsia="ca-ES"/>
              </w:rPr>
              <w:t>Upadacitinib </w:t>
            </w:r>
          </w:p>
        </w:tc>
        <w:tc>
          <w:tcPr>
            <w:tcW w:w="4084" w:type="pct"/>
            <w:tcBorders>
              <w:top w:val="single" w:sz="6" w:space="0" w:color="auto"/>
              <w:left w:val="single" w:sz="6" w:space="0" w:color="auto"/>
              <w:bottom w:val="single" w:sz="6" w:space="0" w:color="auto"/>
              <w:right w:val="single" w:sz="6" w:space="0" w:color="auto"/>
            </w:tcBorders>
            <w:shd w:val="clear" w:color="auto" w:fill="auto"/>
            <w:hideMark/>
          </w:tcPr>
          <w:p w14:paraId="5570923C"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The recommended induction dose is 45 mg once daily for 8 weeks. </w:t>
            </w:r>
          </w:p>
          <w:p w14:paraId="5AA6FBC9"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 For patients who do not achieve adequate therapeutic benefit by week 8, upadacitinib 45 mg once daily may be continued for an additional 8 weeks.  </w:t>
            </w:r>
          </w:p>
          <w:p w14:paraId="53162EC0"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Upadacitinib should be discontinued in any patient who shows no evidence of therapeutic benefit by week 16.  </w:t>
            </w:r>
          </w:p>
          <w:p w14:paraId="150C68B3"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The recommended maintenance dose of upadacitinib is 15 mg or 30 mg once daily based on individual patient presentation:  </w:t>
            </w:r>
          </w:p>
          <w:p w14:paraId="1819528D" w14:textId="77777777" w:rsidR="002A0F5D" w:rsidRPr="006C68C4" w:rsidRDefault="002A0F5D" w:rsidP="00BA04E9">
            <w:pPr>
              <w:pStyle w:val="ListParagraph"/>
              <w:numPr>
                <w:ilvl w:val="0"/>
                <w:numId w:val="1"/>
              </w:numPr>
              <w:spacing w:after="120"/>
              <w:rPr>
                <w:sz w:val="18"/>
                <w:lang w:eastAsia="ca-ES"/>
              </w:rPr>
            </w:pPr>
            <w:r w:rsidRPr="006C68C4">
              <w:rPr>
                <w:sz w:val="18"/>
                <w:lang w:eastAsia="ca-ES"/>
              </w:rPr>
              <w:t>A dose of 15 mg is recommended for patients at higher risk of venous thromboembolism (VTE), major adverse cardiovascular event (MACE) and malignancy</w:t>
            </w:r>
            <w:r w:rsidRPr="006C68C4">
              <w:rPr>
                <w:color w:val="8764B8"/>
                <w:sz w:val="18"/>
                <w:lang w:eastAsia="ca-ES"/>
              </w:rPr>
              <w:t>.</w:t>
            </w:r>
            <w:r w:rsidRPr="006C68C4">
              <w:rPr>
                <w:sz w:val="18"/>
                <w:lang w:eastAsia="ca-ES"/>
              </w:rPr>
              <w:t> </w:t>
            </w:r>
          </w:p>
          <w:p w14:paraId="1E80B58E" w14:textId="77777777" w:rsidR="002A0F5D" w:rsidRPr="006C68C4" w:rsidRDefault="002A0F5D" w:rsidP="00BA04E9">
            <w:pPr>
              <w:pStyle w:val="ListParagraph"/>
              <w:numPr>
                <w:ilvl w:val="0"/>
                <w:numId w:val="1"/>
              </w:numPr>
              <w:spacing w:after="120"/>
              <w:rPr>
                <w:sz w:val="18"/>
                <w:lang w:eastAsia="ca-ES"/>
              </w:rPr>
            </w:pPr>
            <w:r w:rsidRPr="006C68C4">
              <w:rPr>
                <w:sz w:val="18"/>
                <w:lang w:eastAsia="ca-ES"/>
              </w:rPr>
              <w:t>A dose of 30 mg once daily may be appropriate for some patients, such as those with high disease burden or requiring 16-week induction treatment who are not at higher risk of VTE, MACE and malignancy or who do not show adequate therapeutic benefit to 15 mg once daily.  </w:t>
            </w:r>
          </w:p>
          <w:p w14:paraId="4AC1C341" w14:textId="77777777" w:rsidR="002A0F5D" w:rsidRPr="006C68C4" w:rsidRDefault="002A0F5D" w:rsidP="00BA04E9">
            <w:pPr>
              <w:pStyle w:val="ListParagraph"/>
              <w:numPr>
                <w:ilvl w:val="0"/>
                <w:numId w:val="1"/>
              </w:numPr>
              <w:spacing w:after="120"/>
              <w:rPr>
                <w:sz w:val="18"/>
                <w:lang w:eastAsia="ca-ES"/>
              </w:rPr>
            </w:pPr>
            <w:r w:rsidRPr="006C68C4">
              <w:rPr>
                <w:sz w:val="18"/>
                <w:lang w:eastAsia="ca-ES"/>
              </w:rPr>
              <w:t>The lowest effective dose to maintain response should be used.  </w:t>
            </w:r>
          </w:p>
          <w:p w14:paraId="066C7713"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For patients 65 years of age and older, the recommended dose is 15 mg once daily.  </w:t>
            </w:r>
          </w:p>
        </w:tc>
      </w:tr>
      <w:tr w:rsidR="002A0F5D" w:rsidRPr="006C68C4" w14:paraId="655F8F96" w14:textId="77777777" w:rsidTr="002A0F5D">
        <w:trPr>
          <w:trHeight w:val="300"/>
        </w:trPr>
        <w:tc>
          <w:tcPr>
            <w:tcW w:w="91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4B07B61" w14:textId="77777777" w:rsidR="002A0F5D" w:rsidRPr="006C68C4" w:rsidRDefault="002A0F5D" w:rsidP="00BA04E9">
            <w:pPr>
              <w:rPr>
                <w:rFonts w:ascii="Arial" w:hAnsi="Arial" w:cs="Arial"/>
                <w:szCs w:val="24"/>
                <w:lang w:eastAsia="ca-ES"/>
              </w:rPr>
            </w:pPr>
            <w:r w:rsidRPr="006C68C4">
              <w:rPr>
                <w:rFonts w:ascii="Arial" w:hAnsi="Arial" w:cs="Arial"/>
                <w:sz w:val="20"/>
                <w:lang w:eastAsia="ca-ES"/>
              </w:rPr>
              <w:t>Ustekinumab </w:t>
            </w:r>
          </w:p>
        </w:tc>
        <w:tc>
          <w:tcPr>
            <w:tcW w:w="4084" w:type="pct"/>
            <w:tcBorders>
              <w:top w:val="single" w:sz="6" w:space="0" w:color="auto"/>
              <w:left w:val="single" w:sz="6" w:space="0" w:color="auto"/>
              <w:bottom w:val="single" w:sz="6" w:space="0" w:color="auto"/>
              <w:right w:val="single" w:sz="6" w:space="0" w:color="auto"/>
            </w:tcBorders>
            <w:shd w:val="clear" w:color="auto" w:fill="auto"/>
            <w:hideMark/>
          </w:tcPr>
          <w:p w14:paraId="217A0B30" w14:textId="77777777" w:rsidR="002A0F5D" w:rsidRPr="006C68C4" w:rsidRDefault="002A0F5D" w:rsidP="00BA04E9">
            <w:pPr>
              <w:rPr>
                <w:rFonts w:ascii="Arial" w:hAnsi="Arial" w:cs="Arial"/>
                <w:szCs w:val="24"/>
                <w:lang w:eastAsia="ca-ES"/>
              </w:rPr>
            </w:pPr>
            <w:r w:rsidRPr="006C68C4">
              <w:rPr>
                <w:rFonts w:ascii="Arial" w:hAnsi="Arial" w:cs="Arial"/>
                <w:sz w:val="20"/>
                <w:lang w:val="en-US" w:eastAsia="ca-ES"/>
              </w:rPr>
              <w:t>Initial intravenous dose: </w:t>
            </w:r>
            <w:r w:rsidRPr="006C68C4">
              <w:rPr>
                <w:rFonts w:ascii="Arial" w:hAnsi="Arial" w:cs="Arial"/>
                <w:sz w:val="20"/>
                <w:lang w:eastAsia="ca-ES"/>
              </w:rPr>
              <w:t> </w:t>
            </w:r>
          </w:p>
          <w:tbl>
            <w:tblPr>
              <w:tblW w:w="6432" w:type="dxa"/>
              <w:tblInd w:w="1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2"/>
              <w:gridCol w:w="2366"/>
              <w:gridCol w:w="1754"/>
            </w:tblGrid>
            <w:tr w:rsidR="002A0F5D" w:rsidRPr="006C68C4" w14:paraId="385E14FE" w14:textId="77777777" w:rsidTr="00BA04E9">
              <w:trPr>
                <w:trHeight w:val="283"/>
              </w:trPr>
              <w:tc>
                <w:tcPr>
                  <w:tcW w:w="2312" w:type="dxa"/>
                  <w:tcBorders>
                    <w:top w:val="single" w:sz="6" w:space="0" w:color="auto"/>
                    <w:left w:val="nil"/>
                    <w:bottom w:val="single" w:sz="6" w:space="0" w:color="auto"/>
                    <w:right w:val="nil"/>
                  </w:tcBorders>
                  <w:shd w:val="clear" w:color="auto" w:fill="F2F2F2"/>
                  <w:hideMark/>
                </w:tcPr>
                <w:p w14:paraId="620BE6D5" w14:textId="77777777" w:rsidR="002A0F5D" w:rsidRPr="006C68C4" w:rsidRDefault="002A0F5D" w:rsidP="00BA04E9">
                  <w:pPr>
                    <w:spacing w:after="0"/>
                    <w:jc w:val="center"/>
                    <w:rPr>
                      <w:rFonts w:ascii="Arial" w:hAnsi="Arial" w:cs="Arial"/>
                      <w:b/>
                      <w:bCs/>
                      <w:sz w:val="20"/>
                      <w:lang w:eastAsia="ca-ES"/>
                    </w:rPr>
                  </w:pPr>
                  <w:r w:rsidRPr="006C68C4">
                    <w:rPr>
                      <w:rFonts w:ascii="Arial" w:hAnsi="Arial" w:cs="Arial"/>
                      <w:b/>
                      <w:bCs/>
                      <w:sz w:val="20"/>
                      <w:lang w:eastAsia="ca-ES"/>
                    </w:rPr>
                    <w:t>Body weight of patient</w:t>
                  </w:r>
                </w:p>
                <w:p w14:paraId="7DA374A2" w14:textId="77777777" w:rsidR="002A0F5D" w:rsidRPr="006C68C4" w:rsidRDefault="002A0F5D" w:rsidP="00BA04E9">
                  <w:pPr>
                    <w:jc w:val="center"/>
                    <w:rPr>
                      <w:rFonts w:ascii="Arial" w:hAnsi="Arial" w:cs="Arial"/>
                      <w:b/>
                      <w:bCs/>
                      <w:sz w:val="20"/>
                      <w:lang w:eastAsia="ca-ES"/>
                    </w:rPr>
                  </w:pPr>
                  <w:r w:rsidRPr="006C68C4">
                    <w:rPr>
                      <w:rFonts w:ascii="Arial" w:hAnsi="Arial" w:cs="Arial"/>
                      <w:b/>
                      <w:bCs/>
                      <w:sz w:val="20"/>
                      <w:lang w:eastAsia="ca-ES"/>
                    </w:rPr>
                    <w:t>at the time of dosing</w:t>
                  </w:r>
                </w:p>
              </w:tc>
              <w:tc>
                <w:tcPr>
                  <w:tcW w:w="2366" w:type="dxa"/>
                  <w:tcBorders>
                    <w:top w:val="single" w:sz="6" w:space="0" w:color="auto"/>
                    <w:left w:val="nil"/>
                    <w:bottom w:val="single" w:sz="6" w:space="0" w:color="auto"/>
                    <w:right w:val="nil"/>
                  </w:tcBorders>
                  <w:shd w:val="clear" w:color="auto" w:fill="F2F2F2"/>
                  <w:hideMark/>
                </w:tcPr>
                <w:p w14:paraId="02BE6357" w14:textId="77777777" w:rsidR="002A0F5D" w:rsidRPr="006C68C4" w:rsidRDefault="002A0F5D" w:rsidP="00BA04E9">
                  <w:pPr>
                    <w:spacing w:after="0"/>
                    <w:jc w:val="center"/>
                    <w:rPr>
                      <w:rFonts w:ascii="Arial" w:hAnsi="Arial" w:cs="Arial"/>
                      <w:b/>
                      <w:bCs/>
                      <w:sz w:val="20"/>
                      <w:lang w:eastAsia="ca-ES"/>
                    </w:rPr>
                  </w:pPr>
                  <w:r w:rsidRPr="006C68C4">
                    <w:rPr>
                      <w:rFonts w:ascii="Arial" w:hAnsi="Arial" w:cs="Arial"/>
                      <w:b/>
                      <w:bCs/>
                      <w:sz w:val="20"/>
                      <w:lang w:eastAsia="ca-ES"/>
                    </w:rPr>
                    <w:t>Recommended</w:t>
                  </w:r>
                </w:p>
                <w:p w14:paraId="5CF5B714" w14:textId="77777777" w:rsidR="002A0F5D" w:rsidRPr="006C68C4" w:rsidRDefault="002A0F5D" w:rsidP="00BA04E9">
                  <w:pPr>
                    <w:jc w:val="center"/>
                    <w:rPr>
                      <w:rFonts w:ascii="Arial" w:hAnsi="Arial" w:cs="Arial"/>
                      <w:b/>
                      <w:bCs/>
                      <w:szCs w:val="24"/>
                      <w:lang w:eastAsia="ca-ES"/>
                    </w:rPr>
                  </w:pPr>
                  <w:r w:rsidRPr="006C68C4">
                    <w:rPr>
                      <w:rFonts w:ascii="Arial" w:hAnsi="Arial" w:cs="Arial"/>
                      <w:b/>
                      <w:bCs/>
                      <w:sz w:val="20"/>
                      <w:lang w:eastAsia="ca-ES"/>
                    </w:rPr>
                    <w:t>dose</w:t>
                  </w:r>
                  <w:r w:rsidRPr="006C68C4">
                    <w:rPr>
                      <w:rFonts w:ascii="Arial" w:hAnsi="Arial" w:cs="Arial"/>
                      <w:b/>
                      <w:bCs/>
                      <w:sz w:val="14"/>
                      <w:szCs w:val="16"/>
                      <w:vertAlign w:val="superscript"/>
                      <w:lang w:eastAsia="ca-ES"/>
                    </w:rPr>
                    <w:t>a</w:t>
                  </w:r>
                </w:p>
              </w:tc>
              <w:tc>
                <w:tcPr>
                  <w:tcW w:w="1754" w:type="dxa"/>
                  <w:tcBorders>
                    <w:top w:val="single" w:sz="6" w:space="0" w:color="auto"/>
                    <w:left w:val="nil"/>
                    <w:bottom w:val="single" w:sz="6" w:space="0" w:color="auto"/>
                    <w:right w:val="nil"/>
                  </w:tcBorders>
                  <w:shd w:val="clear" w:color="auto" w:fill="F2F2F2"/>
                  <w:hideMark/>
                </w:tcPr>
                <w:p w14:paraId="597D5621" w14:textId="77777777" w:rsidR="002A0F5D" w:rsidRPr="006C68C4" w:rsidRDefault="002A0F5D" w:rsidP="00BA04E9">
                  <w:pPr>
                    <w:jc w:val="center"/>
                    <w:rPr>
                      <w:rFonts w:ascii="Arial" w:hAnsi="Arial" w:cs="Arial"/>
                      <w:b/>
                      <w:bCs/>
                      <w:szCs w:val="24"/>
                      <w:lang w:eastAsia="ca-ES"/>
                    </w:rPr>
                  </w:pPr>
                  <w:r w:rsidRPr="006C68C4">
                    <w:rPr>
                      <w:rFonts w:ascii="Arial" w:hAnsi="Arial" w:cs="Arial"/>
                      <w:b/>
                      <w:bCs/>
                      <w:sz w:val="20"/>
                      <w:lang w:eastAsia="ca-ES"/>
                    </w:rPr>
                    <w:t>Number of vials (130 mg each)</w:t>
                  </w:r>
                </w:p>
              </w:tc>
            </w:tr>
            <w:tr w:rsidR="002A0F5D" w:rsidRPr="006C68C4" w14:paraId="5B2BFAC1" w14:textId="77777777" w:rsidTr="00BA04E9">
              <w:trPr>
                <w:trHeight w:val="283"/>
              </w:trPr>
              <w:tc>
                <w:tcPr>
                  <w:tcW w:w="2312" w:type="dxa"/>
                  <w:tcBorders>
                    <w:top w:val="single" w:sz="6" w:space="0" w:color="auto"/>
                    <w:left w:val="nil"/>
                    <w:bottom w:val="nil"/>
                    <w:right w:val="nil"/>
                  </w:tcBorders>
                  <w:shd w:val="clear" w:color="auto" w:fill="auto"/>
                  <w:hideMark/>
                </w:tcPr>
                <w:p w14:paraId="0C58286C" w14:textId="77777777" w:rsidR="002A0F5D" w:rsidRPr="006C68C4" w:rsidRDefault="002A0F5D" w:rsidP="00BA04E9">
                  <w:pPr>
                    <w:jc w:val="center"/>
                    <w:rPr>
                      <w:rFonts w:ascii="Arial" w:hAnsi="Arial" w:cs="Arial"/>
                      <w:szCs w:val="24"/>
                      <w:lang w:eastAsia="ca-ES"/>
                    </w:rPr>
                  </w:pPr>
                  <w:r w:rsidRPr="006C68C4">
                    <w:rPr>
                      <w:rFonts w:ascii="Arial" w:hAnsi="Arial" w:cs="Arial"/>
                      <w:sz w:val="20"/>
                      <w:lang w:eastAsia="ca-ES"/>
                    </w:rPr>
                    <w:t>≤ 55 kg</w:t>
                  </w:r>
                </w:p>
              </w:tc>
              <w:tc>
                <w:tcPr>
                  <w:tcW w:w="2366" w:type="dxa"/>
                  <w:tcBorders>
                    <w:top w:val="single" w:sz="6" w:space="0" w:color="auto"/>
                    <w:left w:val="nil"/>
                    <w:bottom w:val="nil"/>
                    <w:right w:val="nil"/>
                  </w:tcBorders>
                  <w:shd w:val="clear" w:color="auto" w:fill="auto"/>
                  <w:hideMark/>
                </w:tcPr>
                <w:p w14:paraId="2D136A0A" w14:textId="77777777" w:rsidR="002A0F5D" w:rsidRPr="006C68C4" w:rsidRDefault="002A0F5D" w:rsidP="00BA04E9">
                  <w:pPr>
                    <w:jc w:val="center"/>
                    <w:rPr>
                      <w:rFonts w:ascii="Arial" w:hAnsi="Arial" w:cs="Arial"/>
                      <w:szCs w:val="24"/>
                      <w:lang w:eastAsia="ca-ES"/>
                    </w:rPr>
                  </w:pPr>
                  <w:r w:rsidRPr="006C68C4">
                    <w:rPr>
                      <w:rFonts w:ascii="Arial" w:hAnsi="Arial" w:cs="Arial"/>
                      <w:sz w:val="20"/>
                      <w:lang w:eastAsia="ca-ES"/>
                    </w:rPr>
                    <w:t>260 mg</w:t>
                  </w:r>
                </w:p>
              </w:tc>
              <w:tc>
                <w:tcPr>
                  <w:tcW w:w="1754" w:type="dxa"/>
                  <w:tcBorders>
                    <w:top w:val="single" w:sz="6" w:space="0" w:color="auto"/>
                    <w:left w:val="nil"/>
                    <w:bottom w:val="nil"/>
                    <w:right w:val="nil"/>
                  </w:tcBorders>
                  <w:shd w:val="clear" w:color="auto" w:fill="auto"/>
                  <w:hideMark/>
                </w:tcPr>
                <w:p w14:paraId="5CD7BAF4" w14:textId="77777777" w:rsidR="002A0F5D" w:rsidRPr="006C68C4" w:rsidRDefault="002A0F5D" w:rsidP="00BA04E9">
                  <w:pPr>
                    <w:jc w:val="center"/>
                    <w:rPr>
                      <w:rFonts w:ascii="Arial" w:hAnsi="Arial" w:cs="Arial"/>
                      <w:szCs w:val="24"/>
                      <w:lang w:eastAsia="ca-ES"/>
                    </w:rPr>
                  </w:pPr>
                  <w:r w:rsidRPr="006C68C4">
                    <w:rPr>
                      <w:rFonts w:ascii="Arial" w:hAnsi="Arial" w:cs="Arial"/>
                      <w:sz w:val="20"/>
                      <w:lang w:val="en-US" w:eastAsia="ca-ES"/>
                    </w:rPr>
                    <w:t>2</w:t>
                  </w:r>
                </w:p>
              </w:tc>
            </w:tr>
            <w:tr w:rsidR="002A0F5D" w:rsidRPr="006C68C4" w14:paraId="7E3F92A0" w14:textId="77777777" w:rsidTr="00BA04E9">
              <w:trPr>
                <w:trHeight w:val="283"/>
              </w:trPr>
              <w:tc>
                <w:tcPr>
                  <w:tcW w:w="2312" w:type="dxa"/>
                  <w:tcBorders>
                    <w:top w:val="nil"/>
                    <w:left w:val="nil"/>
                    <w:bottom w:val="nil"/>
                    <w:right w:val="nil"/>
                  </w:tcBorders>
                  <w:shd w:val="clear" w:color="auto" w:fill="auto"/>
                  <w:hideMark/>
                </w:tcPr>
                <w:p w14:paraId="413FAF55" w14:textId="77777777" w:rsidR="002A0F5D" w:rsidRPr="006C68C4" w:rsidRDefault="002A0F5D" w:rsidP="00BA04E9">
                  <w:pPr>
                    <w:jc w:val="center"/>
                    <w:rPr>
                      <w:rFonts w:ascii="Arial" w:hAnsi="Arial" w:cs="Arial"/>
                      <w:szCs w:val="24"/>
                      <w:lang w:eastAsia="ca-ES"/>
                    </w:rPr>
                  </w:pPr>
                  <w:r w:rsidRPr="006C68C4">
                    <w:rPr>
                      <w:rFonts w:ascii="Arial" w:hAnsi="Arial" w:cs="Arial"/>
                      <w:sz w:val="20"/>
                      <w:lang w:eastAsia="ca-ES"/>
                    </w:rPr>
                    <w:t>&gt; 55 kg to ≤ 85 kg</w:t>
                  </w:r>
                </w:p>
              </w:tc>
              <w:tc>
                <w:tcPr>
                  <w:tcW w:w="2366" w:type="dxa"/>
                  <w:tcBorders>
                    <w:top w:val="nil"/>
                    <w:left w:val="nil"/>
                    <w:bottom w:val="nil"/>
                    <w:right w:val="nil"/>
                  </w:tcBorders>
                  <w:shd w:val="clear" w:color="auto" w:fill="auto"/>
                  <w:hideMark/>
                </w:tcPr>
                <w:p w14:paraId="433614F7" w14:textId="77777777" w:rsidR="002A0F5D" w:rsidRPr="006C68C4" w:rsidRDefault="002A0F5D" w:rsidP="00BA04E9">
                  <w:pPr>
                    <w:jc w:val="center"/>
                    <w:rPr>
                      <w:rFonts w:ascii="Arial" w:hAnsi="Arial" w:cs="Arial"/>
                      <w:szCs w:val="24"/>
                      <w:lang w:eastAsia="ca-ES"/>
                    </w:rPr>
                  </w:pPr>
                  <w:r w:rsidRPr="006C68C4">
                    <w:rPr>
                      <w:rFonts w:ascii="Arial" w:hAnsi="Arial" w:cs="Arial"/>
                      <w:sz w:val="20"/>
                      <w:lang w:eastAsia="ca-ES"/>
                    </w:rPr>
                    <w:t>390 mg</w:t>
                  </w:r>
                </w:p>
              </w:tc>
              <w:tc>
                <w:tcPr>
                  <w:tcW w:w="1754" w:type="dxa"/>
                  <w:tcBorders>
                    <w:top w:val="nil"/>
                    <w:left w:val="nil"/>
                    <w:bottom w:val="nil"/>
                    <w:right w:val="nil"/>
                  </w:tcBorders>
                  <w:shd w:val="clear" w:color="auto" w:fill="auto"/>
                  <w:hideMark/>
                </w:tcPr>
                <w:p w14:paraId="0CCF0D58" w14:textId="77777777" w:rsidR="002A0F5D" w:rsidRPr="006C68C4" w:rsidRDefault="002A0F5D" w:rsidP="00BA04E9">
                  <w:pPr>
                    <w:jc w:val="center"/>
                    <w:rPr>
                      <w:rFonts w:ascii="Arial" w:hAnsi="Arial" w:cs="Arial"/>
                      <w:szCs w:val="24"/>
                      <w:lang w:eastAsia="ca-ES"/>
                    </w:rPr>
                  </w:pPr>
                  <w:r w:rsidRPr="006C68C4">
                    <w:rPr>
                      <w:rFonts w:ascii="Arial" w:hAnsi="Arial" w:cs="Arial"/>
                      <w:sz w:val="20"/>
                      <w:lang w:val="en-US" w:eastAsia="ca-ES"/>
                    </w:rPr>
                    <w:t>3</w:t>
                  </w:r>
                </w:p>
              </w:tc>
            </w:tr>
            <w:tr w:rsidR="002A0F5D" w:rsidRPr="006C68C4" w14:paraId="4B6D1A78" w14:textId="77777777" w:rsidTr="00BA04E9">
              <w:trPr>
                <w:trHeight w:val="283"/>
              </w:trPr>
              <w:tc>
                <w:tcPr>
                  <w:tcW w:w="2312" w:type="dxa"/>
                  <w:tcBorders>
                    <w:top w:val="nil"/>
                    <w:left w:val="nil"/>
                    <w:bottom w:val="single" w:sz="6" w:space="0" w:color="auto"/>
                    <w:right w:val="nil"/>
                  </w:tcBorders>
                  <w:shd w:val="clear" w:color="auto" w:fill="auto"/>
                  <w:hideMark/>
                </w:tcPr>
                <w:p w14:paraId="67E90407" w14:textId="77777777" w:rsidR="002A0F5D" w:rsidRPr="006C68C4" w:rsidRDefault="002A0F5D" w:rsidP="00BA04E9">
                  <w:pPr>
                    <w:jc w:val="center"/>
                    <w:rPr>
                      <w:rFonts w:ascii="Arial" w:hAnsi="Arial" w:cs="Arial"/>
                      <w:szCs w:val="24"/>
                      <w:lang w:eastAsia="ca-ES"/>
                    </w:rPr>
                  </w:pPr>
                  <w:r w:rsidRPr="006C68C4">
                    <w:rPr>
                      <w:rFonts w:ascii="Arial" w:hAnsi="Arial" w:cs="Arial"/>
                      <w:sz w:val="20"/>
                      <w:lang w:eastAsia="ca-ES"/>
                    </w:rPr>
                    <w:t>&gt; 85 kg</w:t>
                  </w:r>
                </w:p>
              </w:tc>
              <w:tc>
                <w:tcPr>
                  <w:tcW w:w="2366" w:type="dxa"/>
                  <w:tcBorders>
                    <w:top w:val="nil"/>
                    <w:left w:val="nil"/>
                    <w:bottom w:val="single" w:sz="6" w:space="0" w:color="auto"/>
                    <w:right w:val="nil"/>
                  </w:tcBorders>
                  <w:shd w:val="clear" w:color="auto" w:fill="auto"/>
                  <w:hideMark/>
                </w:tcPr>
                <w:p w14:paraId="714C5CC7" w14:textId="77777777" w:rsidR="002A0F5D" w:rsidRPr="006C68C4" w:rsidRDefault="002A0F5D" w:rsidP="00BA04E9">
                  <w:pPr>
                    <w:jc w:val="center"/>
                    <w:rPr>
                      <w:rFonts w:ascii="Arial" w:hAnsi="Arial" w:cs="Arial"/>
                      <w:szCs w:val="24"/>
                      <w:lang w:eastAsia="ca-ES"/>
                    </w:rPr>
                  </w:pPr>
                  <w:r w:rsidRPr="006C68C4">
                    <w:rPr>
                      <w:rFonts w:ascii="Arial" w:hAnsi="Arial" w:cs="Arial"/>
                      <w:sz w:val="20"/>
                      <w:lang w:eastAsia="ca-ES"/>
                    </w:rPr>
                    <w:t>520 mg</w:t>
                  </w:r>
                </w:p>
              </w:tc>
              <w:tc>
                <w:tcPr>
                  <w:tcW w:w="1754" w:type="dxa"/>
                  <w:tcBorders>
                    <w:top w:val="nil"/>
                    <w:left w:val="nil"/>
                    <w:bottom w:val="single" w:sz="6" w:space="0" w:color="auto"/>
                    <w:right w:val="nil"/>
                  </w:tcBorders>
                  <w:shd w:val="clear" w:color="auto" w:fill="auto"/>
                  <w:hideMark/>
                </w:tcPr>
                <w:p w14:paraId="19902F23" w14:textId="77777777" w:rsidR="002A0F5D" w:rsidRPr="006C68C4" w:rsidRDefault="002A0F5D" w:rsidP="00BA04E9">
                  <w:pPr>
                    <w:jc w:val="center"/>
                    <w:rPr>
                      <w:rFonts w:ascii="Arial" w:hAnsi="Arial" w:cs="Arial"/>
                      <w:szCs w:val="24"/>
                      <w:lang w:eastAsia="ca-ES"/>
                    </w:rPr>
                  </w:pPr>
                  <w:r w:rsidRPr="006C68C4">
                    <w:rPr>
                      <w:rFonts w:ascii="Arial" w:hAnsi="Arial" w:cs="Arial"/>
                      <w:sz w:val="20"/>
                      <w:lang w:val="en-US" w:eastAsia="ca-ES"/>
                    </w:rPr>
                    <w:t>4</w:t>
                  </w:r>
                </w:p>
              </w:tc>
            </w:tr>
          </w:tbl>
          <w:p w14:paraId="339D55BF" w14:textId="77777777" w:rsidR="002A0F5D" w:rsidRPr="006C68C4" w:rsidRDefault="002A0F5D" w:rsidP="00BA04E9">
            <w:pPr>
              <w:spacing w:before="120" w:after="120"/>
              <w:rPr>
                <w:rFonts w:ascii="Arial" w:hAnsi="Arial" w:cs="Arial"/>
                <w:szCs w:val="24"/>
                <w:lang w:eastAsia="ca-ES"/>
              </w:rPr>
            </w:pPr>
            <w:r w:rsidRPr="006C68C4">
              <w:rPr>
                <w:rFonts w:ascii="Arial" w:hAnsi="Arial" w:cs="Arial"/>
                <w:sz w:val="20"/>
                <w:lang w:eastAsia="ca-ES"/>
              </w:rPr>
              <w:t> The first subcutaneous dose should be given at week 8 following the intravenous dose.  </w:t>
            </w:r>
          </w:p>
          <w:p w14:paraId="35EF464C"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val="en-US" w:eastAsia="ca-ES"/>
              </w:rPr>
              <w:t>The first subcutaneous administration of 90 mg Ustekinumab (STELARA) should take place at week 8 after the intravenous dose. After this, dosing every 12 weeks is recommended.</w:t>
            </w:r>
            <w:r w:rsidRPr="006C68C4">
              <w:rPr>
                <w:rFonts w:ascii="Arial" w:hAnsi="Arial" w:cs="Arial"/>
                <w:sz w:val="20"/>
                <w:lang w:eastAsia="ca-ES"/>
              </w:rPr>
              <w:t> </w:t>
            </w:r>
          </w:p>
          <w:p w14:paraId="37689725"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 </w:t>
            </w:r>
            <w:r w:rsidRPr="006C68C4">
              <w:rPr>
                <w:rFonts w:ascii="Arial" w:hAnsi="Arial" w:cs="Arial"/>
                <w:sz w:val="20"/>
                <w:lang w:val="en-US" w:eastAsia="ca-ES"/>
              </w:rPr>
              <w:t>Patients who have not shown adequate response at 8 weeks after the first subcutaneous dose, may receive a second subcutaneous dose at this time.</w:t>
            </w:r>
            <w:r w:rsidRPr="006C68C4">
              <w:rPr>
                <w:rFonts w:ascii="Arial" w:hAnsi="Arial" w:cs="Arial"/>
                <w:sz w:val="20"/>
                <w:lang w:eastAsia="ca-ES"/>
              </w:rPr>
              <w:t> </w:t>
            </w:r>
          </w:p>
          <w:p w14:paraId="427B2F7F"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 </w:t>
            </w:r>
            <w:r w:rsidRPr="006C68C4">
              <w:rPr>
                <w:rFonts w:ascii="Arial" w:hAnsi="Arial" w:cs="Arial"/>
                <w:sz w:val="20"/>
                <w:lang w:val="en-US" w:eastAsia="ca-ES"/>
              </w:rPr>
              <w:t>Patients who lose response on dosing every 12 weeks may benefit from an increase in dosing frequency to every 8 weeks.</w:t>
            </w:r>
            <w:r w:rsidRPr="006C68C4">
              <w:rPr>
                <w:rFonts w:ascii="Arial" w:hAnsi="Arial" w:cs="Arial"/>
                <w:sz w:val="20"/>
                <w:lang w:eastAsia="ca-ES"/>
              </w:rPr>
              <w:t> </w:t>
            </w:r>
          </w:p>
          <w:p w14:paraId="0AD9F8CD"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val="en-US" w:eastAsia="ca-ES"/>
              </w:rPr>
              <w:t>Patients may subsequently be dosed every 8 weeks or every 12 weeks according to clinical judgment.</w:t>
            </w:r>
            <w:r w:rsidRPr="006C68C4">
              <w:rPr>
                <w:rFonts w:ascii="Arial" w:hAnsi="Arial" w:cs="Arial"/>
                <w:sz w:val="20"/>
                <w:lang w:eastAsia="ca-ES"/>
              </w:rPr>
              <w:t> </w:t>
            </w:r>
          </w:p>
          <w:p w14:paraId="672A85E5"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 </w:t>
            </w:r>
            <w:r w:rsidRPr="006C68C4">
              <w:rPr>
                <w:rFonts w:ascii="Arial" w:hAnsi="Arial" w:cs="Arial"/>
                <w:sz w:val="20"/>
                <w:lang w:val="en-US" w:eastAsia="ca-ES"/>
              </w:rPr>
              <w:t>Consideration should be given to discontinuing treatment in patients who show no evidence of therapeutic benefit 16 weeks after the IV induction dose or 16 weeks after switching to the 8-weekly maintenance dose.</w:t>
            </w:r>
            <w:r w:rsidRPr="006C68C4">
              <w:rPr>
                <w:rFonts w:ascii="Arial" w:hAnsi="Arial" w:cs="Arial"/>
                <w:sz w:val="20"/>
                <w:lang w:eastAsia="ca-ES"/>
              </w:rPr>
              <w:t> </w:t>
            </w:r>
          </w:p>
        </w:tc>
      </w:tr>
      <w:tr w:rsidR="002A0F5D" w:rsidRPr="006C68C4" w14:paraId="552B5C89" w14:textId="77777777" w:rsidTr="002A0F5D">
        <w:trPr>
          <w:trHeight w:val="300"/>
        </w:trPr>
        <w:tc>
          <w:tcPr>
            <w:tcW w:w="916"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144ED4" w14:textId="77777777" w:rsidR="002A0F5D" w:rsidRPr="006C68C4" w:rsidRDefault="002A0F5D" w:rsidP="00BA04E9">
            <w:pPr>
              <w:rPr>
                <w:rFonts w:ascii="Arial" w:hAnsi="Arial" w:cs="Arial"/>
                <w:szCs w:val="24"/>
                <w:lang w:eastAsia="ca-ES"/>
              </w:rPr>
            </w:pPr>
            <w:r w:rsidRPr="006C68C4">
              <w:rPr>
                <w:rFonts w:ascii="Arial" w:hAnsi="Arial" w:cs="Arial"/>
                <w:sz w:val="20"/>
                <w:lang w:eastAsia="ca-ES"/>
              </w:rPr>
              <w:t>Vedolizumab </w:t>
            </w:r>
          </w:p>
        </w:tc>
        <w:tc>
          <w:tcPr>
            <w:tcW w:w="4084" w:type="pct"/>
            <w:tcBorders>
              <w:top w:val="single" w:sz="6" w:space="0" w:color="auto"/>
              <w:left w:val="single" w:sz="6" w:space="0" w:color="auto"/>
              <w:bottom w:val="single" w:sz="6" w:space="0" w:color="auto"/>
              <w:right w:val="single" w:sz="6" w:space="0" w:color="auto"/>
            </w:tcBorders>
            <w:shd w:val="clear" w:color="auto" w:fill="auto"/>
            <w:hideMark/>
          </w:tcPr>
          <w:p w14:paraId="0C20CC9F"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Recommended dose: 300 mg intravenously at 0, 2 and 6 weeks and then every 8 weeks thereafter.  </w:t>
            </w:r>
          </w:p>
          <w:p w14:paraId="6156ACAD" w14:textId="77777777" w:rsidR="002A0F5D" w:rsidRPr="006C68C4" w:rsidRDefault="002A0F5D" w:rsidP="00BA04E9">
            <w:pPr>
              <w:spacing w:after="120"/>
              <w:rPr>
                <w:rFonts w:ascii="Arial" w:hAnsi="Arial" w:cs="Arial"/>
                <w:szCs w:val="24"/>
                <w:lang w:eastAsia="ca-ES"/>
              </w:rPr>
            </w:pPr>
            <w:r w:rsidRPr="006C68C4">
              <w:rPr>
                <w:rFonts w:ascii="Arial" w:hAnsi="Arial" w:cs="Arial"/>
                <w:sz w:val="20"/>
                <w:lang w:eastAsia="ca-ES"/>
              </w:rPr>
              <w:t>Some patients who have experienced a decrease in their response may benefit from an increase in dosing frequency to intravenous vedolizumab 300 mg every 4 weeks. In patients who have responded to treatment with vedolizumab, corticosteroids may be reduced and/or discontinued in accordance with standard of care </w:t>
            </w:r>
          </w:p>
        </w:tc>
      </w:tr>
    </w:tbl>
    <w:p w14:paraId="733C8D56" w14:textId="5C5EDDCA" w:rsidR="002A0F5D" w:rsidRPr="006C68C4" w:rsidRDefault="002A0F5D" w:rsidP="002A0F5D">
      <w:pPr>
        <w:rPr>
          <w:rFonts w:ascii="Arial" w:hAnsi="Arial" w:cs="Arial"/>
        </w:rPr>
        <w:sectPr w:rsidR="002A0F5D" w:rsidRPr="006C68C4" w:rsidSect="002A0F5D">
          <w:pgSz w:w="11906" w:h="16838"/>
          <w:pgMar w:top="1417" w:right="1701" w:bottom="1417" w:left="1701" w:header="708" w:footer="708" w:gutter="0"/>
          <w:cols w:space="708"/>
          <w:docGrid w:linePitch="360"/>
        </w:sectPr>
      </w:pPr>
    </w:p>
    <w:p w14:paraId="75071F24" w14:textId="77777777" w:rsidR="002A0F5D" w:rsidRPr="006C68C4" w:rsidRDefault="002A0F5D" w:rsidP="002A0F5D">
      <w:pPr>
        <w:spacing w:after="120"/>
        <w:rPr>
          <w:rFonts w:ascii="Arial" w:hAnsi="Arial" w:cs="Arial"/>
          <w:b/>
          <w:bCs/>
        </w:rPr>
      </w:pPr>
      <w:r w:rsidRPr="006C68C4">
        <w:rPr>
          <w:rFonts w:ascii="Arial" w:hAnsi="Arial" w:cs="Arial"/>
          <w:b/>
          <w:bCs/>
        </w:rPr>
        <w:t>Supplementary Table 4. Unit costs for direct HRU</w:t>
      </w:r>
    </w:p>
    <w:tbl>
      <w:tblPr>
        <w:tblW w:w="8795" w:type="dxa"/>
        <w:tblInd w:w="-426" w:type="dxa"/>
        <w:tblCellMar>
          <w:left w:w="70" w:type="dxa"/>
          <w:right w:w="70" w:type="dxa"/>
        </w:tblCellMar>
        <w:tblLook w:val="04A0" w:firstRow="1" w:lastRow="0" w:firstColumn="1" w:lastColumn="0" w:noHBand="0" w:noVBand="1"/>
      </w:tblPr>
      <w:tblGrid>
        <w:gridCol w:w="1984"/>
        <w:gridCol w:w="5388"/>
        <w:gridCol w:w="1425"/>
      </w:tblGrid>
      <w:tr w:rsidR="002A0F5D" w:rsidRPr="006C68C4" w14:paraId="5F05694B" w14:textId="77777777" w:rsidTr="006C68C4">
        <w:trPr>
          <w:trHeight w:val="290"/>
        </w:trPr>
        <w:tc>
          <w:tcPr>
            <w:tcW w:w="1984" w:type="dxa"/>
            <w:tcBorders>
              <w:top w:val="nil"/>
              <w:left w:val="nil"/>
              <w:bottom w:val="single" w:sz="4" w:space="0" w:color="auto"/>
              <w:right w:val="nil"/>
            </w:tcBorders>
            <w:shd w:val="clear" w:color="auto" w:fill="auto"/>
            <w:noWrap/>
            <w:vAlign w:val="bottom"/>
            <w:hideMark/>
          </w:tcPr>
          <w:p w14:paraId="2D428E82" w14:textId="77777777" w:rsidR="002A0F5D" w:rsidRPr="006C68C4" w:rsidRDefault="002A0F5D" w:rsidP="00BA04E9">
            <w:pPr>
              <w:spacing w:after="0" w:line="240" w:lineRule="auto"/>
              <w:rPr>
                <w:rFonts w:ascii="Arial" w:eastAsia="Times New Roman" w:hAnsi="Arial" w:cs="Arial"/>
                <w:b/>
                <w:bCs/>
                <w:color w:val="000000"/>
                <w:kern w:val="0"/>
                <w:lang w:eastAsia="ca-ES"/>
                <w14:ligatures w14:val="none"/>
              </w:rPr>
            </w:pPr>
            <w:r w:rsidRPr="006C68C4">
              <w:rPr>
                <w:rFonts w:ascii="Arial" w:eastAsia="Times New Roman" w:hAnsi="Arial" w:cs="Arial"/>
                <w:b/>
                <w:bCs/>
                <w:color w:val="000000"/>
                <w:kern w:val="0"/>
                <w:lang w:eastAsia="ca-ES"/>
                <w14:ligatures w14:val="none"/>
              </w:rPr>
              <w:t>Resource</w:t>
            </w:r>
          </w:p>
        </w:tc>
        <w:tc>
          <w:tcPr>
            <w:tcW w:w="5388" w:type="dxa"/>
            <w:tcBorders>
              <w:top w:val="nil"/>
              <w:left w:val="nil"/>
              <w:bottom w:val="single" w:sz="4" w:space="0" w:color="auto"/>
              <w:right w:val="nil"/>
            </w:tcBorders>
            <w:shd w:val="clear" w:color="auto" w:fill="auto"/>
            <w:noWrap/>
            <w:vAlign w:val="bottom"/>
            <w:hideMark/>
          </w:tcPr>
          <w:p w14:paraId="6D61D063" w14:textId="77777777" w:rsidR="002A0F5D" w:rsidRPr="006C68C4" w:rsidRDefault="002A0F5D" w:rsidP="00BA04E9">
            <w:pPr>
              <w:spacing w:after="0" w:line="240" w:lineRule="auto"/>
              <w:rPr>
                <w:rFonts w:ascii="Arial" w:eastAsia="Times New Roman" w:hAnsi="Arial" w:cs="Arial"/>
                <w:b/>
                <w:bCs/>
                <w:color w:val="000000"/>
                <w:kern w:val="0"/>
                <w:lang w:eastAsia="ca-ES"/>
                <w14:ligatures w14:val="none"/>
              </w:rPr>
            </w:pPr>
            <w:r w:rsidRPr="006C68C4">
              <w:rPr>
                <w:rFonts w:ascii="Arial" w:eastAsia="Times New Roman" w:hAnsi="Arial" w:cs="Arial"/>
                <w:b/>
                <w:bCs/>
                <w:color w:val="000000"/>
                <w:kern w:val="0"/>
                <w:lang w:eastAsia="ca-ES"/>
                <w14:ligatures w14:val="none"/>
              </w:rPr>
              <w:t>Label / code in THIN database</w:t>
            </w:r>
          </w:p>
        </w:tc>
        <w:tc>
          <w:tcPr>
            <w:tcW w:w="1423" w:type="dxa"/>
            <w:tcBorders>
              <w:top w:val="nil"/>
              <w:left w:val="nil"/>
              <w:bottom w:val="single" w:sz="4" w:space="0" w:color="auto"/>
              <w:right w:val="nil"/>
            </w:tcBorders>
            <w:shd w:val="clear" w:color="auto" w:fill="auto"/>
            <w:noWrap/>
            <w:vAlign w:val="bottom"/>
            <w:hideMark/>
          </w:tcPr>
          <w:p w14:paraId="5C846AE3" w14:textId="77777777" w:rsidR="002A0F5D" w:rsidRPr="006C68C4" w:rsidRDefault="002A0F5D" w:rsidP="00BA04E9">
            <w:pPr>
              <w:spacing w:after="0" w:line="240" w:lineRule="auto"/>
              <w:rPr>
                <w:rFonts w:ascii="Arial" w:eastAsia="Times New Roman" w:hAnsi="Arial" w:cs="Arial"/>
                <w:b/>
                <w:bCs/>
                <w:color w:val="000000"/>
                <w:kern w:val="0"/>
                <w:lang w:eastAsia="ca-ES"/>
                <w14:ligatures w14:val="none"/>
              </w:rPr>
            </w:pPr>
            <w:r w:rsidRPr="006C68C4">
              <w:rPr>
                <w:rFonts w:ascii="Arial" w:eastAsia="Times New Roman" w:hAnsi="Arial" w:cs="Arial"/>
                <w:b/>
                <w:bCs/>
                <w:color w:val="000000"/>
                <w:kern w:val="0"/>
                <w:lang w:eastAsia="ca-ES"/>
                <w14:ligatures w14:val="none"/>
              </w:rPr>
              <w:t>Unit Cost</w:t>
            </w:r>
          </w:p>
        </w:tc>
      </w:tr>
      <w:tr w:rsidR="002A0F5D" w:rsidRPr="006C68C4" w14:paraId="799F2499" w14:textId="77777777" w:rsidTr="006C68C4">
        <w:trPr>
          <w:trHeight w:val="290"/>
        </w:trPr>
        <w:tc>
          <w:tcPr>
            <w:tcW w:w="1984" w:type="dxa"/>
            <w:tcBorders>
              <w:top w:val="nil"/>
              <w:left w:val="nil"/>
              <w:right w:val="nil"/>
            </w:tcBorders>
            <w:shd w:val="clear" w:color="auto" w:fill="auto"/>
            <w:noWrap/>
            <w:vAlign w:val="bottom"/>
          </w:tcPr>
          <w:p w14:paraId="6DA5527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b/>
                <w:bCs/>
                <w:color w:val="000000"/>
                <w:kern w:val="0"/>
                <w:lang w:eastAsia="ca-ES"/>
                <w14:ligatures w14:val="none"/>
              </w:rPr>
              <w:t>France</w:t>
            </w:r>
            <w:r w:rsidRPr="006C68C4">
              <w:rPr>
                <w:rFonts w:ascii="Arial" w:eastAsia="Times New Roman" w:hAnsi="Arial" w:cs="Arial"/>
                <w:color w:val="000000"/>
                <w:kern w:val="0"/>
                <w:lang w:eastAsia="ca-ES"/>
                <w14:ligatures w14:val="none"/>
              </w:rPr>
              <w:t xml:space="preserve"> (in €)</w:t>
            </w:r>
          </w:p>
        </w:tc>
        <w:tc>
          <w:tcPr>
            <w:tcW w:w="5388" w:type="dxa"/>
            <w:tcBorders>
              <w:top w:val="nil"/>
              <w:left w:val="nil"/>
              <w:right w:val="nil"/>
            </w:tcBorders>
            <w:shd w:val="clear" w:color="auto" w:fill="auto"/>
            <w:noWrap/>
            <w:vAlign w:val="bottom"/>
          </w:tcPr>
          <w:p w14:paraId="7A5A62F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1423" w:type="dxa"/>
            <w:tcBorders>
              <w:top w:val="nil"/>
              <w:left w:val="nil"/>
              <w:right w:val="nil"/>
            </w:tcBorders>
            <w:shd w:val="clear" w:color="auto" w:fill="auto"/>
            <w:noWrap/>
            <w:vAlign w:val="bottom"/>
          </w:tcPr>
          <w:p w14:paraId="7894A58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r>
      <w:tr w:rsidR="002A0F5D" w:rsidRPr="006C68C4" w14:paraId="52F1B196" w14:textId="77777777" w:rsidTr="006C68C4">
        <w:trPr>
          <w:trHeight w:val="290"/>
        </w:trPr>
        <w:tc>
          <w:tcPr>
            <w:tcW w:w="1984" w:type="dxa"/>
            <w:tcBorders>
              <w:top w:val="nil"/>
              <w:left w:val="nil"/>
              <w:right w:val="nil"/>
            </w:tcBorders>
            <w:shd w:val="clear" w:color="auto" w:fill="auto"/>
            <w:noWrap/>
            <w:vAlign w:val="bottom"/>
            <w:hideMark/>
          </w:tcPr>
          <w:p w14:paraId="694C0BD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Consultation</w:t>
            </w:r>
          </w:p>
        </w:tc>
        <w:tc>
          <w:tcPr>
            <w:tcW w:w="5388" w:type="dxa"/>
            <w:tcBorders>
              <w:top w:val="nil"/>
              <w:left w:val="nil"/>
              <w:right w:val="nil"/>
            </w:tcBorders>
            <w:shd w:val="clear" w:color="auto" w:fill="auto"/>
            <w:noWrap/>
            <w:vAlign w:val="bottom"/>
            <w:hideMark/>
          </w:tcPr>
          <w:p w14:paraId="256E7C7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General medicine/practitioners</w:t>
            </w:r>
          </w:p>
        </w:tc>
        <w:tc>
          <w:tcPr>
            <w:tcW w:w="1423" w:type="dxa"/>
            <w:tcBorders>
              <w:top w:val="nil"/>
              <w:left w:val="nil"/>
              <w:right w:val="nil"/>
            </w:tcBorders>
            <w:shd w:val="clear" w:color="auto" w:fill="auto"/>
            <w:noWrap/>
            <w:vAlign w:val="bottom"/>
            <w:hideMark/>
          </w:tcPr>
          <w:p w14:paraId="1AA8A5E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23.00</w:t>
            </w:r>
          </w:p>
        </w:tc>
      </w:tr>
      <w:tr w:rsidR="002A0F5D" w:rsidRPr="006C68C4" w14:paraId="4C829DBE" w14:textId="77777777" w:rsidTr="006C68C4">
        <w:trPr>
          <w:trHeight w:val="290"/>
        </w:trPr>
        <w:tc>
          <w:tcPr>
            <w:tcW w:w="1984" w:type="dxa"/>
            <w:tcBorders>
              <w:top w:val="nil"/>
              <w:left w:val="nil"/>
              <w:right w:val="nil"/>
            </w:tcBorders>
            <w:shd w:val="clear" w:color="auto" w:fill="auto"/>
            <w:noWrap/>
            <w:vAlign w:val="bottom"/>
          </w:tcPr>
          <w:p w14:paraId="1D36AE7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55CF14E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Hepato/gastroenterologists</w:t>
            </w:r>
          </w:p>
        </w:tc>
        <w:tc>
          <w:tcPr>
            <w:tcW w:w="1423" w:type="dxa"/>
            <w:tcBorders>
              <w:top w:val="nil"/>
              <w:left w:val="nil"/>
              <w:right w:val="nil"/>
            </w:tcBorders>
            <w:shd w:val="clear" w:color="auto" w:fill="auto"/>
            <w:noWrap/>
            <w:vAlign w:val="bottom"/>
            <w:hideMark/>
          </w:tcPr>
          <w:p w14:paraId="04625C7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23.00</w:t>
            </w:r>
          </w:p>
        </w:tc>
      </w:tr>
      <w:tr w:rsidR="002A0F5D" w:rsidRPr="006C68C4" w14:paraId="326BD9EC" w14:textId="77777777" w:rsidTr="006C68C4">
        <w:trPr>
          <w:trHeight w:val="290"/>
        </w:trPr>
        <w:tc>
          <w:tcPr>
            <w:tcW w:w="1984" w:type="dxa"/>
            <w:tcBorders>
              <w:top w:val="nil"/>
              <w:left w:val="nil"/>
              <w:right w:val="nil"/>
            </w:tcBorders>
            <w:shd w:val="clear" w:color="auto" w:fill="auto"/>
            <w:noWrap/>
            <w:vAlign w:val="bottom"/>
          </w:tcPr>
          <w:p w14:paraId="49EA71A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217795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Endocrinologists</w:t>
            </w:r>
          </w:p>
        </w:tc>
        <w:tc>
          <w:tcPr>
            <w:tcW w:w="1423" w:type="dxa"/>
            <w:tcBorders>
              <w:top w:val="nil"/>
              <w:left w:val="nil"/>
              <w:right w:val="nil"/>
            </w:tcBorders>
            <w:shd w:val="clear" w:color="auto" w:fill="auto"/>
            <w:noWrap/>
            <w:vAlign w:val="bottom"/>
            <w:hideMark/>
          </w:tcPr>
          <w:p w14:paraId="1996349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23.00</w:t>
            </w:r>
          </w:p>
        </w:tc>
      </w:tr>
      <w:tr w:rsidR="002A0F5D" w:rsidRPr="006C68C4" w14:paraId="62D75A07" w14:textId="77777777" w:rsidTr="006C68C4">
        <w:trPr>
          <w:trHeight w:val="290"/>
        </w:trPr>
        <w:tc>
          <w:tcPr>
            <w:tcW w:w="1984" w:type="dxa"/>
            <w:tcBorders>
              <w:top w:val="nil"/>
              <w:left w:val="nil"/>
              <w:right w:val="nil"/>
            </w:tcBorders>
            <w:shd w:val="clear" w:color="auto" w:fill="auto"/>
            <w:noWrap/>
            <w:vAlign w:val="bottom"/>
            <w:hideMark/>
          </w:tcPr>
          <w:p w14:paraId="6E94098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Drug</w:t>
            </w:r>
          </w:p>
        </w:tc>
        <w:tc>
          <w:tcPr>
            <w:tcW w:w="5388" w:type="dxa"/>
            <w:tcBorders>
              <w:top w:val="nil"/>
              <w:left w:val="nil"/>
              <w:right w:val="nil"/>
            </w:tcBorders>
            <w:shd w:val="clear" w:color="auto" w:fill="auto"/>
            <w:noWrap/>
            <w:vAlign w:val="bottom"/>
            <w:hideMark/>
          </w:tcPr>
          <w:p w14:paraId="403D5A6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0CC0FDD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279.77</w:t>
            </w:r>
          </w:p>
        </w:tc>
      </w:tr>
      <w:tr w:rsidR="002A0F5D" w:rsidRPr="006C68C4" w14:paraId="335FE344" w14:textId="77777777" w:rsidTr="006C68C4">
        <w:trPr>
          <w:trHeight w:val="290"/>
        </w:trPr>
        <w:tc>
          <w:tcPr>
            <w:tcW w:w="1984" w:type="dxa"/>
            <w:tcBorders>
              <w:top w:val="nil"/>
              <w:left w:val="nil"/>
              <w:right w:val="nil"/>
            </w:tcBorders>
            <w:shd w:val="clear" w:color="auto" w:fill="auto"/>
            <w:noWrap/>
            <w:vAlign w:val="bottom"/>
          </w:tcPr>
          <w:p w14:paraId="7AA5A37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F7D262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3F2CC3C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503.47</w:t>
            </w:r>
          </w:p>
        </w:tc>
      </w:tr>
      <w:tr w:rsidR="002A0F5D" w:rsidRPr="006C68C4" w14:paraId="5C687557" w14:textId="77777777" w:rsidTr="006C68C4">
        <w:trPr>
          <w:trHeight w:val="290"/>
        </w:trPr>
        <w:tc>
          <w:tcPr>
            <w:tcW w:w="1984" w:type="dxa"/>
            <w:tcBorders>
              <w:top w:val="nil"/>
              <w:left w:val="nil"/>
              <w:right w:val="nil"/>
            </w:tcBorders>
            <w:shd w:val="clear" w:color="auto" w:fill="auto"/>
            <w:noWrap/>
            <w:vAlign w:val="bottom"/>
          </w:tcPr>
          <w:p w14:paraId="009E7B1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5AE54E4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29F94F6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813.56</w:t>
            </w:r>
          </w:p>
        </w:tc>
      </w:tr>
      <w:tr w:rsidR="002A0F5D" w:rsidRPr="006C68C4" w14:paraId="184752E1" w14:textId="77777777" w:rsidTr="006C68C4">
        <w:trPr>
          <w:trHeight w:val="290"/>
        </w:trPr>
        <w:tc>
          <w:tcPr>
            <w:tcW w:w="1984" w:type="dxa"/>
            <w:tcBorders>
              <w:top w:val="nil"/>
              <w:left w:val="nil"/>
              <w:right w:val="nil"/>
            </w:tcBorders>
            <w:shd w:val="clear" w:color="auto" w:fill="auto"/>
            <w:noWrap/>
            <w:vAlign w:val="bottom"/>
          </w:tcPr>
          <w:p w14:paraId="2E6A70A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470C60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3569009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813.56</w:t>
            </w:r>
          </w:p>
        </w:tc>
      </w:tr>
      <w:tr w:rsidR="002A0F5D" w:rsidRPr="006C68C4" w14:paraId="43A4CA3A" w14:textId="77777777" w:rsidTr="006C68C4">
        <w:trPr>
          <w:trHeight w:val="290"/>
        </w:trPr>
        <w:tc>
          <w:tcPr>
            <w:tcW w:w="1984" w:type="dxa"/>
            <w:tcBorders>
              <w:top w:val="nil"/>
              <w:left w:val="nil"/>
              <w:right w:val="nil"/>
            </w:tcBorders>
            <w:shd w:val="clear" w:color="auto" w:fill="auto"/>
            <w:noWrap/>
            <w:vAlign w:val="bottom"/>
          </w:tcPr>
          <w:p w14:paraId="03434EE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837444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0B43D09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503.47</w:t>
            </w:r>
          </w:p>
        </w:tc>
      </w:tr>
      <w:tr w:rsidR="002A0F5D" w:rsidRPr="006C68C4" w14:paraId="4B427AD3" w14:textId="77777777" w:rsidTr="006C68C4">
        <w:trPr>
          <w:trHeight w:val="290"/>
        </w:trPr>
        <w:tc>
          <w:tcPr>
            <w:tcW w:w="1984" w:type="dxa"/>
            <w:tcBorders>
              <w:top w:val="nil"/>
              <w:left w:val="nil"/>
              <w:right w:val="nil"/>
            </w:tcBorders>
            <w:shd w:val="clear" w:color="auto" w:fill="auto"/>
            <w:noWrap/>
            <w:vAlign w:val="bottom"/>
          </w:tcPr>
          <w:p w14:paraId="23EEE97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F7F3E4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6F848DD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613.78</w:t>
            </w:r>
          </w:p>
        </w:tc>
      </w:tr>
      <w:tr w:rsidR="002A0F5D" w:rsidRPr="006C68C4" w14:paraId="56ED1176" w14:textId="77777777" w:rsidTr="006C68C4">
        <w:trPr>
          <w:trHeight w:val="290"/>
        </w:trPr>
        <w:tc>
          <w:tcPr>
            <w:tcW w:w="1984" w:type="dxa"/>
            <w:tcBorders>
              <w:top w:val="nil"/>
              <w:left w:val="nil"/>
              <w:right w:val="nil"/>
            </w:tcBorders>
            <w:shd w:val="clear" w:color="auto" w:fill="auto"/>
            <w:noWrap/>
            <w:vAlign w:val="bottom"/>
          </w:tcPr>
          <w:p w14:paraId="506EC51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48C1EC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4E84C7A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503.47</w:t>
            </w:r>
          </w:p>
        </w:tc>
      </w:tr>
      <w:tr w:rsidR="002A0F5D" w:rsidRPr="006C68C4" w14:paraId="741B095A" w14:textId="77777777" w:rsidTr="006C68C4">
        <w:trPr>
          <w:trHeight w:val="290"/>
        </w:trPr>
        <w:tc>
          <w:tcPr>
            <w:tcW w:w="1984" w:type="dxa"/>
            <w:tcBorders>
              <w:top w:val="nil"/>
              <w:left w:val="nil"/>
              <w:right w:val="nil"/>
            </w:tcBorders>
            <w:shd w:val="clear" w:color="auto" w:fill="auto"/>
            <w:noWrap/>
            <w:vAlign w:val="bottom"/>
          </w:tcPr>
          <w:p w14:paraId="5FC3BEF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383226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08CB236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503.47</w:t>
            </w:r>
          </w:p>
        </w:tc>
      </w:tr>
      <w:tr w:rsidR="002A0F5D" w:rsidRPr="006C68C4" w14:paraId="53C98A16" w14:textId="77777777" w:rsidTr="006C68C4">
        <w:trPr>
          <w:trHeight w:val="290"/>
        </w:trPr>
        <w:tc>
          <w:tcPr>
            <w:tcW w:w="1984" w:type="dxa"/>
            <w:tcBorders>
              <w:top w:val="nil"/>
              <w:left w:val="nil"/>
              <w:right w:val="nil"/>
            </w:tcBorders>
            <w:shd w:val="clear" w:color="auto" w:fill="auto"/>
            <w:noWrap/>
            <w:vAlign w:val="bottom"/>
          </w:tcPr>
          <w:p w14:paraId="4C42AC1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4D0EBD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4DF53A4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1446.75</w:t>
            </w:r>
          </w:p>
        </w:tc>
      </w:tr>
      <w:tr w:rsidR="002A0F5D" w:rsidRPr="006C68C4" w14:paraId="2B715E86" w14:textId="77777777" w:rsidTr="006C68C4">
        <w:trPr>
          <w:trHeight w:val="290"/>
        </w:trPr>
        <w:tc>
          <w:tcPr>
            <w:tcW w:w="1984" w:type="dxa"/>
            <w:tcBorders>
              <w:top w:val="nil"/>
              <w:left w:val="nil"/>
              <w:right w:val="nil"/>
            </w:tcBorders>
            <w:shd w:val="clear" w:color="auto" w:fill="auto"/>
            <w:noWrap/>
            <w:vAlign w:val="bottom"/>
          </w:tcPr>
          <w:p w14:paraId="75C3551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1A4512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77CA6AD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422.32</w:t>
            </w:r>
          </w:p>
        </w:tc>
      </w:tr>
      <w:tr w:rsidR="002A0F5D" w:rsidRPr="006C68C4" w14:paraId="02753F95" w14:textId="77777777" w:rsidTr="006C68C4">
        <w:trPr>
          <w:trHeight w:val="290"/>
        </w:trPr>
        <w:tc>
          <w:tcPr>
            <w:tcW w:w="1984" w:type="dxa"/>
            <w:tcBorders>
              <w:top w:val="nil"/>
              <w:left w:val="nil"/>
              <w:right w:val="nil"/>
            </w:tcBorders>
            <w:shd w:val="clear" w:color="auto" w:fill="auto"/>
            <w:noWrap/>
            <w:vAlign w:val="bottom"/>
          </w:tcPr>
          <w:p w14:paraId="3743F8F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5B2339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6071A28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823.92</w:t>
            </w:r>
          </w:p>
        </w:tc>
      </w:tr>
      <w:tr w:rsidR="002A0F5D" w:rsidRPr="006C68C4" w14:paraId="1144CBEA" w14:textId="77777777" w:rsidTr="006C68C4">
        <w:trPr>
          <w:trHeight w:val="290"/>
        </w:trPr>
        <w:tc>
          <w:tcPr>
            <w:tcW w:w="1984" w:type="dxa"/>
            <w:tcBorders>
              <w:top w:val="nil"/>
              <w:left w:val="nil"/>
              <w:right w:val="nil"/>
            </w:tcBorders>
            <w:shd w:val="clear" w:color="auto" w:fill="auto"/>
            <w:noWrap/>
            <w:vAlign w:val="bottom"/>
          </w:tcPr>
          <w:p w14:paraId="6714FA7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ADA729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1969F76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1218.38</w:t>
            </w:r>
          </w:p>
        </w:tc>
      </w:tr>
      <w:tr w:rsidR="002A0F5D" w:rsidRPr="006C68C4" w14:paraId="5F2AB118" w14:textId="77777777" w:rsidTr="006C68C4">
        <w:trPr>
          <w:trHeight w:val="290"/>
        </w:trPr>
        <w:tc>
          <w:tcPr>
            <w:tcW w:w="1984" w:type="dxa"/>
            <w:tcBorders>
              <w:top w:val="nil"/>
              <w:left w:val="nil"/>
              <w:right w:val="nil"/>
            </w:tcBorders>
            <w:shd w:val="clear" w:color="auto" w:fill="auto"/>
            <w:noWrap/>
            <w:vAlign w:val="bottom"/>
          </w:tcPr>
          <w:p w14:paraId="174F8AE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19090E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0214486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212.07</w:t>
            </w:r>
          </w:p>
        </w:tc>
      </w:tr>
      <w:tr w:rsidR="002A0F5D" w:rsidRPr="006C68C4" w14:paraId="2C8A1666" w14:textId="77777777" w:rsidTr="006C68C4">
        <w:trPr>
          <w:trHeight w:val="290"/>
        </w:trPr>
        <w:tc>
          <w:tcPr>
            <w:tcW w:w="1984" w:type="dxa"/>
            <w:tcBorders>
              <w:top w:val="nil"/>
              <w:left w:val="nil"/>
              <w:right w:val="nil"/>
            </w:tcBorders>
            <w:shd w:val="clear" w:color="auto" w:fill="auto"/>
            <w:noWrap/>
            <w:vAlign w:val="bottom"/>
          </w:tcPr>
          <w:p w14:paraId="03D8D47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05BB58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495066F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422.32</w:t>
            </w:r>
          </w:p>
        </w:tc>
      </w:tr>
      <w:tr w:rsidR="002A0F5D" w:rsidRPr="006C68C4" w14:paraId="244CEA2D" w14:textId="77777777" w:rsidTr="006C68C4">
        <w:trPr>
          <w:trHeight w:val="290"/>
        </w:trPr>
        <w:tc>
          <w:tcPr>
            <w:tcW w:w="1984" w:type="dxa"/>
            <w:tcBorders>
              <w:top w:val="nil"/>
              <w:left w:val="nil"/>
              <w:right w:val="nil"/>
            </w:tcBorders>
            <w:shd w:val="clear" w:color="auto" w:fill="auto"/>
            <w:noWrap/>
            <w:vAlign w:val="bottom"/>
          </w:tcPr>
          <w:p w14:paraId="488A21A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639819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172C949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823.92</w:t>
            </w:r>
          </w:p>
        </w:tc>
      </w:tr>
      <w:tr w:rsidR="002A0F5D" w:rsidRPr="006C68C4" w14:paraId="022923CC" w14:textId="77777777" w:rsidTr="006C68C4">
        <w:trPr>
          <w:trHeight w:val="290"/>
        </w:trPr>
        <w:tc>
          <w:tcPr>
            <w:tcW w:w="1984" w:type="dxa"/>
            <w:tcBorders>
              <w:top w:val="nil"/>
              <w:left w:val="nil"/>
              <w:right w:val="nil"/>
            </w:tcBorders>
            <w:shd w:val="clear" w:color="auto" w:fill="auto"/>
            <w:noWrap/>
            <w:vAlign w:val="bottom"/>
          </w:tcPr>
          <w:p w14:paraId="35C0963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84F9BF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611F205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1218.38</w:t>
            </w:r>
          </w:p>
        </w:tc>
      </w:tr>
      <w:tr w:rsidR="002A0F5D" w:rsidRPr="006C68C4" w14:paraId="73854EB7" w14:textId="77777777" w:rsidTr="006C68C4">
        <w:trPr>
          <w:trHeight w:val="290"/>
        </w:trPr>
        <w:tc>
          <w:tcPr>
            <w:tcW w:w="1984" w:type="dxa"/>
            <w:tcBorders>
              <w:top w:val="nil"/>
              <w:left w:val="nil"/>
              <w:right w:val="nil"/>
            </w:tcBorders>
            <w:shd w:val="clear" w:color="auto" w:fill="auto"/>
            <w:noWrap/>
            <w:vAlign w:val="bottom"/>
          </w:tcPr>
          <w:p w14:paraId="7F4EE95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15A196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488D65C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212.07</w:t>
            </w:r>
          </w:p>
        </w:tc>
      </w:tr>
      <w:tr w:rsidR="002A0F5D" w:rsidRPr="006C68C4" w14:paraId="62893CA4" w14:textId="77777777" w:rsidTr="006C68C4">
        <w:trPr>
          <w:trHeight w:val="290"/>
        </w:trPr>
        <w:tc>
          <w:tcPr>
            <w:tcW w:w="1984" w:type="dxa"/>
            <w:tcBorders>
              <w:top w:val="nil"/>
              <w:left w:val="nil"/>
              <w:right w:val="nil"/>
            </w:tcBorders>
            <w:shd w:val="clear" w:color="auto" w:fill="auto"/>
            <w:noWrap/>
            <w:vAlign w:val="bottom"/>
          </w:tcPr>
          <w:p w14:paraId="5C29A5C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4C8F73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6CC1D15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422.32</w:t>
            </w:r>
          </w:p>
        </w:tc>
      </w:tr>
      <w:tr w:rsidR="002A0F5D" w:rsidRPr="006C68C4" w14:paraId="7BAF7ADF" w14:textId="77777777" w:rsidTr="006C68C4">
        <w:trPr>
          <w:trHeight w:val="290"/>
        </w:trPr>
        <w:tc>
          <w:tcPr>
            <w:tcW w:w="1984" w:type="dxa"/>
            <w:tcBorders>
              <w:top w:val="nil"/>
              <w:left w:val="nil"/>
              <w:right w:val="nil"/>
            </w:tcBorders>
            <w:shd w:val="clear" w:color="auto" w:fill="auto"/>
            <w:noWrap/>
            <w:vAlign w:val="bottom"/>
          </w:tcPr>
          <w:p w14:paraId="45E83C6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9628A5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54632C8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823.92</w:t>
            </w:r>
          </w:p>
        </w:tc>
      </w:tr>
      <w:tr w:rsidR="002A0F5D" w:rsidRPr="006C68C4" w14:paraId="5948C47A" w14:textId="77777777" w:rsidTr="006C68C4">
        <w:trPr>
          <w:trHeight w:val="290"/>
        </w:trPr>
        <w:tc>
          <w:tcPr>
            <w:tcW w:w="1984" w:type="dxa"/>
            <w:tcBorders>
              <w:top w:val="nil"/>
              <w:left w:val="nil"/>
              <w:right w:val="nil"/>
            </w:tcBorders>
            <w:shd w:val="clear" w:color="auto" w:fill="auto"/>
            <w:noWrap/>
            <w:vAlign w:val="bottom"/>
          </w:tcPr>
          <w:p w14:paraId="1609C2B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0F7E8F3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0548EA1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422.32</w:t>
            </w:r>
          </w:p>
        </w:tc>
      </w:tr>
      <w:tr w:rsidR="002A0F5D" w:rsidRPr="006C68C4" w14:paraId="7C18FB4D" w14:textId="77777777" w:rsidTr="006C68C4">
        <w:trPr>
          <w:trHeight w:val="290"/>
        </w:trPr>
        <w:tc>
          <w:tcPr>
            <w:tcW w:w="1984" w:type="dxa"/>
            <w:tcBorders>
              <w:top w:val="nil"/>
              <w:left w:val="nil"/>
              <w:right w:val="nil"/>
            </w:tcBorders>
            <w:shd w:val="clear" w:color="auto" w:fill="auto"/>
            <w:noWrap/>
            <w:vAlign w:val="bottom"/>
          </w:tcPr>
          <w:p w14:paraId="57A6538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2DF991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7700FDE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118.07</w:t>
            </w:r>
          </w:p>
        </w:tc>
      </w:tr>
      <w:tr w:rsidR="002A0F5D" w:rsidRPr="006C68C4" w14:paraId="3319FB8E" w14:textId="77777777" w:rsidTr="006C68C4">
        <w:trPr>
          <w:trHeight w:val="290"/>
        </w:trPr>
        <w:tc>
          <w:tcPr>
            <w:tcW w:w="1984" w:type="dxa"/>
            <w:tcBorders>
              <w:top w:val="nil"/>
              <w:left w:val="nil"/>
              <w:right w:val="nil"/>
            </w:tcBorders>
            <w:shd w:val="clear" w:color="auto" w:fill="auto"/>
            <w:noWrap/>
            <w:vAlign w:val="bottom"/>
          </w:tcPr>
          <w:p w14:paraId="656DB35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C858F2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6AD2C69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422.32</w:t>
            </w:r>
          </w:p>
        </w:tc>
      </w:tr>
      <w:tr w:rsidR="002A0F5D" w:rsidRPr="006C68C4" w14:paraId="732FA173" w14:textId="77777777" w:rsidTr="006C68C4">
        <w:trPr>
          <w:trHeight w:val="290"/>
        </w:trPr>
        <w:tc>
          <w:tcPr>
            <w:tcW w:w="1984" w:type="dxa"/>
            <w:tcBorders>
              <w:top w:val="nil"/>
              <w:left w:val="nil"/>
              <w:right w:val="nil"/>
            </w:tcBorders>
            <w:shd w:val="clear" w:color="auto" w:fill="auto"/>
            <w:noWrap/>
            <w:vAlign w:val="bottom"/>
          </w:tcPr>
          <w:p w14:paraId="06D448F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8FEC43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00B9CE6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823.92</w:t>
            </w:r>
          </w:p>
        </w:tc>
      </w:tr>
      <w:tr w:rsidR="002A0F5D" w:rsidRPr="006C68C4" w14:paraId="0C2EFA18" w14:textId="77777777" w:rsidTr="006C68C4">
        <w:trPr>
          <w:trHeight w:val="290"/>
        </w:trPr>
        <w:tc>
          <w:tcPr>
            <w:tcW w:w="1984" w:type="dxa"/>
            <w:tcBorders>
              <w:top w:val="nil"/>
              <w:left w:val="nil"/>
              <w:right w:val="nil"/>
            </w:tcBorders>
            <w:shd w:val="clear" w:color="auto" w:fill="auto"/>
            <w:noWrap/>
            <w:vAlign w:val="bottom"/>
          </w:tcPr>
          <w:p w14:paraId="0551B1C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A1E5EE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6A2AEF6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1218.38</w:t>
            </w:r>
          </w:p>
        </w:tc>
      </w:tr>
      <w:tr w:rsidR="002A0F5D" w:rsidRPr="006C68C4" w14:paraId="11E959D3" w14:textId="77777777" w:rsidTr="006C68C4">
        <w:trPr>
          <w:trHeight w:val="290"/>
        </w:trPr>
        <w:tc>
          <w:tcPr>
            <w:tcW w:w="1984" w:type="dxa"/>
            <w:tcBorders>
              <w:top w:val="nil"/>
              <w:left w:val="nil"/>
              <w:right w:val="nil"/>
            </w:tcBorders>
            <w:shd w:val="clear" w:color="auto" w:fill="auto"/>
            <w:noWrap/>
            <w:vAlign w:val="bottom"/>
          </w:tcPr>
          <w:p w14:paraId="013D1CA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07FD88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63A37C6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422.32</w:t>
            </w:r>
          </w:p>
        </w:tc>
      </w:tr>
      <w:tr w:rsidR="002A0F5D" w:rsidRPr="006C68C4" w14:paraId="7E13315C" w14:textId="77777777" w:rsidTr="006C68C4">
        <w:trPr>
          <w:trHeight w:val="290"/>
        </w:trPr>
        <w:tc>
          <w:tcPr>
            <w:tcW w:w="1984" w:type="dxa"/>
            <w:tcBorders>
              <w:top w:val="nil"/>
              <w:left w:val="nil"/>
              <w:right w:val="nil"/>
            </w:tcBorders>
            <w:shd w:val="clear" w:color="auto" w:fill="auto"/>
            <w:noWrap/>
            <w:vAlign w:val="bottom"/>
          </w:tcPr>
          <w:p w14:paraId="4027A4F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BF0126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53FF23F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823.92</w:t>
            </w:r>
          </w:p>
        </w:tc>
      </w:tr>
      <w:tr w:rsidR="002A0F5D" w:rsidRPr="006C68C4" w14:paraId="0F0A4F21" w14:textId="77777777" w:rsidTr="006C68C4">
        <w:trPr>
          <w:trHeight w:val="290"/>
        </w:trPr>
        <w:tc>
          <w:tcPr>
            <w:tcW w:w="1984" w:type="dxa"/>
            <w:tcBorders>
              <w:top w:val="nil"/>
              <w:left w:val="nil"/>
              <w:right w:val="nil"/>
            </w:tcBorders>
            <w:shd w:val="clear" w:color="auto" w:fill="auto"/>
            <w:noWrap/>
            <w:vAlign w:val="bottom"/>
          </w:tcPr>
          <w:p w14:paraId="4159A1F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6A6566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564E25B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1218.38</w:t>
            </w:r>
          </w:p>
        </w:tc>
      </w:tr>
      <w:tr w:rsidR="002A0F5D" w:rsidRPr="006C68C4" w14:paraId="082D683B" w14:textId="77777777" w:rsidTr="006C68C4">
        <w:trPr>
          <w:trHeight w:val="290"/>
        </w:trPr>
        <w:tc>
          <w:tcPr>
            <w:tcW w:w="1984" w:type="dxa"/>
            <w:tcBorders>
              <w:top w:val="nil"/>
              <w:left w:val="nil"/>
              <w:right w:val="nil"/>
            </w:tcBorders>
            <w:shd w:val="clear" w:color="auto" w:fill="auto"/>
            <w:noWrap/>
            <w:vAlign w:val="bottom"/>
          </w:tcPr>
          <w:p w14:paraId="198A507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A3D0CB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431E9B0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212.07</w:t>
            </w:r>
          </w:p>
        </w:tc>
      </w:tr>
      <w:tr w:rsidR="002A0F5D" w:rsidRPr="006C68C4" w14:paraId="0E88E166" w14:textId="77777777" w:rsidTr="006C68C4">
        <w:trPr>
          <w:trHeight w:val="290"/>
        </w:trPr>
        <w:tc>
          <w:tcPr>
            <w:tcW w:w="1984" w:type="dxa"/>
            <w:tcBorders>
              <w:top w:val="nil"/>
              <w:left w:val="nil"/>
              <w:right w:val="nil"/>
            </w:tcBorders>
            <w:shd w:val="clear" w:color="auto" w:fill="auto"/>
            <w:noWrap/>
            <w:vAlign w:val="bottom"/>
          </w:tcPr>
          <w:p w14:paraId="5104645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08B482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right w:val="nil"/>
            </w:tcBorders>
            <w:shd w:val="clear" w:color="auto" w:fill="auto"/>
            <w:noWrap/>
            <w:vAlign w:val="bottom"/>
            <w:hideMark/>
          </w:tcPr>
          <w:p w14:paraId="6A5D0B5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212.07</w:t>
            </w:r>
          </w:p>
        </w:tc>
      </w:tr>
      <w:tr w:rsidR="002A0F5D" w:rsidRPr="006C68C4" w14:paraId="6BA544C0" w14:textId="77777777" w:rsidTr="006C68C4">
        <w:trPr>
          <w:trHeight w:val="290"/>
        </w:trPr>
        <w:tc>
          <w:tcPr>
            <w:tcW w:w="1984" w:type="dxa"/>
            <w:tcBorders>
              <w:top w:val="nil"/>
              <w:left w:val="nil"/>
              <w:right w:val="nil"/>
            </w:tcBorders>
            <w:shd w:val="clear" w:color="auto" w:fill="auto"/>
            <w:noWrap/>
            <w:vAlign w:val="bottom"/>
          </w:tcPr>
          <w:p w14:paraId="343BC2E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3B0B7E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filgotinib</w:t>
            </w:r>
          </w:p>
        </w:tc>
        <w:tc>
          <w:tcPr>
            <w:tcW w:w="1423" w:type="dxa"/>
            <w:tcBorders>
              <w:top w:val="nil"/>
              <w:left w:val="nil"/>
              <w:right w:val="nil"/>
            </w:tcBorders>
            <w:shd w:val="clear" w:color="auto" w:fill="auto"/>
            <w:noWrap/>
            <w:vAlign w:val="bottom"/>
            <w:hideMark/>
          </w:tcPr>
          <w:p w14:paraId="5D8C54F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590.58</w:t>
            </w:r>
          </w:p>
        </w:tc>
      </w:tr>
      <w:tr w:rsidR="002A0F5D" w:rsidRPr="006C68C4" w14:paraId="2D8D4F9F" w14:textId="77777777" w:rsidTr="006C68C4">
        <w:trPr>
          <w:trHeight w:val="290"/>
        </w:trPr>
        <w:tc>
          <w:tcPr>
            <w:tcW w:w="1984" w:type="dxa"/>
            <w:tcBorders>
              <w:top w:val="nil"/>
              <w:left w:val="nil"/>
              <w:right w:val="nil"/>
            </w:tcBorders>
            <w:shd w:val="clear" w:color="auto" w:fill="auto"/>
            <w:noWrap/>
            <w:vAlign w:val="bottom"/>
          </w:tcPr>
          <w:p w14:paraId="3E4B679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DD2172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filgotinib</w:t>
            </w:r>
          </w:p>
        </w:tc>
        <w:tc>
          <w:tcPr>
            <w:tcW w:w="1423" w:type="dxa"/>
            <w:tcBorders>
              <w:top w:val="nil"/>
              <w:left w:val="nil"/>
              <w:right w:val="nil"/>
            </w:tcBorders>
            <w:shd w:val="clear" w:color="auto" w:fill="auto"/>
            <w:noWrap/>
            <w:vAlign w:val="bottom"/>
            <w:hideMark/>
          </w:tcPr>
          <w:p w14:paraId="2FCED9F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590.58</w:t>
            </w:r>
          </w:p>
        </w:tc>
      </w:tr>
      <w:tr w:rsidR="002A0F5D" w:rsidRPr="006C68C4" w14:paraId="7C2E2B4E" w14:textId="77777777" w:rsidTr="006C68C4">
        <w:trPr>
          <w:trHeight w:val="290"/>
        </w:trPr>
        <w:tc>
          <w:tcPr>
            <w:tcW w:w="1984" w:type="dxa"/>
            <w:tcBorders>
              <w:top w:val="nil"/>
              <w:left w:val="nil"/>
              <w:right w:val="nil"/>
            </w:tcBorders>
            <w:shd w:val="clear" w:color="auto" w:fill="auto"/>
            <w:noWrap/>
            <w:vAlign w:val="bottom"/>
          </w:tcPr>
          <w:p w14:paraId="21344DA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E93865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golimumab</w:t>
            </w:r>
          </w:p>
        </w:tc>
        <w:tc>
          <w:tcPr>
            <w:tcW w:w="1423" w:type="dxa"/>
            <w:tcBorders>
              <w:top w:val="nil"/>
              <w:left w:val="nil"/>
              <w:right w:val="nil"/>
            </w:tcBorders>
            <w:shd w:val="clear" w:color="auto" w:fill="auto"/>
            <w:noWrap/>
            <w:vAlign w:val="bottom"/>
            <w:hideMark/>
          </w:tcPr>
          <w:p w14:paraId="2C95717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699.67</w:t>
            </w:r>
          </w:p>
        </w:tc>
      </w:tr>
      <w:tr w:rsidR="002A0F5D" w:rsidRPr="006C68C4" w14:paraId="621A8E46" w14:textId="77777777" w:rsidTr="006C68C4">
        <w:trPr>
          <w:trHeight w:val="290"/>
        </w:trPr>
        <w:tc>
          <w:tcPr>
            <w:tcW w:w="1984" w:type="dxa"/>
            <w:tcBorders>
              <w:top w:val="nil"/>
              <w:left w:val="nil"/>
              <w:right w:val="nil"/>
            </w:tcBorders>
            <w:shd w:val="clear" w:color="auto" w:fill="auto"/>
            <w:noWrap/>
            <w:vAlign w:val="bottom"/>
          </w:tcPr>
          <w:p w14:paraId="12404A1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7665C6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golimumab</w:t>
            </w:r>
          </w:p>
        </w:tc>
        <w:tc>
          <w:tcPr>
            <w:tcW w:w="1423" w:type="dxa"/>
            <w:tcBorders>
              <w:top w:val="nil"/>
              <w:left w:val="nil"/>
              <w:right w:val="nil"/>
            </w:tcBorders>
            <w:shd w:val="clear" w:color="auto" w:fill="auto"/>
            <w:noWrap/>
            <w:vAlign w:val="bottom"/>
            <w:hideMark/>
          </w:tcPr>
          <w:p w14:paraId="3CF36FF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699.67</w:t>
            </w:r>
          </w:p>
        </w:tc>
      </w:tr>
      <w:tr w:rsidR="002A0F5D" w:rsidRPr="006C68C4" w14:paraId="1F737ACD" w14:textId="77777777" w:rsidTr="006C68C4">
        <w:trPr>
          <w:trHeight w:val="290"/>
        </w:trPr>
        <w:tc>
          <w:tcPr>
            <w:tcW w:w="1984" w:type="dxa"/>
            <w:tcBorders>
              <w:top w:val="nil"/>
              <w:left w:val="nil"/>
              <w:right w:val="nil"/>
            </w:tcBorders>
            <w:shd w:val="clear" w:color="auto" w:fill="auto"/>
            <w:noWrap/>
            <w:vAlign w:val="bottom"/>
          </w:tcPr>
          <w:p w14:paraId="2FD0FAD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F338A5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golimumab</w:t>
            </w:r>
          </w:p>
        </w:tc>
        <w:tc>
          <w:tcPr>
            <w:tcW w:w="1423" w:type="dxa"/>
            <w:tcBorders>
              <w:top w:val="nil"/>
              <w:left w:val="nil"/>
              <w:right w:val="nil"/>
            </w:tcBorders>
            <w:shd w:val="clear" w:color="auto" w:fill="auto"/>
            <w:noWrap/>
            <w:vAlign w:val="bottom"/>
            <w:hideMark/>
          </w:tcPr>
          <w:p w14:paraId="774EA74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699.67</w:t>
            </w:r>
          </w:p>
        </w:tc>
      </w:tr>
      <w:tr w:rsidR="002A0F5D" w:rsidRPr="006C68C4" w14:paraId="116F3117" w14:textId="77777777" w:rsidTr="006C68C4">
        <w:trPr>
          <w:trHeight w:val="290"/>
        </w:trPr>
        <w:tc>
          <w:tcPr>
            <w:tcW w:w="1984" w:type="dxa"/>
            <w:tcBorders>
              <w:top w:val="nil"/>
              <w:left w:val="nil"/>
              <w:right w:val="nil"/>
            </w:tcBorders>
            <w:shd w:val="clear" w:color="auto" w:fill="auto"/>
            <w:noWrap/>
            <w:vAlign w:val="bottom"/>
          </w:tcPr>
          <w:p w14:paraId="2C3ACCA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6C94B9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golimumab</w:t>
            </w:r>
          </w:p>
        </w:tc>
        <w:tc>
          <w:tcPr>
            <w:tcW w:w="1423" w:type="dxa"/>
            <w:tcBorders>
              <w:top w:val="nil"/>
              <w:left w:val="nil"/>
              <w:right w:val="nil"/>
            </w:tcBorders>
            <w:shd w:val="clear" w:color="auto" w:fill="auto"/>
            <w:noWrap/>
            <w:vAlign w:val="bottom"/>
            <w:hideMark/>
          </w:tcPr>
          <w:p w14:paraId="53662A3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699.67</w:t>
            </w:r>
          </w:p>
        </w:tc>
      </w:tr>
      <w:tr w:rsidR="002A0F5D" w:rsidRPr="006C68C4" w14:paraId="77E5E402" w14:textId="77777777" w:rsidTr="006C68C4">
        <w:trPr>
          <w:trHeight w:val="290"/>
        </w:trPr>
        <w:tc>
          <w:tcPr>
            <w:tcW w:w="1984" w:type="dxa"/>
            <w:tcBorders>
              <w:top w:val="nil"/>
              <w:left w:val="nil"/>
              <w:right w:val="nil"/>
            </w:tcBorders>
            <w:shd w:val="clear" w:color="auto" w:fill="auto"/>
            <w:noWrap/>
            <w:vAlign w:val="bottom"/>
          </w:tcPr>
          <w:p w14:paraId="71BB0B6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FB17CA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infliximab</w:t>
            </w:r>
          </w:p>
        </w:tc>
        <w:tc>
          <w:tcPr>
            <w:tcW w:w="1423" w:type="dxa"/>
            <w:tcBorders>
              <w:top w:val="nil"/>
              <w:left w:val="nil"/>
              <w:right w:val="nil"/>
            </w:tcBorders>
            <w:shd w:val="clear" w:color="auto" w:fill="auto"/>
            <w:noWrap/>
            <w:vAlign w:val="bottom"/>
            <w:hideMark/>
          </w:tcPr>
          <w:p w14:paraId="4707236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190.38</w:t>
            </w:r>
          </w:p>
        </w:tc>
      </w:tr>
      <w:tr w:rsidR="002A0F5D" w:rsidRPr="006C68C4" w14:paraId="11DE525D" w14:textId="77777777" w:rsidTr="006C68C4">
        <w:trPr>
          <w:trHeight w:val="290"/>
        </w:trPr>
        <w:tc>
          <w:tcPr>
            <w:tcW w:w="1984" w:type="dxa"/>
            <w:tcBorders>
              <w:top w:val="nil"/>
              <w:left w:val="nil"/>
              <w:right w:val="nil"/>
            </w:tcBorders>
            <w:shd w:val="clear" w:color="auto" w:fill="auto"/>
            <w:noWrap/>
            <w:vAlign w:val="bottom"/>
          </w:tcPr>
          <w:p w14:paraId="4969066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5D2789F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infliximab</w:t>
            </w:r>
          </w:p>
        </w:tc>
        <w:tc>
          <w:tcPr>
            <w:tcW w:w="1423" w:type="dxa"/>
            <w:tcBorders>
              <w:top w:val="nil"/>
              <w:left w:val="nil"/>
              <w:right w:val="nil"/>
            </w:tcBorders>
            <w:shd w:val="clear" w:color="auto" w:fill="auto"/>
            <w:noWrap/>
            <w:vAlign w:val="bottom"/>
            <w:hideMark/>
          </w:tcPr>
          <w:p w14:paraId="50E5905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378.95</w:t>
            </w:r>
          </w:p>
        </w:tc>
      </w:tr>
      <w:tr w:rsidR="002A0F5D" w:rsidRPr="006C68C4" w14:paraId="1520F44F" w14:textId="77777777" w:rsidTr="006C68C4">
        <w:trPr>
          <w:trHeight w:val="290"/>
        </w:trPr>
        <w:tc>
          <w:tcPr>
            <w:tcW w:w="1984" w:type="dxa"/>
            <w:tcBorders>
              <w:top w:val="nil"/>
              <w:left w:val="nil"/>
              <w:right w:val="nil"/>
            </w:tcBorders>
            <w:shd w:val="clear" w:color="auto" w:fill="auto"/>
            <w:noWrap/>
            <w:vAlign w:val="bottom"/>
          </w:tcPr>
          <w:p w14:paraId="190A729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0DA8BD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infliximab</w:t>
            </w:r>
          </w:p>
        </w:tc>
        <w:tc>
          <w:tcPr>
            <w:tcW w:w="1423" w:type="dxa"/>
            <w:tcBorders>
              <w:top w:val="nil"/>
              <w:left w:val="nil"/>
              <w:right w:val="nil"/>
            </w:tcBorders>
            <w:shd w:val="clear" w:color="auto" w:fill="auto"/>
            <w:noWrap/>
            <w:vAlign w:val="bottom"/>
            <w:hideMark/>
          </w:tcPr>
          <w:p w14:paraId="1B332BB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190.38</w:t>
            </w:r>
          </w:p>
        </w:tc>
      </w:tr>
      <w:tr w:rsidR="002A0F5D" w:rsidRPr="006C68C4" w14:paraId="4D5BC671" w14:textId="77777777" w:rsidTr="006C68C4">
        <w:trPr>
          <w:trHeight w:val="290"/>
        </w:trPr>
        <w:tc>
          <w:tcPr>
            <w:tcW w:w="1984" w:type="dxa"/>
            <w:tcBorders>
              <w:top w:val="nil"/>
              <w:left w:val="nil"/>
              <w:right w:val="nil"/>
            </w:tcBorders>
            <w:shd w:val="clear" w:color="auto" w:fill="auto"/>
            <w:noWrap/>
            <w:vAlign w:val="bottom"/>
          </w:tcPr>
          <w:p w14:paraId="2C49329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0F26DE6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infliximab</w:t>
            </w:r>
          </w:p>
        </w:tc>
        <w:tc>
          <w:tcPr>
            <w:tcW w:w="1423" w:type="dxa"/>
            <w:tcBorders>
              <w:top w:val="nil"/>
              <w:left w:val="nil"/>
              <w:right w:val="nil"/>
            </w:tcBorders>
            <w:shd w:val="clear" w:color="auto" w:fill="auto"/>
            <w:noWrap/>
            <w:vAlign w:val="bottom"/>
            <w:hideMark/>
          </w:tcPr>
          <w:p w14:paraId="612E6EC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378.95</w:t>
            </w:r>
          </w:p>
        </w:tc>
      </w:tr>
      <w:tr w:rsidR="002A0F5D" w:rsidRPr="006C68C4" w14:paraId="294DB490" w14:textId="77777777" w:rsidTr="006C68C4">
        <w:trPr>
          <w:trHeight w:val="290"/>
        </w:trPr>
        <w:tc>
          <w:tcPr>
            <w:tcW w:w="1984" w:type="dxa"/>
            <w:tcBorders>
              <w:top w:val="nil"/>
              <w:left w:val="nil"/>
              <w:right w:val="nil"/>
            </w:tcBorders>
            <w:shd w:val="clear" w:color="auto" w:fill="auto"/>
            <w:noWrap/>
            <w:vAlign w:val="bottom"/>
          </w:tcPr>
          <w:p w14:paraId="54D8BF3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A2C2C2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risankizumab</w:t>
            </w:r>
          </w:p>
        </w:tc>
        <w:tc>
          <w:tcPr>
            <w:tcW w:w="1423" w:type="dxa"/>
            <w:tcBorders>
              <w:top w:val="nil"/>
              <w:left w:val="nil"/>
              <w:right w:val="nil"/>
            </w:tcBorders>
            <w:shd w:val="clear" w:color="auto" w:fill="auto"/>
            <w:noWrap/>
            <w:vAlign w:val="bottom"/>
            <w:hideMark/>
          </w:tcPr>
          <w:p w14:paraId="2BA663C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2742.74</w:t>
            </w:r>
          </w:p>
        </w:tc>
      </w:tr>
      <w:tr w:rsidR="002A0F5D" w:rsidRPr="006C68C4" w14:paraId="31F38493" w14:textId="77777777" w:rsidTr="006C68C4">
        <w:trPr>
          <w:trHeight w:val="290"/>
        </w:trPr>
        <w:tc>
          <w:tcPr>
            <w:tcW w:w="1984" w:type="dxa"/>
            <w:tcBorders>
              <w:top w:val="nil"/>
              <w:left w:val="nil"/>
              <w:right w:val="nil"/>
            </w:tcBorders>
            <w:shd w:val="clear" w:color="auto" w:fill="auto"/>
            <w:noWrap/>
            <w:vAlign w:val="bottom"/>
          </w:tcPr>
          <w:p w14:paraId="2514BCC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79BB8B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risankizumab</w:t>
            </w:r>
          </w:p>
        </w:tc>
        <w:tc>
          <w:tcPr>
            <w:tcW w:w="1423" w:type="dxa"/>
            <w:tcBorders>
              <w:top w:val="nil"/>
              <w:left w:val="nil"/>
              <w:right w:val="nil"/>
            </w:tcBorders>
            <w:shd w:val="clear" w:color="auto" w:fill="auto"/>
            <w:noWrap/>
            <w:vAlign w:val="bottom"/>
            <w:hideMark/>
          </w:tcPr>
          <w:p w14:paraId="1C0975A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2742.74</w:t>
            </w:r>
          </w:p>
        </w:tc>
      </w:tr>
      <w:tr w:rsidR="002A0F5D" w:rsidRPr="006C68C4" w14:paraId="138BF086" w14:textId="77777777" w:rsidTr="006C68C4">
        <w:trPr>
          <w:trHeight w:val="290"/>
        </w:trPr>
        <w:tc>
          <w:tcPr>
            <w:tcW w:w="1984" w:type="dxa"/>
            <w:tcBorders>
              <w:top w:val="nil"/>
              <w:left w:val="nil"/>
              <w:right w:val="nil"/>
            </w:tcBorders>
            <w:shd w:val="clear" w:color="auto" w:fill="auto"/>
            <w:noWrap/>
            <w:vAlign w:val="bottom"/>
          </w:tcPr>
          <w:p w14:paraId="6631CD5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FA0AAC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risankizumab</w:t>
            </w:r>
          </w:p>
        </w:tc>
        <w:tc>
          <w:tcPr>
            <w:tcW w:w="1423" w:type="dxa"/>
            <w:tcBorders>
              <w:top w:val="nil"/>
              <w:left w:val="nil"/>
              <w:right w:val="nil"/>
            </w:tcBorders>
            <w:shd w:val="clear" w:color="auto" w:fill="auto"/>
            <w:noWrap/>
            <w:vAlign w:val="bottom"/>
            <w:hideMark/>
          </w:tcPr>
          <w:p w14:paraId="71C4520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2742.74</w:t>
            </w:r>
          </w:p>
        </w:tc>
      </w:tr>
      <w:tr w:rsidR="002A0F5D" w:rsidRPr="006C68C4" w14:paraId="63B8F082" w14:textId="77777777" w:rsidTr="006C68C4">
        <w:trPr>
          <w:trHeight w:val="290"/>
        </w:trPr>
        <w:tc>
          <w:tcPr>
            <w:tcW w:w="1984" w:type="dxa"/>
            <w:tcBorders>
              <w:top w:val="nil"/>
              <w:left w:val="nil"/>
              <w:right w:val="nil"/>
            </w:tcBorders>
            <w:shd w:val="clear" w:color="auto" w:fill="auto"/>
            <w:noWrap/>
            <w:vAlign w:val="bottom"/>
          </w:tcPr>
          <w:p w14:paraId="7A9702A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0E4D561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tofacitinib</w:t>
            </w:r>
          </w:p>
        </w:tc>
        <w:tc>
          <w:tcPr>
            <w:tcW w:w="1423" w:type="dxa"/>
            <w:tcBorders>
              <w:top w:val="nil"/>
              <w:left w:val="nil"/>
              <w:right w:val="nil"/>
            </w:tcBorders>
            <w:shd w:val="clear" w:color="auto" w:fill="auto"/>
            <w:noWrap/>
            <w:vAlign w:val="bottom"/>
            <w:hideMark/>
          </w:tcPr>
          <w:p w14:paraId="47ECD51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1310.74</w:t>
            </w:r>
          </w:p>
        </w:tc>
      </w:tr>
      <w:tr w:rsidR="002A0F5D" w:rsidRPr="006C68C4" w14:paraId="1845F7BD" w14:textId="77777777" w:rsidTr="006C68C4">
        <w:trPr>
          <w:trHeight w:val="290"/>
        </w:trPr>
        <w:tc>
          <w:tcPr>
            <w:tcW w:w="1984" w:type="dxa"/>
            <w:tcBorders>
              <w:top w:val="nil"/>
              <w:left w:val="nil"/>
              <w:right w:val="nil"/>
            </w:tcBorders>
            <w:shd w:val="clear" w:color="auto" w:fill="auto"/>
            <w:noWrap/>
            <w:vAlign w:val="bottom"/>
          </w:tcPr>
          <w:p w14:paraId="48EF9AC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B12495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tofacitinib</w:t>
            </w:r>
          </w:p>
        </w:tc>
        <w:tc>
          <w:tcPr>
            <w:tcW w:w="1423" w:type="dxa"/>
            <w:tcBorders>
              <w:top w:val="nil"/>
              <w:left w:val="nil"/>
              <w:right w:val="nil"/>
            </w:tcBorders>
            <w:shd w:val="clear" w:color="auto" w:fill="auto"/>
            <w:noWrap/>
            <w:vAlign w:val="bottom"/>
            <w:hideMark/>
          </w:tcPr>
          <w:p w14:paraId="7794888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672.55</w:t>
            </w:r>
          </w:p>
        </w:tc>
      </w:tr>
      <w:tr w:rsidR="002A0F5D" w:rsidRPr="006C68C4" w14:paraId="0F80DAE9" w14:textId="77777777" w:rsidTr="006C68C4">
        <w:trPr>
          <w:trHeight w:val="290"/>
        </w:trPr>
        <w:tc>
          <w:tcPr>
            <w:tcW w:w="1984" w:type="dxa"/>
            <w:tcBorders>
              <w:top w:val="nil"/>
              <w:left w:val="nil"/>
              <w:right w:val="nil"/>
            </w:tcBorders>
            <w:shd w:val="clear" w:color="auto" w:fill="auto"/>
            <w:noWrap/>
            <w:vAlign w:val="bottom"/>
          </w:tcPr>
          <w:p w14:paraId="4F3DC1B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0F3E2C5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tofacitinib</w:t>
            </w:r>
          </w:p>
        </w:tc>
        <w:tc>
          <w:tcPr>
            <w:tcW w:w="1423" w:type="dxa"/>
            <w:tcBorders>
              <w:top w:val="nil"/>
              <w:left w:val="nil"/>
              <w:right w:val="nil"/>
            </w:tcBorders>
            <w:shd w:val="clear" w:color="auto" w:fill="auto"/>
            <w:noWrap/>
            <w:vAlign w:val="bottom"/>
            <w:hideMark/>
          </w:tcPr>
          <w:p w14:paraId="5F38577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672.55</w:t>
            </w:r>
          </w:p>
        </w:tc>
      </w:tr>
      <w:tr w:rsidR="002A0F5D" w:rsidRPr="006C68C4" w14:paraId="6D9839BC" w14:textId="77777777" w:rsidTr="006C68C4">
        <w:trPr>
          <w:trHeight w:val="290"/>
        </w:trPr>
        <w:tc>
          <w:tcPr>
            <w:tcW w:w="1984" w:type="dxa"/>
            <w:tcBorders>
              <w:top w:val="nil"/>
              <w:left w:val="nil"/>
              <w:right w:val="nil"/>
            </w:tcBorders>
            <w:shd w:val="clear" w:color="auto" w:fill="auto"/>
            <w:noWrap/>
            <w:vAlign w:val="bottom"/>
          </w:tcPr>
          <w:p w14:paraId="5D5ACC3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F598DA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upadacitinib</w:t>
            </w:r>
          </w:p>
        </w:tc>
        <w:tc>
          <w:tcPr>
            <w:tcW w:w="1423" w:type="dxa"/>
            <w:tcBorders>
              <w:top w:val="nil"/>
              <w:left w:val="nil"/>
              <w:right w:val="nil"/>
            </w:tcBorders>
            <w:shd w:val="clear" w:color="auto" w:fill="auto"/>
            <w:noWrap/>
            <w:vAlign w:val="bottom"/>
            <w:hideMark/>
          </w:tcPr>
          <w:p w14:paraId="299C55E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626.48</w:t>
            </w:r>
          </w:p>
        </w:tc>
      </w:tr>
      <w:tr w:rsidR="002A0F5D" w:rsidRPr="006C68C4" w14:paraId="568E8851" w14:textId="77777777" w:rsidTr="006C68C4">
        <w:trPr>
          <w:trHeight w:val="290"/>
        </w:trPr>
        <w:tc>
          <w:tcPr>
            <w:tcW w:w="1984" w:type="dxa"/>
            <w:tcBorders>
              <w:top w:val="nil"/>
              <w:left w:val="nil"/>
              <w:right w:val="nil"/>
            </w:tcBorders>
            <w:shd w:val="clear" w:color="auto" w:fill="auto"/>
            <w:noWrap/>
            <w:vAlign w:val="bottom"/>
          </w:tcPr>
          <w:p w14:paraId="03EBD1B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08D8387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upadacitinib</w:t>
            </w:r>
          </w:p>
        </w:tc>
        <w:tc>
          <w:tcPr>
            <w:tcW w:w="1423" w:type="dxa"/>
            <w:tcBorders>
              <w:top w:val="nil"/>
              <w:left w:val="nil"/>
              <w:right w:val="nil"/>
            </w:tcBorders>
            <w:shd w:val="clear" w:color="auto" w:fill="auto"/>
            <w:noWrap/>
            <w:vAlign w:val="bottom"/>
            <w:hideMark/>
          </w:tcPr>
          <w:p w14:paraId="69FAD37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1218.61</w:t>
            </w:r>
          </w:p>
        </w:tc>
      </w:tr>
      <w:tr w:rsidR="002A0F5D" w:rsidRPr="006C68C4" w14:paraId="58F4A621" w14:textId="77777777" w:rsidTr="006C68C4">
        <w:trPr>
          <w:trHeight w:val="290"/>
        </w:trPr>
        <w:tc>
          <w:tcPr>
            <w:tcW w:w="1984" w:type="dxa"/>
            <w:tcBorders>
              <w:top w:val="nil"/>
              <w:left w:val="nil"/>
              <w:right w:val="nil"/>
            </w:tcBorders>
            <w:shd w:val="clear" w:color="auto" w:fill="auto"/>
            <w:noWrap/>
            <w:vAlign w:val="bottom"/>
          </w:tcPr>
          <w:p w14:paraId="3510655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510C933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ustekinumab</w:t>
            </w:r>
          </w:p>
        </w:tc>
        <w:tc>
          <w:tcPr>
            <w:tcW w:w="1423" w:type="dxa"/>
            <w:tcBorders>
              <w:top w:val="nil"/>
              <w:left w:val="nil"/>
              <w:right w:val="nil"/>
            </w:tcBorders>
            <w:shd w:val="clear" w:color="auto" w:fill="auto"/>
            <w:noWrap/>
            <w:vAlign w:val="bottom"/>
            <w:hideMark/>
          </w:tcPr>
          <w:p w14:paraId="6A79AD2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2175.61</w:t>
            </w:r>
          </w:p>
        </w:tc>
      </w:tr>
      <w:tr w:rsidR="002A0F5D" w:rsidRPr="006C68C4" w14:paraId="149824E9" w14:textId="77777777" w:rsidTr="006C68C4">
        <w:trPr>
          <w:trHeight w:val="290"/>
        </w:trPr>
        <w:tc>
          <w:tcPr>
            <w:tcW w:w="1984" w:type="dxa"/>
            <w:tcBorders>
              <w:top w:val="nil"/>
              <w:left w:val="nil"/>
              <w:right w:val="nil"/>
            </w:tcBorders>
            <w:shd w:val="clear" w:color="auto" w:fill="auto"/>
            <w:noWrap/>
            <w:vAlign w:val="bottom"/>
          </w:tcPr>
          <w:p w14:paraId="3C962E9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885E7D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ustekinumab</w:t>
            </w:r>
          </w:p>
        </w:tc>
        <w:tc>
          <w:tcPr>
            <w:tcW w:w="1423" w:type="dxa"/>
            <w:tcBorders>
              <w:top w:val="nil"/>
              <w:left w:val="nil"/>
              <w:right w:val="nil"/>
            </w:tcBorders>
            <w:shd w:val="clear" w:color="auto" w:fill="auto"/>
            <w:noWrap/>
            <w:vAlign w:val="bottom"/>
            <w:hideMark/>
          </w:tcPr>
          <w:p w14:paraId="741CEC0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2175.61</w:t>
            </w:r>
          </w:p>
        </w:tc>
      </w:tr>
      <w:tr w:rsidR="002A0F5D" w:rsidRPr="006C68C4" w14:paraId="3D7B23B3" w14:textId="77777777" w:rsidTr="006C68C4">
        <w:trPr>
          <w:trHeight w:val="290"/>
        </w:trPr>
        <w:tc>
          <w:tcPr>
            <w:tcW w:w="1984" w:type="dxa"/>
            <w:tcBorders>
              <w:top w:val="nil"/>
              <w:left w:val="nil"/>
              <w:right w:val="nil"/>
            </w:tcBorders>
            <w:shd w:val="clear" w:color="auto" w:fill="auto"/>
            <w:noWrap/>
            <w:vAlign w:val="bottom"/>
          </w:tcPr>
          <w:p w14:paraId="2BCCBA1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80AD33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ustekinumab</w:t>
            </w:r>
          </w:p>
        </w:tc>
        <w:tc>
          <w:tcPr>
            <w:tcW w:w="1423" w:type="dxa"/>
            <w:tcBorders>
              <w:top w:val="nil"/>
              <w:left w:val="nil"/>
              <w:right w:val="nil"/>
            </w:tcBorders>
            <w:shd w:val="clear" w:color="auto" w:fill="auto"/>
            <w:noWrap/>
            <w:vAlign w:val="bottom"/>
            <w:hideMark/>
          </w:tcPr>
          <w:p w14:paraId="025622A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2175.61</w:t>
            </w:r>
          </w:p>
        </w:tc>
      </w:tr>
      <w:tr w:rsidR="002A0F5D" w:rsidRPr="006C68C4" w14:paraId="7620F13A" w14:textId="77777777" w:rsidTr="006C68C4">
        <w:trPr>
          <w:trHeight w:val="290"/>
        </w:trPr>
        <w:tc>
          <w:tcPr>
            <w:tcW w:w="1984" w:type="dxa"/>
            <w:tcBorders>
              <w:top w:val="nil"/>
              <w:left w:val="nil"/>
              <w:right w:val="nil"/>
            </w:tcBorders>
            <w:shd w:val="clear" w:color="auto" w:fill="auto"/>
            <w:noWrap/>
            <w:vAlign w:val="bottom"/>
          </w:tcPr>
          <w:p w14:paraId="3815602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7156AC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vedolizumab</w:t>
            </w:r>
          </w:p>
        </w:tc>
        <w:tc>
          <w:tcPr>
            <w:tcW w:w="1423" w:type="dxa"/>
            <w:tcBorders>
              <w:top w:val="nil"/>
              <w:left w:val="nil"/>
              <w:right w:val="nil"/>
            </w:tcBorders>
            <w:shd w:val="clear" w:color="auto" w:fill="auto"/>
            <w:noWrap/>
            <w:vAlign w:val="bottom"/>
            <w:hideMark/>
          </w:tcPr>
          <w:p w14:paraId="7BAEA5F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333.35</w:t>
            </w:r>
          </w:p>
        </w:tc>
      </w:tr>
      <w:tr w:rsidR="002A0F5D" w:rsidRPr="006C68C4" w14:paraId="6CE843F9" w14:textId="77777777" w:rsidTr="006C68C4">
        <w:trPr>
          <w:trHeight w:val="290"/>
        </w:trPr>
        <w:tc>
          <w:tcPr>
            <w:tcW w:w="1984" w:type="dxa"/>
            <w:tcBorders>
              <w:top w:val="nil"/>
              <w:left w:val="nil"/>
              <w:right w:val="nil"/>
            </w:tcBorders>
            <w:shd w:val="clear" w:color="auto" w:fill="auto"/>
            <w:noWrap/>
            <w:vAlign w:val="bottom"/>
          </w:tcPr>
          <w:p w14:paraId="68D346D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0C50867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vedolizumab</w:t>
            </w:r>
          </w:p>
        </w:tc>
        <w:tc>
          <w:tcPr>
            <w:tcW w:w="1423" w:type="dxa"/>
            <w:tcBorders>
              <w:top w:val="nil"/>
              <w:left w:val="nil"/>
              <w:right w:val="nil"/>
            </w:tcBorders>
            <w:shd w:val="clear" w:color="auto" w:fill="auto"/>
            <w:noWrap/>
            <w:vAlign w:val="bottom"/>
            <w:hideMark/>
          </w:tcPr>
          <w:p w14:paraId="0842273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657.00</w:t>
            </w:r>
          </w:p>
        </w:tc>
      </w:tr>
      <w:tr w:rsidR="002A0F5D" w:rsidRPr="006C68C4" w14:paraId="41187851" w14:textId="77777777" w:rsidTr="006C68C4">
        <w:trPr>
          <w:trHeight w:val="290"/>
        </w:trPr>
        <w:tc>
          <w:tcPr>
            <w:tcW w:w="1984" w:type="dxa"/>
            <w:tcBorders>
              <w:top w:val="nil"/>
              <w:left w:val="nil"/>
              <w:right w:val="nil"/>
            </w:tcBorders>
            <w:shd w:val="clear" w:color="auto" w:fill="auto"/>
            <w:noWrap/>
            <w:vAlign w:val="bottom"/>
          </w:tcPr>
          <w:p w14:paraId="2584881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866A6A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vedolizumab</w:t>
            </w:r>
          </w:p>
        </w:tc>
        <w:tc>
          <w:tcPr>
            <w:tcW w:w="1423" w:type="dxa"/>
            <w:tcBorders>
              <w:top w:val="nil"/>
              <w:left w:val="nil"/>
              <w:right w:val="nil"/>
            </w:tcBorders>
            <w:shd w:val="clear" w:color="auto" w:fill="auto"/>
            <w:noWrap/>
            <w:vAlign w:val="bottom"/>
            <w:hideMark/>
          </w:tcPr>
          <w:p w14:paraId="4514915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333.35</w:t>
            </w:r>
          </w:p>
        </w:tc>
      </w:tr>
      <w:tr w:rsidR="002A0F5D" w:rsidRPr="006C68C4" w14:paraId="487134F4" w14:textId="77777777" w:rsidTr="006C68C4">
        <w:trPr>
          <w:trHeight w:val="290"/>
        </w:trPr>
        <w:tc>
          <w:tcPr>
            <w:tcW w:w="1984" w:type="dxa"/>
            <w:tcBorders>
              <w:top w:val="nil"/>
              <w:left w:val="nil"/>
              <w:right w:val="nil"/>
            </w:tcBorders>
            <w:shd w:val="clear" w:color="auto" w:fill="auto"/>
            <w:noWrap/>
            <w:vAlign w:val="bottom"/>
          </w:tcPr>
          <w:p w14:paraId="62CCA0B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5F3EEF9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vedolizumab</w:t>
            </w:r>
          </w:p>
        </w:tc>
        <w:tc>
          <w:tcPr>
            <w:tcW w:w="1423" w:type="dxa"/>
            <w:tcBorders>
              <w:top w:val="nil"/>
              <w:left w:val="nil"/>
              <w:right w:val="nil"/>
            </w:tcBorders>
            <w:shd w:val="clear" w:color="auto" w:fill="auto"/>
            <w:noWrap/>
            <w:vAlign w:val="bottom"/>
            <w:hideMark/>
          </w:tcPr>
          <w:p w14:paraId="0C7A3C8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657.00</w:t>
            </w:r>
          </w:p>
        </w:tc>
      </w:tr>
      <w:tr w:rsidR="002A0F5D" w:rsidRPr="006C68C4" w14:paraId="7926C137" w14:textId="77777777" w:rsidTr="006C68C4">
        <w:trPr>
          <w:trHeight w:val="290"/>
        </w:trPr>
        <w:tc>
          <w:tcPr>
            <w:tcW w:w="1984" w:type="dxa"/>
            <w:tcBorders>
              <w:top w:val="nil"/>
              <w:left w:val="nil"/>
              <w:right w:val="nil"/>
            </w:tcBorders>
            <w:shd w:val="clear" w:color="auto" w:fill="auto"/>
            <w:noWrap/>
            <w:vAlign w:val="bottom"/>
            <w:hideMark/>
          </w:tcPr>
          <w:p w14:paraId="3A093EA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Hospitalization</w:t>
            </w:r>
          </w:p>
        </w:tc>
        <w:tc>
          <w:tcPr>
            <w:tcW w:w="5388" w:type="dxa"/>
            <w:tcBorders>
              <w:top w:val="nil"/>
              <w:left w:val="nil"/>
              <w:right w:val="nil"/>
            </w:tcBorders>
            <w:shd w:val="clear" w:color="auto" w:fill="auto"/>
            <w:noWrap/>
            <w:vAlign w:val="bottom"/>
            <w:hideMark/>
          </w:tcPr>
          <w:p w14:paraId="0FB611A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K51</w:t>
            </w:r>
          </w:p>
        </w:tc>
        <w:tc>
          <w:tcPr>
            <w:tcW w:w="1423" w:type="dxa"/>
            <w:tcBorders>
              <w:top w:val="nil"/>
              <w:left w:val="nil"/>
              <w:right w:val="nil"/>
            </w:tcBorders>
            <w:shd w:val="clear" w:color="auto" w:fill="auto"/>
            <w:noWrap/>
            <w:vAlign w:val="bottom"/>
            <w:hideMark/>
          </w:tcPr>
          <w:p w14:paraId="56CFB38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209.40</w:t>
            </w:r>
          </w:p>
        </w:tc>
      </w:tr>
      <w:tr w:rsidR="002A0F5D" w:rsidRPr="006C68C4" w14:paraId="0E800BB9" w14:textId="77777777" w:rsidTr="006C68C4">
        <w:trPr>
          <w:trHeight w:val="290"/>
        </w:trPr>
        <w:tc>
          <w:tcPr>
            <w:tcW w:w="1984" w:type="dxa"/>
            <w:tcBorders>
              <w:top w:val="nil"/>
              <w:left w:val="nil"/>
              <w:right w:val="nil"/>
            </w:tcBorders>
            <w:shd w:val="clear" w:color="auto" w:fill="auto"/>
            <w:noWrap/>
            <w:vAlign w:val="bottom"/>
          </w:tcPr>
          <w:p w14:paraId="5ECF5B4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53ECCB9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K51</w:t>
            </w:r>
          </w:p>
        </w:tc>
        <w:tc>
          <w:tcPr>
            <w:tcW w:w="1423" w:type="dxa"/>
            <w:tcBorders>
              <w:top w:val="nil"/>
              <w:left w:val="nil"/>
              <w:right w:val="nil"/>
            </w:tcBorders>
            <w:shd w:val="clear" w:color="auto" w:fill="auto"/>
            <w:noWrap/>
            <w:vAlign w:val="bottom"/>
            <w:hideMark/>
          </w:tcPr>
          <w:p w14:paraId="3E4C41A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2536.43</w:t>
            </w:r>
          </w:p>
        </w:tc>
      </w:tr>
      <w:tr w:rsidR="002A0F5D" w:rsidRPr="006C68C4" w14:paraId="07A5D630" w14:textId="77777777" w:rsidTr="006C68C4">
        <w:trPr>
          <w:trHeight w:val="290"/>
        </w:trPr>
        <w:tc>
          <w:tcPr>
            <w:tcW w:w="1984" w:type="dxa"/>
            <w:tcBorders>
              <w:top w:val="nil"/>
              <w:left w:val="nil"/>
              <w:right w:val="nil"/>
            </w:tcBorders>
            <w:shd w:val="clear" w:color="auto" w:fill="auto"/>
            <w:noWrap/>
            <w:vAlign w:val="bottom"/>
          </w:tcPr>
          <w:p w14:paraId="614E807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BA2266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K52</w:t>
            </w:r>
          </w:p>
        </w:tc>
        <w:tc>
          <w:tcPr>
            <w:tcW w:w="1423" w:type="dxa"/>
            <w:tcBorders>
              <w:top w:val="nil"/>
              <w:left w:val="nil"/>
              <w:right w:val="nil"/>
            </w:tcBorders>
            <w:shd w:val="clear" w:color="auto" w:fill="auto"/>
            <w:noWrap/>
            <w:vAlign w:val="bottom"/>
            <w:hideMark/>
          </w:tcPr>
          <w:p w14:paraId="36A8DFF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492.17</w:t>
            </w:r>
          </w:p>
        </w:tc>
      </w:tr>
      <w:tr w:rsidR="002A0F5D" w:rsidRPr="006C68C4" w14:paraId="1F102D1E" w14:textId="77777777" w:rsidTr="006C68C4">
        <w:trPr>
          <w:trHeight w:val="290"/>
        </w:trPr>
        <w:tc>
          <w:tcPr>
            <w:tcW w:w="1984" w:type="dxa"/>
            <w:tcBorders>
              <w:top w:val="nil"/>
              <w:left w:val="nil"/>
              <w:right w:val="nil"/>
            </w:tcBorders>
            <w:shd w:val="clear" w:color="auto" w:fill="auto"/>
            <w:noWrap/>
            <w:vAlign w:val="bottom"/>
          </w:tcPr>
          <w:p w14:paraId="0016AAC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00A28F1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K52</w:t>
            </w:r>
          </w:p>
        </w:tc>
        <w:tc>
          <w:tcPr>
            <w:tcW w:w="1423" w:type="dxa"/>
            <w:tcBorders>
              <w:top w:val="nil"/>
              <w:left w:val="nil"/>
              <w:right w:val="nil"/>
            </w:tcBorders>
            <w:shd w:val="clear" w:color="auto" w:fill="auto"/>
            <w:noWrap/>
            <w:vAlign w:val="bottom"/>
            <w:hideMark/>
          </w:tcPr>
          <w:p w14:paraId="7758A71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2652.24</w:t>
            </w:r>
          </w:p>
        </w:tc>
      </w:tr>
      <w:tr w:rsidR="002A0F5D" w:rsidRPr="006C68C4" w14:paraId="6D061D10" w14:textId="77777777" w:rsidTr="006C68C4">
        <w:trPr>
          <w:trHeight w:val="290"/>
        </w:trPr>
        <w:tc>
          <w:tcPr>
            <w:tcW w:w="1984" w:type="dxa"/>
            <w:tcBorders>
              <w:top w:val="nil"/>
              <w:left w:val="nil"/>
              <w:right w:val="nil"/>
            </w:tcBorders>
            <w:shd w:val="clear" w:color="auto" w:fill="auto"/>
            <w:noWrap/>
            <w:vAlign w:val="bottom"/>
          </w:tcPr>
          <w:p w14:paraId="4A9FA63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9B7C53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R10.4</w:t>
            </w:r>
          </w:p>
        </w:tc>
        <w:tc>
          <w:tcPr>
            <w:tcW w:w="1423" w:type="dxa"/>
            <w:tcBorders>
              <w:top w:val="nil"/>
              <w:left w:val="nil"/>
              <w:right w:val="nil"/>
            </w:tcBorders>
            <w:shd w:val="clear" w:color="auto" w:fill="auto"/>
            <w:noWrap/>
            <w:vAlign w:val="bottom"/>
            <w:hideMark/>
          </w:tcPr>
          <w:p w14:paraId="4A16F01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418.29</w:t>
            </w:r>
          </w:p>
        </w:tc>
      </w:tr>
      <w:tr w:rsidR="002A0F5D" w:rsidRPr="006C68C4" w14:paraId="2B3B78A5" w14:textId="77777777" w:rsidTr="006C68C4">
        <w:trPr>
          <w:trHeight w:val="290"/>
        </w:trPr>
        <w:tc>
          <w:tcPr>
            <w:tcW w:w="1984" w:type="dxa"/>
            <w:tcBorders>
              <w:top w:val="nil"/>
              <w:left w:val="nil"/>
              <w:right w:val="nil"/>
            </w:tcBorders>
            <w:shd w:val="clear" w:color="auto" w:fill="auto"/>
            <w:noWrap/>
            <w:vAlign w:val="bottom"/>
          </w:tcPr>
          <w:p w14:paraId="1E95E62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7AC0D7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R10.4</w:t>
            </w:r>
          </w:p>
        </w:tc>
        <w:tc>
          <w:tcPr>
            <w:tcW w:w="1423" w:type="dxa"/>
            <w:tcBorders>
              <w:top w:val="nil"/>
              <w:left w:val="nil"/>
              <w:right w:val="nil"/>
            </w:tcBorders>
            <w:shd w:val="clear" w:color="auto" w:fill="auto"/>
            <w:noWrap/>
            <w:vAlign w:val="bottom"/>
            <w:hideMark/>
          </w:tcPr>
          <w:p w14:paraId="1E8D3BC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1892.77</w:t>
            </w:r>
          </w:p>
        </w:tc>
      </w:tr>
      <w:tr w:rsidR="002A0F5D" w:rsidRPr="006C68C4" w14:paraId="28DA0FF7" w14:textId="77777777" w:rsidTr="006C68C4">
        <w:trPr>
          <w:trHeight w:val="290"/>
        </w:trPr>
        <w:tc>
          <w:tcPr>
            <w:tcW w:w="1984" w:type="dxa"/>
            <w:tcBorders>
              <w:top w:val="nil"/>
              <w:left w:val="nil"/>
              <w:right w:val="nil"/>
            </w:tcBorders>
            <w:shd w:val="clear" w:color="auto" w:fill="auto"/>
            <w:noWrap/>
            <w:vAlign w:val="bottom"/>
          </w:tcPr>
          <w:p w14:paraId="239017A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9E72C1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Z03.9</w:t>
            </w:r>
          </w:p>
        </w:tc>
        <w:tc>
          <w:tcPr>
            <w:tcW w:w="1423" w:type="dxa"/>
            <w:tcBorders>
              <w:top w:val="nil"/>
              <w:left w:val="nil"/>
              <w:right w:val="nil"/>
            </w:tcBorders>
            <w:shd w:val="clear" w:color="auto" w:fill="auto"/>
            <w:noWrap/>
            <w:vAlign w:val="bottom"/>
            <w:hideMark/>
          </w:tcPr>
          <w:p w14:paraId="6494505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507.65</w:t>
            </w:r>
          </w:p>
        </w:tc>
      </w:tr>
      <w:tr w:rsidR="002A0F5D" w:rsidRPr="006C68C4" w14:paraId="4ECDC87F" w14:textId="77777777" w:rsidTr="006C68C4">
        <w:trPr>
          <w:trHeight w:val="290"/>
        </w:trPr>
        <w:tc>
          <w:tcPr>
            <w:tcW w:w="1984" w:type="dxa"/>
            <w:tcBorders>
              <w:top w:val="nil"/>
              <w:left w:val="nil"/>
              <w:right w:val="nil"/>
            </w:tcBorders>
            <w:shd w:val="clear" w:color="auto" w:fill="auto"/>
            <w:noWrap/>
            <w:vAlign w:val="bottom"/>
          </w:tcPr>
          <w:p w14:paraId="50A336B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0770F5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Z00.0</w:t>
            </w:r>
          </w:p>
        </w:tc>
        <w:tc>
          <w:tcPr>
            <w:tcW w:w="1423" w:type="dxa"/>
            <w:tcBorders>
              <w:top w:val="nil"/>
              <w:left w:val="nil"/>
              <w:right w:val="nil"/>
            </w:tcBorders>
            <w:shd w:val="clear" w:color="auto" w:fill="auto"/>
            <w:noWrap/>
            <w:vAlign w:val="bottom"/>
            <w:hideMark/>
          </w:tcPr>
          <w:p w14:paraId="1293E53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507.65</w:t>
            </w:r>
          </w:p>
        </w:tc>
      </w:tr>
      <w:tr w:rsidR="002A0F5D" w:rsidRPr="006C68C4" w14:paraId="6012CCE9" w14:textId="77777777" w:rsidTr="006C68C4">
        <w:trPr>
          <w:trHeight w:val="290"/>
        </w:trPr>
        <w:tc>
          <w:tcPr>
            <w:tcW w:w="1984" w:type="dxa"/>
            <w:tcBorders>
              <w:top w:val="nil"/>
              <w:left w:val="nil"/>
              <w:right w:val="nil"/>
            </w:tcBorders>
            <w:shd w:val="clear" w:color="auto" w:fill="auto"/>
            <w:noWrap/>
            <w:vAlign w:val="bottom"/>
          </w:tcPr>
          <w:p w14:paraId="4791959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724997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Z54</w:t>
            </w:r>
          </w:p>
        </w:tc>
        <w:tc>
          <w:tcPr>
            <w:tcW w:w="1423" w:type="dxa"/>
            <w:tcBorders>
              <w:top w:val="nil"/>
              <w:left w:val="nil"/>
              <w:right w:val="nil"/>
            </w:tcBorders>
            <w:shd w:val="clear" w:color="auto" w:fill="auto"/>
            <w:noWrap/>
            <w:vAlign w:val="bottom"/>
            <w:hideMark/>
          </w:tcPr>
          <w:p w14:paraId="121F913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1798.94</w:t>
            </w:r>
          </w:p>
        </w:tc>
      </w:tr>
      <w:tr w:rsidR="002A0F5D" w:rsidRPr="006C68C4" w14:paraId="1BF257FF" w14:textId="77777777" w:rsidTr="006C68C4">
        <w:trPr>
          <w:trHeight w:val="290"/>
        </w:trPr>
        <w:tc>
          <w:tcPr>
            <w:tcW w:w="1984" w:type="dxa"/>
            <w:tcBorders>
              <w:top w:val="nil"/>
              <w:left w:val="nil"/>
              <w:right w:val="nil"/>
            </w:tcBorders>
            <w:shd w:val="clear" w:color="auto" w:fill="auto"/>
            <w:noWrap/>
            <w:vAlign w:val="bottom"/>
          </w:tcPr>
          <w:p w14:paraId="4C4BEFF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842CBF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AFFECTIONS SEVERES DU TUBE DIGESTIF NIVEAU 2</w:t>
            </w:r>
          </w:p>
        </w:tc>
        <w:tc>
          <w:tcPr>
            <w:tcW w:w="1423" w:type="dxa"/>
            <w:tcBorders>
              <w:top w:val="nil"/>
              <w:left w:val="nil"/>
              <w:right w:val="nil"/>
            </w:tcBorders>
            <w:shd w:val="clear" w:color="auto" w:fill="auto"/>
            <w:noWrap/>
            <w:vAlign w:val="bottom"/>
            <w:hideMark/>
          </w:tcPr>
          <w:p w14:paraId="5596F99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2147.66</w:t>
            </w:r>
          </w:p>
        </w:tc>
      </w:tr>
      <w:tr w:rsidR="002A0F5D" w:rsidRPr="006C68C4" w14:paraId="521CAEA9" w14:textId="77777777" w:rsidTr="006C68C4">
        <w:trPr>
          <w:trHeight w:val="290"/>
        </w:trPr>
        <w:tc>
          <w:tcPr>
            <w:tcW w:w="1984" w:type="dxa"/>
            <w:tcBorders>
              <w:top w:val="nil"/>
              <w:left w:val="nil"/>
              <w:right w:val="nil"/>
            </w:tcBorders>
            <w:shd w:val="clear" w:color="auto" w:fill="auto"/>
            <w:noWrap/>
            <w:vAlign w:val="bottom"/>
          </w:tcPr>
          <w:p w14:paraId="3B269D5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536DF16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AUTRES AFFECTIONS DIGESTIVES AGE SUPERIEUR A 17 ANS NIVEAU 1</w:t>
            </w:r>
          </w:p>
        </w:tc>
        <w:tc>
          <w:tcPr>
            <w:tcW w:w="1423" w:type="dxa"/>
            <w:tcBorders>
              <w:top w:val="nil"/>
              <w:left w:val="nil"/>
              <w:right w:val="nil"/>
            </w:tcBorders>
            <w:shd w:val="clear" w:color="auto" w:fill="auto"/>
            <w:noWrap/>
            <w:vAlign w:val="bottom"/>
            <w:hideMark/>
          </w:tcPr>
          <w:p w14:paraId="3BD4145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865.12</w:t>
            </w:r>
          </w:p>
        </w:tc>
      </w:tr>
      <w:tr w:rsidR="002A0F5D" w:rsidRPr="006C68C4" w14:paraId="7F7439F2" w14:textId="77777777" w:rsidTr="006C68C4">
        <w:trPr>
          <w:trHeight w:val="290"/>
        </w:trPr>
        <w:tc>
          <w:tcPr>
            <w:tcW w:w="1984" w:type="dxa"/>
            <w:tcBorders>
              <w:top w:val="nil"/>
              <w:left w:val="nil"/>
              <w:right w:val="nil"/>
            </w:tcBorders>
            <w:shd w:val="clear" w:color="auto" w:fill="auto"/>
            <w:noWrap/>
            <w:vAlign w:val="bottom"/>
          </w:tcPr>
          <w:p w14:paraId="3165628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982E7A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AUTRES GASTROENTERITES ET MALADIES DIVERSES DU TUBE DIGESTIF AGE SUPERIEUR A 17 ANS NIVEAU 1</w:t>
            </w:r>
          </w:p>
        </w:tc>
        <w:tc>
          <w:tcPr>
            <w:tcW w:w="1423" w:type="dxa"/>
            <w:tcBorders>
              <w:top w:val="nil"/>
              <w:left w:val="nil"/>
              <w:right w:val="nil"/>
            </w:tcBorders>
            <w:shd w:val="clear" w:color="auto" w:fill="auto"/>
            <w:noWrap/>
            <w:vAlign w:val="bottom"/>
            <w:hideMark/>
          </w:tcPr>
          <w:p w14:paraId="4DFD09F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940.37</w:t>
            </w:r>
          </w:p>
        </w:tc>
      </w:tr>
      <w:tr w:rsidR="002A0F5D" w:rsidRPr="006C68C4" w14:paraId="23E094CE" w14:textId="77777777" w:rsidTr="006C68C4">
        <w:trPr>
          <w:trHeight w:val="290"/>
        </w:trPr>
        <w:tc>
          <w:tcPr>
            <w:tcW w:w="1984" w:type="dxa"/>
            <w:tcBorders>
              <w:top w:val="nil"/>
              <w:left w:val="nil"/>
              <w:right w:val="nil"/>
            </w:tcBorders>
            <w:shd w:val="clear" w:color="auto" w:fill="auto"/>
            <w:noWrap/>
            <w:vAlign w:val="bottom"/>
          </w:tcPr>
          <w:p w14:paraId="28DFE45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048898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AUTRES GASTROENTERITES ET MALADIES DIVERSES DU TUBE DIGESTIF AGE SUPERIEUR A 17 ANS NIVEAU 2</w:t>
            </w:r>
          </w:p>
        </w:tc>
        <w:tc>
          <w:tcPr>
            <w:tcW w:w="1423" w:type="dxa"/>
            <w:tcBorders>
              <w:top w:val="nil"/>
              <w:left w:val="nil"/>
              <w:right w:val="nil"/>
            </w:tcBorders>
            <w:shd w:val="clear" w:color="auto" w:fill="auto"/>
            <w:noWrap/>
            <w:vAlign w:val="bottom"/>
            <w:hideMark/>
          </w:tcPr>
          <w:p w14:paraId="69D1777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1672.40</w:t>
            </w:r>
          </w:p>
        </w:tc>
      </w:tr>
      <w:tr w:rsidR="002A0F5D" w:rsidRPr="006C68C4" w14:paraId="6D662358" w14:textId="77777777" w:rsidTr="006C68C4">
        <w:trPr>
          <w:trHeight w:val="290"/>
        </w:trPr>
        <w:tc>
          <w:tcPr>
            <w:tcW w:w="1984" w:type="dxa"/>
            <w:tcBorders>
              <w:top w:val="nil"/>
              <w:left w:val="nil"/>
              <w:right w:val="nil"/>
            </w:tcBorders>
            <w:shd w:val="clear" w:color="auto" w:fill="auto"/>
            <w:noWrap/>
            <w:vAlign w:val="bottom"/>
          </w:tcPr>
          <w:p w14:paraId="79B9596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56A6E76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AUTRES GASTROENTERITES ET MALADIES DIVERSES DU TUBE DIGESTIF AGE SUPERIEUR A 17 ANS NIVEAU 3</w:t>
            </w:r>
          </w:p>
        </w:tc>
        <w:tc>
          <w:tcPr>
            <w:tcW w:w="1423" w:type="dxa"/>
            <w:tcBorders>
              <w:top w:val="nil"/>
              <w:left w:val="nil"/>
              <w:right w:val="nil"/>
            </w:tcBorders>
            <w:shd w:val="clear" w:color="auto" w:fill="auto"/>
            <w:noWrap/>
            <w:vAlign w:val="bottom"/>
            <w:hideMark/>
          </w:tcPr>
          <w:p w14:paraId="5C09574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2652.24</w:t>
            </w:r>
          </w:p>
        </w:tc>
      </w:tr>
      <w:tr w:rsidR="002A0F5D" w:rsidRPr="006C68C4" w14:paraId="3BF6679E" w14:textId="77777777" w:rsidTr="006C68C4">
        <w:trPr>
          <w:trHeight w:val="290"/>
        </w:trPr>
        <w:tc>
          <w:tcPr>
            <w:tcW w:w="1984" w:type="dxa"/>
            <w:tcBorders>
              <w:top w:val="nil"/>
              <w:left w:val="nil"/>
              <w:right w:val="nil"/>
            </w:tcBorders>
            <w:shd w:val="clear" w:color="auto" w:fill="auto"/>
            <w:noWrap/>
            <w:vAlign w:val="bottom"/>
          </w:tcPr>
          <w:p w14:paraId="0266DE0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F60A48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AUTRES GASTROENTERITES ET MALADIES DIVERSES DU TUBE DIGESTIF AGE SUPERIEUR A 17 ANS TRES COURTE DUREE</w:t>
            </w:r>
          </w:p>
        </w:tc>
        <w:tc>
          <w:tcPr>
            <w:tcW w:w="1423" w:type="dxa"/>
            <w:tcBorders>
              <w:top w:val="nil"/>
              <w:left w:val="nil"/>
              <w:right w:val="nil"/>
            </w:tcBorders>
            <w:shd w:val="clear" w:color="auto" w:fill="auto"/>
            <w:noWrap/>
            <w:vAlign w:val="bottom"/>
            <w:hideMark/>
          </w:tcPr>
          <w:p w14:paraId="7993F3A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492.17</w:t>
            </w:r>
          </w:p>
        </w:tc>
      </w:tr>
      <w:tr w:rsidR="002A0F5D" w:rsidRPr="006C68C4" w14:paraId="1ED4B5FB" w14:textId="77777777" w:rsidTr="006C68C4">
        <w:trPr>
          <w:trHeight w:val="290"/>
        </w:trPr>
        <w:tc>
          <w:tcPr>
            <w:tcW w:w="1984" w:type="dxa"/>
            <w:tcBorders>
              <w:top w:val="nil"/>
              <w:left w:val="nil"/>
              <w:right w:val="nil"/>
            </w:tcBorders>
            <w:shd w:val="clear" w:color="auto" w:fill="auto"/>
            <w:noWrap/>
            <w:vAlign w:val="bottom"/>
          </w:tcPr>
          <w:p w14:paraId="76F1E34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8A7F9B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AUTRES SYMPTOMES ET MOTIFS DE RECOURS AUX SOINS DE LA CMD 23</w:t>
            </w:r>
          </w:p>
        </w:tc>
        <w:tc>
          <w:tcPr>
            <w:tcW w:w="1423" w:type="dxa"/>
            <w:tcBorders>
              <w:top w:val="nil"/>
              <w:left w:val="nil"/>
              <w:right w:val="nil"/>
            </w:tcBorders>
            <w:shd w:val="clear" w:color="auto" w:fill="auto"/>
            <w:noWrap/>
            <w:vAlign w:val="bottom"/>
            <w:hideMark/>
          </w:tcPr>
          <w:p w14:paraId="1F230DC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1516.51</w:t>
            </w:r>
          </w:p>
        </w:tc>
      </w:tr>
      <w:tr w:rsidR="002A0F5D" w:rsidRPr="006C68C4" w14:paraId="15974C9B" w14:textId="77777777" w:rsidTr="006C68C4">
        <w:trPr>
          <w:trHeight w:val="290"/>
        </w:trPr>
        <w:tc>
          <w:tcPr>
            <w:tcW w:w="1984" w:type="dxa"/>
            <w:tcBorders>
              <w:top w:val="nil"/>
              <w:left w:val="nil"/>
              <w:right w:val="nil"/>
            </w:tcBorders>
            <w:shd w:val="clear" w:color="auto" w:fill="auto"/>
            <w:noWrap/>
            <w:vAlign w:val="bottom"/>
          </w:tcPr>
          <w:p w14:paraId="61562F7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2685E9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AUTRES SYMPTOMES ET MOTIFS DE RECOURS AUX SOINS DE LA CMD 23 TRES COURTE DUREE</w:t>
            </w:r>
          </w:p>
        </w:tc>
        <w:tc>
          <w:tcPr>
            <w:tcW w:w="1423" w:type="dxa"/>
            <w:tcBorders>
              <w:top w:val="nil"/>
              <w:left w:val="nil"/>
              <w:right w:val="nil"/>
            </w:tcBorders>
            <w:shd w:val="clear" w:color="auto" w:fill="auto"/>
            <w:noWrap/>
            <w:vAlign w:val="bottom"/>
            <w:hideMark/>
          </w:tcPr>
          <w:p w14:paraId="3901D00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507.65</w:t>
            </w:r>
          </w:p>
        </w:tc>
      </w:tr>
      <w:tr w:rsidR="002A0F5D" w:rsidRPr="006C68C4" w14:paraId="7D519EA9" w14:textId="77777777" w:rsidTr="006C68C4">
        <w:trPr>
          <w:trHeight w:val="290"/>
        </w:trPr>
        <w:tc>
          <w:tcPr>
            <w:tcW w:w="1984" w:type="dxa"/>
            <w:tcBorders>
              <w:top w:val="nil"/>
              <w:left w:val="nil"/>
              <w:right w:val="nil"/>
            </w:tcBorders>
            <w:shd w:val="clear" w:color="auto" w:fill="auto"/>
            <w:noWrap/>
            <w:vAlign w:val="bottom"/>
          </w:tcPr>
          <w:p w14:paraId="68628D8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7DC6F3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AUTRES TROUBLES DE LA LIGNEE ERYTHROCYTAIRE AGE SUPERIEUR A 17 ANS NIVEAU 4</w:t>
            </w:r>
          </w:p>
        </w:tc>
        <w:tc>
          <w:tcPr>
            <w:tcW w:w="1423" w:type="dxa"/>
            <w:tcBorders>
              <w:top w:val="nil"/>
              <w:left w:val="nil"/>
              <w:right w:val="nil"/>
            </w:tcBorders>
            <w:shd w:val="clear" w:color="auto" w:fill="auto"/>
            <w:noWrap/>
            <w:vAlign w:val="bottom"/>
            <w:hideMark/>
          </w:tcPr>
          <w:p w14:paraId="4EA3CF3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5010.27</w:t>
            </w:r>
          </w:p>
        </w:tc>
      </w:tr>
      <w:tr w:rsidR="002A0F5D" w:rsidRPr="006C68C4" w14:paraId="7F60B1F0" w14:textId="77777777" w:rsidTr="006C68C4">
        <w:trPr>
          <w:trHeight w:val="290"/>
        </w:trPr>
        <w:tc>
          <w:tcPr>
            <w:tcW w:w="1984" w:type="dxa"/>
            <w:tcBorders>
              <w:top w:val="nil"/>
              <w:left w:val="nil"/>
              <w:right w:val="nil"/>
            </w:tcBorders>
            <w:shd w:val="clear" w:color="auto" w:fill="auto"/>
            <w:noWrap/>
            <w:vAlign w:val="bottom"/>
          </w:tcPr>
          <w:p w14:paraId="3F40BB3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15C317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AUTRES TROUBLES DE LA LIGNEE ERYTHROCYTAIRE AGE SUPERIEUR A 17 ANS TRES COURTE DUREE</w:t>
            </w:r>
          </w:p>
        </w:tc>
        <w:tc>
          <w:tcPr>
            <w:tcW w:w="1423" w:type="dxa"/>
            <w:tcBorders>
              <w:top w:val="nil"/>
              <w:left w:val="nil"/>
              <w:right w:val="nil"/>
            </w:tcBorders>
            <w:shd w:val="clear" w:color="auto" w:fill="auto"/>
            <w:noWrap/>
            <w:vAlign w:val="bottom"/>
            <w:hideMark/>
          </w:tcPr>
          <w:p w14:paraId="38E3347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541.90</w:t>
            </w:r>
          </w:p>
        </w:tc>
      </w:tr>
      <w:tr w:rsidR="002A0F5D" w:rsidRPr="006C68C4" w14:paraId="1C000E34" w14:textId="77777777" w:rsidTr="006C68C4">
        <w:trPr>
          <w:trHeight w:val="290"/>
        </w:trPr>
        <w:tc>
          <w:tcPr>
            <w:tcW w:w="1984" w:type="dxa"/>
            <w:tcBorders>
              <w:top w:val="nil"/>
              <w:left w:val="nil"/>
              <w:right w:val="nil"/>
            </w:tcBorders>
            <w:shd w:val="clear" w:color="auto" w:fill="auto"/>
            <w:noWrap/>
            <w:vAlign w:val="bottom"/>
          </w:tcPr>
          <w:p w14:paraId="3B9735E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2FCBB1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Autres facteurs influant sur l’Ã©tat de santÃ©, trÃ¨s courte durÃ©e</w:t>
            </w:r>
          </w:p>
        </w:tc>
        <w:tc>
          <w:tcPr>
            <w:tcW w:w="1423" w:type="dxa"/>
            <w:tcBorders>
              <w:top w:val="nil"/>
              <w:left w:val="nil"/>
              <w:right w:val="nil"/>
            </w:tcBorders>
            <w:shd w:val="clear" w:color="auto" w:fill="auto"/>
            <w:noWrap/>
            <w:vAlign w:val="bottom"/>
            <w:hideMark/>
          </w:tcPr>
          <w:p w14:paraId="24A2FE3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497.38</w:t>
            </w:r>
          </w:p>
        </w:tc>
      </w:tr>
      <w:tr w:rsidR="002A0F5D" w:rsidRPr="006C68C4" w14:paraId="00CBC7EA" w14:textId="77777777" w:rsidTr="006C68C4">
        <w:trPr>
          <w:trHeight w:val="290"/>
        </w:trPr>
        <w:tc>
          <w:tcPr>
            <w:tcW w:w="1984" w:type="dxa"/>
            <w:tcBorders>
              <w:top w:val="nil"/>
              <w:left w:val="nil"/>
              <w:right w:val="nil"/>
            </w:tcBorders>
            <w:shd w:val="clear" w:color="auto" w:fill="auto"/>
            <w:noWrap/>
            <w:vAlign w:val="bottom"/>
          </w:tcPr>
          <w:p w14:paraId="492DA28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6C0F36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CHOLECYSTECTOMIES SANS EXPLORATION DE LA VOIE BILIAIRE PRINCIPALE POUR AFFECTIONS AIGUES NIVEAU 4</w:t>
            </w:r>
          </w:p>
        </w:tc>
        <w:tc>
          <w:tcPr>
            <w:tcW w:w="1423" w:type="dxa"/>
            <w:tcBorders>
              <w:top w:val="nil"/>
              <w:left w:val="nil"/>
              <w:right w:val="nil"/>
            </w:tcBorders>
            <w:shd w:val="clear" w:color="auto" w:fill="auto"/>
            <w:noWrap/>
            <w:vAlign w:val="bottom"/>
            <w:hideMark/>
          </w:tcPr>
          <w:p w14:paraId="63459E0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7542.70</w:t>
            </w:r>
          </w:p>
        </w:tc>
      </w:tr>
      <w:tr w:rsidR="002A0F5D" w:rsidRPr="006C68C4" w14:paraId="2203F079" w14:textId="77777777" w:rsidTr="006C68C4">
        <w:trPr>
          <w:trHeight w:val="290"/>
        </w:trPr>
        <w:tc>
          <w:tcPr>
            <w:tcW w:w="1984" w:type="dxa"/>
            <w:tcBorders>
              <w:top w:val="nil"/>
              <w:left w:val="nil"/>
              <w:right w:val="nil"/>
            </w:tcBorders>
            <w:shd w:val="clear" w:color="auto" w:fill="auto"/>
            <w:noWrap/>
            <w:vAlign w:val="bottom"/>
          </w:tcPr>
          <w:p w14:paraId="24C101E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B73912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DOULEURS ABDOMINALES NIVEAU 1</w:t>
            </w:r>
          </w:p>
        </w:tc>
        <w:tc>
          <w:tcPr>
            <w:tcW w:w="1423" w:type="dxa"/>
            <w:tcBorders>
              <w:top w:val="nil"/>
              <w:left w:val="nil"/>
              <w:right w:val="nil"/>
            </w:tcBorders>
            <w:shd w:val="clear" w:color="auto" w:fill="auto"/>
            <w:noWrap/>
            <w:vAlign w:val="bottom"/>
            <w:hideMark/>
          </w:tcPr>
          <w:p w14:paraId="3B936E8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790.21</w:t>
            </w:r>
          </w:p>
        </w:tc>
      </w:tr>
      <w:tr w:rsidR="002A0F5D" w:rsidRPr="006C68C4" w14:paraId="246FB9BD" w14:textId="77777777" w:rsidTr="006C68C4">
        <w:trPr>
          <w:trHeight w:val="290"/>
        </w:trPr>
        <w:tc>
          <w:tcPr>
            <w:tcW w:w="1984" w:type="dxa"/>
            <w:tcBorders>
              <w:top w:val="nil"/>
              <w:left w:val="nil"/>
              <w:right w:val="nil"/>
            </w:tcBorders>
            <w:shd w:val="clear" w:color="auto" w:fill="auto"/>
            <w:noWrap/>
            <w:vAlign w:val="bottom"/>
          </w:tcPr>
          <w:p w14:paraId="0C2D0F6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7B493C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DOULEURS ABDOMINALES NIVEAU 2</w:t>
            </w:r>
          </w:p>
        </w:tc>
        <w:tc>
          <w:tcPr>
            <w:tcW w:w="1423" w:type="dxa"/>
            <w:tcBorders>
              <w:top w:val="nil"/>
              <w:left w:val="nil"/>
              <w:right w:val="nil"/>
            </w:tcBorders>
            <w:shd w:val="clear" w:color="auto" w:fill="auto"/>
            <w:noWrap/>
            <w:vAlign w:val="bottom"/>
            <w:hideMark/>
          </w:tcPr>
          <w:p w14:paraId="2596C77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1262.02</w:t>
            </w:r>
          </w:p>
        </w:tc>
      </w:tr>
      <w:tr w:rsidR="002A0F5D" w:rsidRPr="006C68C4" w14:paraId="3BF69728" w14:textId="77777777" w:rsidTr="006C68C4">
        <w:trPr>
          <w:trHeight w:val="290"/>
        </w:trPr>
        <w:tc>
          <w:tcPr>
            <w:tcW w:w="1984" w:type="dxa"/>
            <w:tcBorders>
              <w:top w:val="nil"/>
              <w:left w:val="nil"/>
              <w:right w:val="nil"/>
            </w:tcBorders>
            <w:shd w:val="clear" w:color="auto" w:fill="auto"/>
            <w:noWrap/>
            <w:vAlign w:val="bottom"/>
          </w:tcPr>
          <w:p w14:paraId="6D354B6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309A435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DOULEURS ABDOMINALES TRES COURTE DUREE</w:t>
            </w:r>
          </w:p>
        </w:tc>
        <w:tc>
          <w:tcPr>
            <w:tcW w:w="1423" w:type="dxa"/>
            <w:tcBorders>
              <w:top w:val="nil"/>
              <w:left w:val="nil"/>
              <w:right w:val="nil"/>
            </w:tcBorders>
            <w:shd w:val="clear" w:color="auto" w:fill="auto"/>
            <w:noWrap/>
            <w:vAlign w:val="bottom"/>
            <w:hideMark/>
          </w:tcPr>
          <w:p w14:paraId="291594B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418.29</w:t>
            </w:r>
          </w:p>
        </w:tc>
      </w:tr>
      <w:tr w:rsidR="002A0F5D" w:rsidRPr="006C68C4" w14:paraId="51BDAB7F" w14:textId="77777777" w:rsidTr="006C68C4">
        <w:trPr>
          <w:trHeight w:val="290"/>
        </w:trPr>
        <w:tc>
          <w:tcPr>
            <w:tcW w:w="1984" w:type="dxa"/>
            <w:tcBorders>
              <w:top w:val="nil"/>
              <w:left w:val="nil"/>
              <w:right w:val="nil"/>
            </w:tcBorders>
            <w:shd w:val="clear" w:color="auto" w:fill="auto"/>
            <w:noWrap/>
            <w:vAlign w:val="bottom"/>
          </w:tcPr>
          <w:p w14:paraId="7E11A43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05D66F5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Douleurs abdominales</w:t>
            </w:r>
          </w:p>
        </w:tc>
        <w:tc>
          <w:tcPr>
            <w:tcW w:w="1423" w:type="dxa"/>
            <w:tcBorders>
              <w:top w:val="nil"/>
              <w:left w:val="nil"/>
              <w:right w:val="nil"/>
            </w:tcBorders>
            <w:shd w:val="clear" w:color="auto" w:fill="auto"/>
            <w:noWrap/>
            <w:vAlign w:val="bottom"/>
            <w:hideMark/>
          </w:tcPr>
          <w:p w14:paraId="0E78F78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418.29</w:t>
            </w:r>
          </w:p>
        </w:tc>
      </w:tr>
      <w:tr w:rsidR="002A0F5D" w:rsidRPr="006C68C4" w14:paraId="53DFC2CE" w14:textId="77777777" w:rsidTr="006C68C4">
        <w:trPr>
          <w:trHeight w:val="290"/>
        </w:trPr>
        <w:tc>
          <w:tcPr>
            <w:tcW w:w="1984" w:type="dxa"/>
            <w:tcBorders>
              <w:top w:val="nil"/>
              <w:left w:val="nil"/>
              <w:right w:val="nil"/>
            </w:tcBorders>
            <w:shd w:val="clear" w:color="auto" w:fill="auto"/>
            <w:noWrap/>
            <w:vAlign w:val="bottom"/>
          </w:tcPr>
          <w:p w14:paraId="746907B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C59FCD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ENDOSCOPIE DIGESTIVE DIAGNOSTIQUE ET ANESTHESIE EN AMBULATOIRE</w:t>
            </w:r>
          </w:p>
        </w:tc>
        <w:tc>
          <w:tcPr>
            <w:tcW w:w="1423" w:type="dxa"/>
            <w:tcBorders>
              <w:top w:val="nil"/>
              <w:left w:val="nil"/>
              <w:right w:val="nil"/>
            </w:tcBorders>
            <w:shd w:val="clear" w:color="auto" w:fill="auto"/>
            <w:noWrap/>
            <w:vAlign w:val="bottom"/>
            <w:hideMark/>
          </w:tcPr>
          <w:p w14:paraId="23461D5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411.39</w:t>
            </w:r>
          </w:p>
        </w:tc>
      </w:tr>
      <w:tr w:rsidR="002A0F5D" w:rsidRPr="006C68C4" w14:paraId="3EFE0A5D" w14:textId="77777777" w:rsidTr="006C68C4">
        <w:trPr>
          <w:trHeight w:val="290"/>
        </w:trPr>
        <w:tc>
          <w:tcPr>
            <w:tcW w:w="1984" w:type="dxa"/>
            <w:tcBorders>
              <w:top w:val="nil"/>
              <w:left w:val="nil"/>
              <w:right w:val="nil"/>
            </w:tcBorders>
            <w:shd w:val="clear" w:color="auto" w:fill="auto"/>
            <w:noWrap/>
            <w:vAlign w:val="bottom"/>
          </w:tcPr>
          <w:p w14:paraId="4A4147E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56F63E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ENDOSCOPIES DIGESTIVES THERAPEUTIQUES ET ANESTHESIE SEJOURS DE MOINS DE 2 JOURS</w:t>
            </w:r>
          </w:p>
        </w:tc>
        <w:tc>
          <w:tcPr>
            <w:tcW w:w="1423" w:type="dxa"/>
            <w:tcBorders>
              <w:top w:val="nil"/>
              <w:left w:val="nil"/>
              <w:right w:val="nil"/>
            </w:tcBorders>
            <w:shd w:val="clear" w:color="auto" w:fill="auto"/>
            <w:noWrap/>
            <w:vAlign w:val="bottom"/>
            <w:hideMark/>
          </w:tcPr>
          <w:p w14:paraId="5D591EC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531.81</w:t>
            </w:r>
          </w:p>
        </w:tc>
      </w:tr>
      <w:tr w:rsidR="002A0F5D" w:rsidRPr="006C68C4" w14:paraId="15C0E1D7" w14:textId="77777777" w:rsidTr="006C68C4">
        <w:trPr>
          <w:trHeight w:val="290"/>
        </w:trPr>
        <w:tc>
          <w:tcPr>
            <w:tcW w:w="1984" w:type="dxa"/>
            <w:tcBorders>
              <w:top w:val="nil"/>
              <w:left w:val="nil"/>
              <w:right w:val="nil"/>
            </w:tcBorders>
            <w:shd w:val="clear" w:color="auto" w:fill="auto"/>
            <w:noWrap/>
            <w:vAlign w:val="bottom"/>
          </w:tcPr>
          <w:p w14:paraId="32E05E5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490E1B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EXPLORATIONS ET SURVEILLANCE POUR AFFECTIONS DE L APPAREIL DIGESTIF</w:t>
            </w:r>
          </w:p>
        </w:tc>
        <w:tc>
          <w:tcPr>
            <w:tcW w:w="1423" w:type="dxa"/>
            <w:tcBorders>
              <w:top w:val="nil"/>
              <w:left w:val="nil"/>
              <w:right w:val="nil"/>
            </w:tcBorders>
            <w:shd w:val="clear" w:color="auto" w:fill="auto"/>
            <w:noWrap/>
            <w:vAlign w:val="bottom"/>
            <w:hideMark/>
          </w:tcPr>
          <w:p w14:paraId="252EF6D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600.79</w:t>
            </w:r>
          </w:p>
        </w:tc>
      </w:tr>
      <w:tr w:rsidR="002A0F5D" w:rsidRPr="006C68C4" w14:paraId="51B8D224" w14:textId="77777777" w:rsidTr="006C68C4">
        <w:trPr>
          <w:trHeight w:val="290"/>
        </w:trPr>
        <w:tc>
          <w:tcPr>
            <w:tcW w:w="1984" w:type="dxa"/>
            <w:tcBorders>
              <w:top w:val="nil"/>
              <w:left w:val="nil"/>
              <w:right w:val="nil"/>
            </w:tcBorders>
            <w:shd w:val="clear" w:color="auto" w:fill="auto"/>
            <w:noWrap/>
            <w:vAlign w:val="bottom"/>
          </w:tcPr>
          <w:p w14:paraId="23A4A40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E34D5B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FIEVRES D ETIOLOGIE INDETERMINEE AGE SUPERIEUR A 17 ANS NIVEAU 1</w:t>
            </w:r>
          </w:p>
        </w:tc>
        <w:tc>
          <w:tcPr>
            <w:tcW w:w="1423" w:type="dxa"/>
            <w:tcBorders>
              <w:top w:val="nil"/>
              <w:left w:val="nil"/>
              <w:right w:val="nil"/>
            </w:tcBorders>
            <w:shd w:val="clear" w:color="auto" w:fill="auto"/>
            <w:noWrap/>
            <w:vAlign w:val="bottom"/>
            <w:hideMark/>
          </w:tcPr>
          <w:p w14:paraId="4BF6AF8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843.49</w:t>
            </w:r>
          </w:p>
        </w:tc>
      </w:tr>
      <w:tr w:rsidR="002A0F5D" w:rsidRPr="006C68C4" w14:paraId="5B3BC851" w14:textId="77777777" w:rsidTr="006C68C4">
        <w:trPr>
          <w:trHeight w:val="290"/>
        </w:trPr>
        <w:tc>
          <w:tcPr>
            <w:tcW w:w="1984" w:type="dxa"/>
            <w:tcBorders>
              <w:top w:val="nil"/>
              <w:left w:val="nil"/>
              <w:right w:val="nil"/>
            </w:tcBorders>
            <w:shd w:val="clear" w:color="auto" w:fill="auto"/>
            <w:noWrap/>
            <w:vAlign w:val="bottom"/>
          </w:tcPr>
          <w:p w14:paraId="3A6291D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28181A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FIEVRES D ETIOLOGIE INDETERMINEE AGE SUPERIEUR A 17 ANS NIVEAU 2</w:t>
            </w:r>
          </w:p>
        </w:tc>
        <w:tc>
          <w:tcPr>
            <w:tcW w:w="1423" w:type="dxa"/>
            <w:tcBorders>
              <w:top w:val="nil"/>
              <w:left w:val="nil"/>
              <w:right w:val="nil"/>
            </w:tcBorders>
            <w:shd w:val="clear" w:color="auto" w:fill="auto"/>
            <w:noWrap/>
            <w:vAlign w:val="bottom"/>
            <w:hideMark/>
          </w:tcPr>
          <w:p w14:paraId="6D57C55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1463.43</w:t>
            </w:r>
          </w:p>
        </w:tc>
      </w:tr>
      <w:tr w:rsidR="002A0F5D" w:rsidRPr="006C68C4" w14:paraId="0C5B9FBD" w14:textId="77777777" w:rsidTr="006C68C4">
        <w:trPr>
          <w:trHeight w:val="290"/>
        </w:trPr>
        <w:tc>
          <w:tcPr>
            <w:tcW w:w="1984" w:type="dxa"/>
            <w:tcBorders>
              <w:top w:val="nil"/>
              <w:left w:val="nil"/>
              <w:right w:val="nil"/>
            </w:tcBorders>
            <w:shd w:val="clear" w:color="auto" w:fill="auto"/>
            <w:noWrap/>
            <w:vAlign w:val="bottom"/>
          </w:tcPr>
          <w:p w14:paraId="1F80C08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967444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GASTROENTEROLOGIE</w:t>
            </w:r>
          </w:p>
        </w:tc>
        <w:tc>
          <w:tcPr>
            <w:tcW w:w="1423" w:type="dxa"/>
            <w:tcBorders>
              <w:top w:val="nil"/>
              <w:left w:val="nil"/>
              <w:right w:val="nil"/>
            </w:tcBorders>
            <w:shd w:val="clear" w:color="auto" w:fill="auto"/>
            <w:noWrap/>
            <w:vAlign w:val="bottom"/>
            <w:hideMark/>
          </w:tcPr>
          <w:p w14:paraId="79B4137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23.00</w:t>
            </w:r>
          </w:p>
        </w:tc>
      </w:tr>
      <w:tr w:rsidR="002A0F5D" w:rsidRPr="006C68C4" w14:paraId="62C797FE" w14:textId="77777777" w:rsidTr="006C68C4">
        <w:trPr>
          <w:trHeight w:val="290"/>
        </w:trPr>
        <w:tc>
          <w:tcPr>
            <w:tcW w:w="1984" w:type="dxa"/>
            <w:tcBorders>
              <w:top w:val="nil"/>
              <w:left w:val="nil"/>
              <w:right w:val="nil"/>
            </w:tcBorders>
            <w:shd w:val="clear" w:color="auto" w:fill="auto"/>
            <w:noWrap/>
            <w:vAlign w:val="bottom"/>
          </w:tcPr>
          <w:p w14:paraId="320BD18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0A7206E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HEPATO GASTRO ENTEROLOGIE</w:t>
            </w:r>
          </w:p>
        </w:tc>
        <w:tc>
          <w:tcPr>
            <w:tcW w:w="1423" w:type="dxa"/>
            <w:tcBorders>
              <w:top w:val="nil"/>
              <w:left w:val="nil"/>
              <w:right w:val="nil"/>
            </w:tcBorders>
            <w:shd w:val="clear" w:color="auto" w:fill="auto"/>
            <w:noWrap/>
            <w:vAlign w:val="bottom"/>
            <w:hideMark/>
          </w:tcPr>
          <w:p w14:paraId="537FA41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23.00</w:t>
            </w:r>
          </w:p>
        </w:tc>
      </w:tr>
      <w:tr w:rsidR="002A0F5D" w:rsidRPr="006C68C4" w14:paraId="1B5521AB" w14:textId="77777777" w:rsidTr="006C68C4">
        <w:trPr>
          <w:trHeight w:val="290"/>
        </w:trPr>
        <w:tc>
          <w:tcPr>
            <w:tcW w:w="1984" w:type="dxa"/>
            <w:tcBorders>
              <w:top w:val="nil"/>
              <w:left w:val="nil"/>
              <w:right w:val="nil"/>
            </w:tcBorders>
            <w:shd w:val="clear" w:color="auto" w:fill="auto"/>
            <w:noWrap/>
            <w:vAlign w:val="bottom"/>
          </w:tcPr>
          <w:p w14:paraId="1E1ED29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F8223E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HÃ©morragies digestives</w:t>
            </w:r>
          </w:p>
        </w:tc>
        <w:tc>
          <w:tcPr>
            <w:tcW w:w="1423" w:type="dxa"/>
            <w:tcBorders>
              <w:top w:val="nil"/>
              <w:left w:val="nil"/>
              <w:right w:val="nil"/>
            </w:tcBorders>
            <w:shd w:val="clear" w:color="auto" w:fill="auto"/>
            <w:noWrap/>
            <w:vAlign w:val="bottom"/>
            <w:hideMark/>
          </w:tcPr>
          <w:p w14:paraId="5EA92DF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2969.63</w:t>
            </w:r>
          </w:p>
        </w:tc>
      </w:tr>
      <w:tr w:rsidR="002A0F5D" w:rsidRPr="006C68C4" w14:paraId="4BCFE1F1" w14:textId="77777777" w:rsidTr="006C68C4">
        <w:trPr>
          <w:trHeight w:val="290"/>
        </w:trPr>
        <w:tc>
          <w:tcPr>
            <w:tcW w:w="1984" w:type="dxa"/>
            <w:tcBorders>
              <w:top w:val="nil"/>
              <w:left w:val="nil"/>
              <w:right w:val="nil"/>
            </w:tcBorders>
            <w:shd w:val="clear" w:color="auto" w:fill="auto"/>
            <w:noWrap/>
            <w:vAlign w:val="bottom"/>
          </w:tcPr>
          <w:p w14:paraId="2BF954C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736C80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INTERVENTIONS DIGESTIVES AUTRES QUE LES GASTROPLASTIES POUR OBESITE NIVEAU 2</w:t>
            </w:r>
          </w:p>
        </w:tc>
        <w:tc>
          <w:tcPr>
            <w:tcW w:w="1423" w:type="dxa"/>
            <w:tcBorders>
              <w:top w:val="nil"/>
              <w:left w:val="nil"/>
              <w:right w:val="nil"/>
            </w:tcBorders>
            <w:shd w:val="clear" w:color="auto" w:fill="auto"/>
            <w:noWrap/>
            <w:vAlign w:val="bottom"/>
            <w:hideMark/>
          </w:tcPr>
          <w:p w14:paraId="2BA3F3E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4338.00</w:t>
            </w:r>
          </w:p>
        </w:tc>
      </w:tr>
      <w:tr w:rsidR="002A0F5D" w:rsidRPr="006C68C4" w14:paraId="1E30E027" w14:textId="77777777" w:rsidTr="006C68C4">
        <w:trPr>
          <w:trHeight w:val="290"/>
        </w:trPr>
        <w:tc>
          <w:tcPr>
            <w:tcW w:w="1984" w:type="dxa"/>
            <w:tcBorders>
              <w:top w:val="nil"/>
              <w:left w:val="nil"/>
              <w:right w:val="nil"/>
            </w:tcBorders>
            <w:shd w:val="clear" w:color="auto" w:fill="auto"/>
            <w:noWrap/>
            <w:vAlign w:val="bottom"/>
          </w:tcPr>
          <w:p w14:paraId="011BC74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1B8916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INTERVENTIONS MAJEURES SUR L INTESTIN GRELE ET LE COLON NIVEAU 2</w:t>
            </w:r>
          </w:p>
        </w:tc>
        <w:tc>
          <w:tcPr>
            <w:tcW w:w="1423" w:type="dxa"/>
            <w:tcBorders>
              <w:top w:val="nil"/>
              <w:left w:val="nil"/>
              <w:right w:val="nil"/>
            </w:tcBorders>
            <w:shd w:val="clear" w:color="auto" w:fill="auto"/>
            <w:noWrap/>
            <w:vAlign w:val="bottom"/>
            <w:hideMark/>
          </w:tcPr>
          <w:p w14:paraId="40AF3FD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4980.59</w:t>
            </w:r>
          </w:p>
        </w:tc>
      </w:tr>
      <w:tr w:rsidR="002A0F5D" w:rsidRPr="006C68C4" w14:paraId="4F1A0945" w14:textId="77777777" w:rsidTr="006C68C4">
        <w:trPr>
          <w:trHeight w:val="290"/>
        </w:trPr>
        <w:tc>
          <w:tcPr>
            <w:tcW w:w="1984" w:type="dxa"/>
            <w:tcBorders>
              <w:top w:val="nil"/>
              <w:left w:val="nil"/>
              <w:right w:val="nil"/>
            </w:tcBorders>
            <w:shd w:val="clear" w:color="auto" w:fill="auto"/>
            <w:noWrap/>
            <w:vAlign w:val="bottom"/>
          </w:tcPr>
          <w:p w14:paraId="54140D6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054504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INTERVENTIONS MAJEURES SUR L INTESTIN GRELE ET LE COLON NIVEAU 3</w:t>
            </w:r>
          </w:p>
        </w:tc>
        <w:tc>
          <w:tcPr>
            <w:tcW w:w="1423" w:type="dxa"/>
            <w:tcBorders>
              <w:top w:val="nil"/>
              <w:left w:val="nil"/>
              <w:right w:val="nil"/>
            </w:tcBorders>
            <w:shd w:val="clear" w:color="auto" w:fill="auto"/>
            <w:noWrap/>
            <w:vAlign w:val="bottom"/>
            <w:hideMark/>
          </w:tcPr>
          <w:p w14:paraId="5D98EF1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6634.68</w:t>
            </w:r>
          </w:p>
        </w:tc>
      </w:tr>
      <w:tr w:rsidR="002A0F5D" w:rsidRPr="006C68C4" w14:paraId="61681142" w14:textId="77777777" w:rsidTr="006C68C4">
        <w:trPr>
          <w:trHeight w:val="290"/>
        </w:trPr>
        <w:tc>
          <w:tcPr>
            <w:tcW w:w="1984" w:type="dxa"/>
            <w:tcBorders>
              <w:top w:val="nil"/>
              <w:left w:val="nil"/>
              <w:right w:val="nil"/>
            </w:tcBorders>
            <w:shd w:val="clear" w:color="auto" w:fill="auto"/>
            <w:noWrap/>
            <w:vAlign w:val="bottom"/>
          </w:tcPr>
          <w:p w14:paraId="34E27ED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028279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INTERVENTIONS MINEURES SUR L INTESTIN GRELE ET LE COLON NIVEAU 2</w:t>
            </w:r>
          </w:p>
        </w:tc>
        <w:tc>
          <w:tcPr>
            <w:tcW w:w="1423" w:type="dxa"/>
            <w:tcBorders>
              <w:top w:val="nil"/>
              <w:left w:val="nil"/>
              <w:right w:val="nil"/>
            </w:tcBorders>
            <w:shd w:val="clear" w:color="auto" w:fill="auto"/>
            <w:noWrap/>
            <w:vAlign w:val="bottom"/>
            <w:hideMark/>
          </w:tcPr>
          <w:p w14:paraId="4F82A10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3257.68</w:t>
            </w:r>
          </w:p>
        </w:tc>
      </w:tr>
      <w:tr w:rsidR="002A0F5D" w:rsidRPr="006C68C4" w14:paraId="1332B329" w14:textId="77777777" w:rsidTr="006C68C4">
        <w:trPr>
          <w:trHeight w:val="290"/>
        </w:trPr>
        <w:tc>
          <w:tcPr>
            <w:tcW w:w="1984" w:type="dxa"/>
            <w:tcBorders>
              <w:top w:val="nil"/>
              <w:left w:val="nil"/>
              <w:right w:val="nil"/>
            </w:tcBorders>
            <w:shd w:val="clear" w:color="auto" w:fill="auto"/>
            <w:noWrap/>
            <w:vAlign w:val="bottom"/>
          </w:tcPr>
          <w:p w14:paraId="706B060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54D296A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INTERVENTIONS NON MINEURES SUR LES TISSUS MOUS EN AMBULATOIRE</w:t>
            </w:r>
          </w:p>
        </w:tc>
        <w:tc>
          <w:tcPr>
            <w:tcW w:w="1423" w:type="dxa"/>
            <w:tcBorders>
              <w:top w:val="nil"/>
              <w:left w:val="nil"/>
              <w:right w:val="nil"/>
            </w:tcBorders>
            <w:shd w:val="clear" w:color="auto" w:fill="auto"/>
            <w:noWrap/>
            <w:vAlign w:val="bottom"/>
            <w:hideMark/>
          </w:tcPr>
          <w:p w14:paraId="2DEA5E5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827.78</w:t>
            </w:r>
          </w:p>
        </w:tc>
      </w:tr>
      <w:tr w:rsidR="002A0F5D" w:rsidRPr="006C68C4" w14:paraId="2A4C658C" w14:textId="77777777" w:rsidTr="006C68C4">
        <w:trPr>
          <w:trHeight w:val="290"/>
        </w:trPr>
        <w:tc>
          <w:tcPr>
            <w:tcW w:w="1984" w:type="dxa"/>
            <w:tcBorders>
              <w:top w:val="nil"/>
              <w:left w:val="nil"/>
              <w:right w:val="nil"/>
            </w:tcBorders>
            <w:shd w:val="clear" w:color="auto" w:fill="auto"/>
            <w:noWrap/>
            <w:vAlign w:val="bottom"/>
          </w:tcPr>
          <w:p w14:paraId="1B0FE72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C2403B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INTERVENTIONS SUR LA REGION ANALE ET PERIANALE EN AMBULATOIRE</w:t>
            </w:r>
          </w:p>
        </w:tc>
        <w:tc>
          <w:tcPr>
            <w:tcW w:w="1423" w:type="dxa"/>
            <w:tcBorders>
              <w:top w:val="nil"/>
              <w:left w:val="nil"/>
              <w:right w:val="nil"/>
            </w:tcBorders>
            <w:shd w:val="clear" w:color="auto" w:fill="auto"/>
            <w:noWrap/>
            <w:vAlign w:val="bottom"/>
            <w:hideMark/>
          </w:tcPr>
          <w:p w14:paraId="1CB0161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556.86</w:t>
            </w:r>
          </w:p>
        </w:tc>
      </w:tr>
      <w:tr w:rsidR="002A0F5D" w:rsidRPr="006C68C4" w14:paraId="5D0A1146" w14:textId="77777777" w:rsidTr="006C68C4">
        <w:trPr>
          <w:trHeight w:val="290"/>
        </w:trPr>
        <w:tc>
          <w:tcPr>
            <w:tcW w:w="1984" w:type="dxa"/>
            <w:tcBorders>
              <w:top w:val="nil"/>
              <w:left w:val="nil"/>
              <w:right w:val="nil"/>
            </w:tcBorders>
            <w:shd w:val="clear" w:color="auto" w:fill="auto"/>
            <w:noWrap/>
            <w:vAlign w:val="bottom"/>
          </w:tcPr>
          <w:p w14:paraId="4FE062A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E34B23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INTERVENTIONS SUR LE RECTUM ET L ANUS AUTRES QUE LES RESECTIONS RECTALES EN AMBULATOIRE</w:t>
            </w:r>
          </w:p>
        </w:tc>
        <w:tc>
          <w:tcPr>
            <w:tcW w:w="1423" w:type="dxa"/>
            <w:tcBorders>
              <w:top w:val="nil"/>
              <w:left w:val="nil"/>
              <w:right w:val="nil"/>
            </w:tcBorders>
            <w:shd w:val="clear" w:color="auto" w:fill="auto"/>
            <w:noWrap/>
            <w:vAlign w:val="bottom"/>
            <w:hideMark/>
          </w:tcPr>
          <w:p w14:paraId="76A6189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642.01</w:t>
            </w:r>
          </w:p>
        </w:tc>
      </w:tr>
      <w:tr w:rsidR="002A0F5D" w:rsidRPr="006C68C4" w14:paraId="066269A7" w14:textId="77777777" w:rsidTr="006C68C4">
        <w:trPr>
          <w:trHeight w:val="290"/>
        </w:trPr>
        <w:tc>
          <w:tcPr>
            <w:tcW w:w="1984" w:type="dxa"/>
            <w:tcBorders>
              <w:top w:val="nil"/>
              <w:left w:val="nil"/>
              <w:right w:val="nil"/>
            </w:tcBorders>
            <w:shd w:val="clear" w:color="auto" w:fill="auto"/>
            <w:noWrap/>
            <w:vAlign w:val="bottom"/>
          </w:tcPr>
          <w:p w14:paraId="6645A21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868294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INTERVENTIONS SUR LE RECTUM ET L ANUS AUTRES QUE LES RESECTIONS RECTALES NIVEAU 1</w:t>
            </w:r>
          </w:p>
        </w:tc>
        <w:tc>
          <w:tcPr>
            <w:tcW w:w="1423" w:type="dxa"/>
            <w:tcBorders>
              <w:top w:val="nil"/>
              <w:left w:val="nil"/>
              <w:right w:val="nil"/>
            </w:tcBorders>
            <w:shd w:val="clear" w:color="auto" w:fill="auto"/>
            <w:noWrap/>
            <w:vAlign w:val="bottom"/>
            <w:hideMark/>
          </w:tcPr>
          <w:p w14:paraId="6F03F88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642.01</w:t>
            </w:r>
          </w:p>
        </w:tc>
      </w:tr>
      <w:tr w:rsidR="002A0F5D" w:rsidRPr="006C68C4" w14:paraId="19ECC9DF" w14:textId="77777777" w:rsidTr="006C68C4">
        <w:trPr>
          <w:trHeight w:val="290"/>
        </w:trPr>
        <w:tc>
          <w:tcPr>
            <w:tcW w:w="1984" w:type="dxa"/>
            <w:tcBorders>
              <w:top w:val="nil"/>
              <w:left w:val="nil"/>
              <w:right w:val="nil"/>
            </w:tcBorders>
            <w:shd w:val="clear" w:color="auto" w:fill="auto"/>
            <w:noWrap/>
            <w:vAlign w:val="bottom"/>
          </w:tcPr>
          <w:p w14:paraId="087BE30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3C1D964" w14:textId="4620D31E"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MALADIES INFLAMMATOIRES DE L INTESTIN NIVEAU 1</w:t>
            </w:r>
          </w:p>
        </w:tc>
        <w:tc>
          <w:tcPr>
            <w:tcW w:w="1423" w:type="dxa"/>
            <w:tcBorders>
              <w:top w:val="nil"/>
              <w:left w:val="nil"/>
              <w:right w:val="nil"/>
            </w:tcBorders>
            <w:shd w:val="clear" w:color="auto" w:fill="auto"/>
            <w:noWrap/>
            <w:vAlign w:val="bottom"/>
            <w:hideMark/>
          </w:tcPr>
          <w:p w14:paraId="0EBD943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953.02</w:t>
            </w:r>
          </w:p>
        </w:tc>
      </w:tr>
      <w:tr w:rsidR="002A0F5D" w:rsidRPr="006C68C4" w14:paraId="04A50685" w14:textId="77777777" w:rsidTr="006C68C4">
        <w:trPr>
          <w:trHeight w:val="290"/>
        </w:trPr>
        <w:tc>
          <w:tcPr>
            <w:tcW w:w="1984" w:type="dxa"/>
            <w:tcBorders>
              <w:top w:val="nil"/>
              <w:left w:val="nil"/>
              <w:right w:val="nil"/>
            </w:tcBorders>
            <w:shd w:val="clear" w:color="auto" w:fill="auto"/>
            <w:noWrap/>
            <w:vAlign w:val="bottom"/>
          </w:tcPr>
          <w:p w14:paraId="2C091E1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4D44D64" w14:textId="744FF4F2"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MALADIES INFLAMMATOIRES DE L INTESTIN NIVEAU 2</w:t>
            </w:r>
          </w:p>
        </w:tc>
        <w:tc>
          <w:tcPr>
            <w:tcW w:w="1423" w:type="dxa"/>
            <w:tcBorders>
              <w:top w:val="nil"/>
              <w:left w:val="nil"/>
              <w:right w:val="nil"/>
            </w:tcBorders>
            <w:shd w:val="clear" w:color="auto" w:fill="auto"/>
            <w:noWrap/>
            <w:vAlign w:val="bottom"/>
            <w:hideMark/>
          </w:tcPr>
          <w:p w14:paraId="0FA9EAE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1932.14</w:t>
            </w:r>
          </w:p>
        </w:tc>
      </w:tr>
      <w:tr w:rsidR="002A0F5D" w:rsidRPr="006C68C4" w14:paraId="765BDE90" w14:textId="77777777" w:rsidTr="006C68C4">
        <w:trPr>
          <w:trHeight w:val="290"/>
        </w:trPr>
        <w:tc>
          <w:tcPr>
            <w:tcW w:w="1984" w:type="dxa"/>
            <w:tcBorders>
              <w:top w:val="nil"/>
              <w:left w:val="nil"/>
              <w:right w:val="nil"/>
            </w:tcBorders>
            <w:shd w:val="clear" w:color="auto" w:fill="auto"/>
            <w:noWrap/>
            <w:vAlign w:val="bottom"/>
          </w:tcPr>
          <w:p w14:paraId="49F7E00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55B345B" w14:textId="3A74D9F5"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MALADIES INFLAMMATOIRES DE L INTESTIN NIVEAU 3</w:t>
            </w:r>
          </w:p>
        </w:tc>
        <w:tc>
          <w:tcPr>
            <w:tcW w:w="1423" w:type="dxa"/>
            <w:tcBorders>
              <w:top w:val="nil"/>
              <w:left w:val="nil"/>
              <w:right w:val="nil"/>
            </w:tcBorders>
            <w:shd w:val="clear" w:color="auto" w:fill="auto"/>
            <w:noWrap/>
            <w:vAlign w:val="bottom"/>
            <w:hideMark/>
          </w:tcPr>
          <w:p w14:paraId="56F4548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2536.43</w:t>
            </w:r>
          </w:p>
        </w:tc>
      </w:tr>
      <w:tr w:rsidR="002A0F5D" w:rsidRPr="006C68C4" w14:paraId="6D2D7285" w14:textId="77777777" w:rsidTr="006C68C4">
        <w:trPr>
          <w:trHeight w:val="290"/>
        </w:trPr>
        <w:tc>
          <w:tcPr>
            <w:tcW w:w="1984" w:type="dxa"/>
            <w:tcBorders>
              <w:top w:val="nil"/>
              <w:left w:val="nil"/>
              <w:right w:val="nil"/>
            </w:tcBorders>
            <w:shd w:val="clear" w:color="auto" w:fill="auto"/>
            <w:noWrap/>
            <w:vAlign w:val="bottom"/>
          </w:tcPr>
          <w:p w14:paraId="3D762F8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A091EA2" w14:textId="2FDA512A"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MALADIES INFLAMMATOIRES DE L INTESTIN NIVEAU 4</w:t>
            </w:r>
          </w:p>
        </w:tc>
        <w:tc>
          <w:tcPr>
            <w:tcW w:w="1423" w:type="dxa"/>
            <w:tcBorders>
              <w:top w:val="nil"/>
              <w:left w:val="nil"/>
              <w:right w:val="nil"/>
            </w:tcBorders>
            <w:shd w:val="clear" w:color="auto" w:fill="auto"/>
            <w:noWrap/>
            <w:vAlign w:val="bottom"/>
            <w:hideMark/>
          </w:tcPr>
          <w:p w14:paraId="4AE9249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4033.97</w:t>
            </w:r>
          </w:p>
        </w:tc>
      </w:tr>
      <w:tr w:rsidR="002A0F5D" w:rsidRPr="006C68C4" w14:paraId="167FED0F" w14:textId="77777777" w:rsidTr="006C68C4">
        <w:trPr>
          <w:trHeight w:val="290"/>
        </w:trPr>
        <w:tc>
          <w:tcPr>
            <w:tcW w:w="1984" w:type="dxa"/>
            <w:tcBorders>
              <w:top w:val="nil"/>
              <w:left w:val="nil"/>
              <w:right w:val="nil"/>
            </w:tcBorders>
            <w:shd w:val="clear" w:color="auto" w:fill="auto"/>
            <w:noWrap/>
            <w:vAlign w:val="bottom"/>
          </w:tcPr>
          <w:p w14:paraId="038F44F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A5579E5" w14:textId="656884D5"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MALADIES INFLAMMATOIRES DE L INTESTIN TRES COURTE DUREE</w:t>
            </w:r>
          </w:p>
        </w:tc>
        <w:tc>
          <w:tcPr>
            <w:tcW w:w="1423" w:type="dxa"/>
            <w:tcBorders>
              <w:top w:val="nil"/>
              <w:left w:val="nil"/>
              <w:right w:val="nil"/>
            </w:tcBorders>
            <w:shd w:val="clear" w:color="auto" w:fill="auto"/>
            <w:noWrap/>
            <w:vAlign w:val="bottom"/>
            <w:hideMark/>
          </w:tcPr>
          <w:p w14:paraId="2C32089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209.40</w:t>
            </w:r>
          </w:p>
        </w:tc>
      </w:tr>
      <w:tr w:rsidR="002A0F5D" w:rsidRPr="006C68C4" w14:paraId="5FB1AEB1" w14:textId="77777777" w:rsidTr="006C68C4">
        <w:trPr>
          <w:trHeight w:val="290"/>
        </w:trPr>
        <w:tc>
          <w:tcPr>
            <w:tcW w:w="1984" w:type="dxa"/>
            <w:tcBorders>
              <w:top w:val="nil"/>
              <w:left w:val="nil"/>
              <w:right w:val="nil"/>
            </w:tcBorders>
            <w:shd w:val="clear" w:color="auto" w:fill="auto"/>
            <w:noWrap/>
            <w:vAlign w:val="bottom"/>
          </w:tcPr>
          <w:p w14:paraId="44B6236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A780C4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MEDECINE GENERALE ET SPECIALITES MEDICALES INDIFFERENCIEES</w:t>
            </w:r>
          </w:p>
        </w:tc>
        <w:tc>
          <w:tcPr>
            <w:tcW w:w="1423" w:type="dxa"/>
            <w:tcBorders>
              <w:top w:val="nil"/>
              <w:left w:val="nil"/>
              <w:right w:val="nil"/>
            </w:tcBorders>
            <w:shd w:val="clear" w:color="auto" w:fill="auto"/>
            <w:noWrap/>
            <w:vAlign w:val="bottom"/>
            <w:hideMark/>
          </w:tcPr>
          <w:p w14:paraId="0A7C5AB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23.00</w:t>
            </w:r>
          </w:p>
        </w:tc>
      </w:tr>
      <w:tr w:rsidR="002A0F5D" w:rsidRPr="006C68C4" w14:paraId="5C37B7ED" w14:textId="77777777" w:rsidTr="006C68C4">
        <w:trPr>
          <w:trHeight w:val="290"/>
        </w:trPr>
        <w:tc>
          <w:tcPr>
            <w:tcW w:w="1984" w:type="dxa"/>
            <w:tcBorders>
              <w:top w:val="nil"/>
              <w:left w:val="nil"/>
              <w:right w:val="nil"/>
            </w:tcBorders>
            <w:shd w:val="clear" w:color="auto" w:fill="auto"/>
            <w:noWrap/>
            <w:vAlign w:val="bottom"/>
          </w:tcPr>
          <w:p w14:paraId="3E87B8A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7C4D92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MEDECINE GENERALE OU POLYVALENTE</w:t>
            </w:r>
          </w:p>
        </w:tc>
        <w:tc>
          <w:tcPr>
            <w:tcW w:w="1423" w:type="dxa"/>
            <w:tcBorders>
              <w:top w:val="nil"/>
              <w:left w:val="nil"/>
              <w:right w:val="nil"/>
            </w:tcBorders>
            <w:shd w:val="clear" w:color="auto" w:fill="auto"/>
            <w:noWrap/>
            <w:vAlign w:val="bottom"/>
            <w:hideMark/>
          </w:tcPr>
          <w:p w14:paraId="55CAB2B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23.00</w:t>
            </w:r>
          </w:p>
        </w:tc>
      </w:tr>
      <w:tr w:rsidR="002A0F5D" w:rsidRPr="006C68C4" w14:paraId="60E0AEA5" w14:textId="77777777" w:rsidTr="006C68C4">
        <w:trPr>
          <w:trHeight w:val="290"/>
        </w:trPr>
        <w:tc>
          <w:tcPr>
            <w:tcW w:w="1984" w:type="dxa"/>
            <w:tcBorders>
              <w:top w:val="nil"/>
              <w:left w:val="nil"/>
              <w:right w:val="nil"/>
            </w:tcBorders>
            <w:shd w:val="clear" w:color="auto" w:fill="auto"/>
            <w:noWrap/>
            <w:vAlign w:val="bottom"/>
          </w:tcPr>
          <w:p w14:paraId="6097F2E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04FB3F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MEDECINE INTERNE</w:t>
            </w:r>
          </w:p>
        </w:tc>
        <w:tc>
          <w:tcPr>
            <w:tcW w:w="1423" w:type="dxa"/>
            <w:tcBorders>
              <w:top w:val="nil"/>
              <w:left w:val="nil"/>
              <w:right w:val="nil"/>
            </w:tcBorders>
            <w:shd w:val="clear" w:color="auto" w:fill="auto"/>
            <w:noWrap/>
            <w:vAlign w:val="bottom"/>
            <w:hideMark/>
          </w:tcPr>
          <w:p w14:paraId="4CB8995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23.00</w:t>
            </w:r>
          </w:p>
        </w:tc>
      </w:tr>
      <w:tr w:rsidR="002A0F5D" w:rsidRPr="006C68C4" w14:paraId="48966D69" w14:textId="77777777" w:rsidTr="006C68C4">
        <w:trPr>
          <w:trHeight w:val="290"/>
        </w:trPr>
        <w:tc>
          <w:tcPr>
            <w:tcW w:w="1984" w:type="dxa"/>
            <w:tcBorders>
              <w:top w:val="nil"/>
              <w:left w:val="nil"/>
              <w:right w:val="nil"/>
            </w:tcBorders>
            <w:shd w:val="clear" w:color="auto" w:fill="auto"/>
            <w:noWrap/>
            <w:vAlign w:val="bottom"/>
          </w:tcPr>
          <w:p w14:paraId="2698E7A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52FCBBB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Maladies inflammatoires de l’intestin</w:t>
            </w:r>
          </w:p>
        </w:tc>
        <w:tc>
          <w:tcPr>
            <w:tcW w:w="1423" w:type="dxa"/>
            <w:tcBorders>
              <w:top w:val="nil"/>
              <w:left w:val="nil"/>
              <w:right w:val="nil"/>
            </w:tcBorders>
            <w:shd w:val="clear" w:color="auto" w:fill="auto"/>
            <w:noWrap/>
            <w:vAlign w:val="bottom"/>
            <w:hideMark/>
          </w:tcPr>
          <w:p w14:paraId="44BAAD4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209.40</w:t>
            </w:r>
          </w:p>
        </w:tc>
      </w:tr>
      <w:tr w:rsidR="002A0F5D" w:rsidRPr="006C68C4" w14:paraId="142BF722" w14:textId="77777777" w:rsidTr="006C68C4">
        <w:trPr>
          <w:trHeight w:val="290"/>
        </w:trPr>
        <w:tc>
          <w:tcPr>
            <w:tcW w:w="1984" w:type="dxa"/>
            <w:tcBorders>
              <w:top w:val="nil"/>
              <w:left w:val="nil"/>
              <w:right w:val="nil"/>
            </w:tcBorders>
            <w:shd w:val="clear" w:color="auto" w:fill="auto"/>
            <w:noWrap/>
            <w:vAlign w:val="bottom"/>
          </w:tcPr>
          <w:p w14:paraId="4DF02F3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24FEAD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MÃ©decine autres UM-HC</w:t>
            </w:r>
          </w:p>
        </w:tc>
        <w:tc>
          <w:tcPr>
            <w:tcW w:w="1423" w:type="dxa"/>
            <w:tcBorders>
              <w:top w:val="nil"/>
              <w:left w:val="nil"/>
              <w:right w:val="nil"/>
            </w:tcBorders>
            <w:shd w:val="clear" w:color="auto" w:fill="auto"/>
            <w:noWrap/>
            <w:vAlign w:val="bottom"/>
            <w:hideMark/>
          </w:tcPr>
          <w:p w14:paraId="1EF0BA6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23.00</w:t>
            </w:r>
          </w:p>
        </w:tc>
      </w:tr>
      <w:tr w:rsidR="002A0F5D" w:rsidRPr="006C68C4" w14:paraId="1855B2B8" w14:textId="77777777" w:rsidTr="006C68C4">
        <w:trPr>
          <w:trHeight w:val="290"/>
        </w:trPr>
        <w:tc>
          <w:tcPr>
            <w:tcW w:w="1984" w:type="dxa"/>
            <w:tcBorders>
              <w:top w:val="nil"/>
              <w:left w:val="nil"/>
              <w:right w:val="nil"/>
            </w:tcBorders>
            <w:shd w:val="clear" w:color="auto" w:fill="auto"/>
            <w:noWrap/>
            <w:vAlign w:val="bottom"/>
          </w:tcPr>
          <w:p w14:paraId="75B4948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BB34D0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REGIME DIETETIQUE</w:t>
            </w:r>
          </w:p>
        </w:tc>
        <w:tc>
          <w:tcPr>
            <w:tcW w:w="1423" w:type="dxa"/>
            <w:tcBorders>
              <w:top w:val="nil"/>
              <w:left w:val="nil"/>
              <w:right w:val="nil"/>
            </w:tcBorders>
            <w:shd w:val="clear" w:color="auto" w:fill="auto"/>
            <w:noWrap/>
            <w:vAlign w:val="bottom"/>
            <w:hideMark/>
          </w:tcPr>
          <w:p w14:paraId="189E9F6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23.00</w:t>
            </w:r>
          </w:p>
        </w:tc>
      </w:tr>
      <w:tr w:rsidR="002A0F5D" w:rsidRPr="006C68C4" w14:paraId="05F588A2" w14:textId="77777777" w:rsidTr="006C68C4">
        <w:trPr>
          <w:trHeight w:val="290"/>
        </w:trPr>
        <w:tc>
          <w:tcPr>
            <w:tcW w:w="1984" w:type="dxa"/>
            <w:tcBorders>
              <w:top w:val="nil"/>
              <w:left w:val="nil"/>
              <w:right w:val="nil"/>
            </w:tcBorders>
            <w:shd w:val="clear" w:color="auto" w:fill="auto"/>
            <w:noWrap/>
            <w:vAlign w:val="bottom"/>
          </w:tcPr>
          <w:p w14:paraId="2AB60C3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24FE9B5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RESECTIONS RECTALES NIVEAU 4</w:t>
            </w:r>
          </w:p>
        </w:tc>
        <w:tc>
          <w:tcPr>
            <w:tcW w:w="1423" w:type="dxa"/>
            <w:tcBorders>
              <w:top w:val="nil"/>
              <w:left w:val="nil"/>
              <w:right w:val="nil"/>
            </w:tcBorders>
            <w:shd w:val="clear" w:color="auto" w:fill="auto"/>
            <w:noWrap/>
            <w:vAlign w:val="bottom"/>
            <w:hideMark/>
          </w:tcPr>
          <w:p w14:paraId="569AA69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9499.42</w:t>
            </w:r>
          </w:p>
        </w:tc>
      </w:tr>
      <w:tr w:rsidR="002A0F5D" w:rsidRPr="006C68C4" w14:paraId="5DCD7986" w14:textId="77777777" w:rsidTr="006C68C4">
        <w:trPr>
          <w:trHeight w:val="290"/>
        </w:trPr>
        <w:tc>
          <w:tcPr>
            <w:tcW w:w="1984" w:type="dxa"/>
            <w:tcBorders>
              <w:top w:val="nil"/>
              <w:left w:val="nil"/>
              <w:right w:val="nil"/>
            </w:tcBorders>
            <w:shd w:val="clear" w:color="auto" w:fill="auto"/>
            <w:noWrap/>
            <w:vAlign w:val="bottom"/>
          </w:tcPr>
          <w:p w14:paraId="378774E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29CE21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SEJOURS COMPRENANT UNE ENDOSCOPIE BRONCHIQUE EN AMBULATOIRE</w:t>
            </w:r>
          </w:p>
        </w:tc>
        <w:tc>
          <w:tcPr>
            <w:tcW w:w="1423" w:type="dxa"/>
            <w:tcBorders>
              <w:top w:val="nil"/>
              <w:left w:val="nil"/>
              <w:right w:val="nil"/>
            </w:tcBorders>
            <w:shd w:val="clear" w:color="auto" w:fill="auto"/>
            <w:noWrap/>
            <w:vAlign w:val="bottom"/>
            <w:hideMark/>
          </w:tcPr>
          <w:p w14:paraId="379B59B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315.98</w:t>
            </w:r>
          </w:p>
        </w:tc>
      </w:tr>
      <w:tr w:rsidR="002A0F5D" w:rsidRPr="006C68C4" w14:paraId="0492AF4E" w14:textId="77777777" w:rsidTr="006C68C4">
        <w:trPr>
          <w:trHeight w:val="290"/>
        </w:trPr>
        <w:tc>
          <w:tcPr>
            <w:tcW w:w="1984" w:type="dxa"/>
            <w:tcBorders>
              <w:top w:val="nil"/>
              <w:left w:val="nil"/>
              <w:right w:val="nil"/>
            </w:tcBorders>
            <w:shd w:val="clear" w:color="auto" w:fill="auto"/>
            <w:noWrap/>
            <w:vAlign w:val="bottom"/>
          </w:tcPr>
          <w:p w14:paraId="2EBC04C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E107D9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SEJOURS COMPRENANT UNE ENDOSCOPIE DIGESTIVE DIAGNOSTIQUE SANS ANESTHESIE EN AMBULATOIRE</w:t>
            </w:r>
          </w:p>
        </w:tc>
        <w:tc>
          <w:tcPr>
            <w:tcW w:w="1423" w:type="dxa"/>
            <w:tcBorders>
              <w:top w:val="nil"/>
              <w:left w:val="nil"/>
              <w:right w:val="nil"/>
            </w:tcBorders>
            <w:shd w:val="clear" w:color="auto" w:fill="auto"/>
            <w:noWrap/>
            <w:vAlign w:val="bottom"/>
            <w:hideMark/>
          </w:tcPr>
          <w:p w14:paraId="59AE08C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283.71</w:t>
            </w:r>
          </w:p>
        </w:tc>
      </w:tr>
      <w:tr w:rsidR="002A0F5D" w:rsidRPr="006C68C4" w14:paraId="6FE0A38A" w14:textId="77777777" w:rsidTr="006C68C4">
        <w:trPr>
          <w:trHeight w:val="290"/>
        </w:trPr>
        <w:tc>
          <w:tcPr>
            <w:tcW w:w="1984" w:type="dxa"/>
            <w:tcBorders>
              <w:top w:val="nil"/>
              <w:left w:val="nil"/>
              <w:right w:val="nil"/>
            </w:tcBorders>
            <w:shd w:val="clear" w:color="auto" w:fill="auto"/>
            <w:noWrap/>
            <w:vAlign w:val="bottom"/>
          </w:tcPr>
          <w:p w14:paraId="0A5BF8F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056BB77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SEJOURS COMPRENANT UNE ENDOSCOPIE DIGESTIVE THERAPEUTIQUE SANS ANESTHESIE EN AMBULATOIRE</w:t>
            </w:r>
          </w:p>
        </w:tc>
        <w:tc>
          <w:tcPr>
            <w:tcW w:w="1423" w:type="dxa"/>
            <w:tcBorders>
              <w:top w:val="nil"/>
              <w:left w:val="nil"/>
              <w:right w:val="nil"/>
            </w:tcBorders>
            <w:shd w:val="clear" w:color="auto" w:fill="auto"/>
            <w:noWrap/>
            <w:vAlign w:val="bottom"/>
            <w:hideMark/>
          </w:tcPr>
          <w:p w14:paraId="106AE50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396.23</w:t>
            </w:r>
          </w:p>
        </w:tc>
      </w:tr>
      <w:tr w:rsidR="002A0F5D" w:rsidRPr="006C68C4" w14:paraId="4D6C333D" w14:textId="77777777" w:rsidTr="006C68C4">
        <w:trPr>
          <w:trHeight w:val="290"/>
        </w:trPr>
        <w:tc>
          <w:tcPr>
            <w:tcW w:w="1984" w:type="dxa"/>
            <w:tcBorders>
              <w:top w:val="nil"/>
              <w:left w:val="nil"/>
              <w:right w:val="nil"/>
            </w:tcBorders>
            <w:shd w:val="clear" w:color="auto" w:fill="auto"/>
            <w:noWrap/>
            <w:vAlign w:val="bottom"/>
          </w:tcPr>
          <w:p w14:paraId="17EEE43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2B5C7D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SERVICE D ACCUEIL ET DE TRAITEMENTS DES URGENCES (SAU)</w:t>
            </w:r>
          </w:p>
        </w:tc>
        <w:tc>
          <w:tcPr>
            <w:tcW w:w="1423" w:type="dxa"/>
            <w:tcBorders>
              <w:top w:val="nil"/>
              <w:left w:val="nil"/>
              <w:right w:val="nil"/>
            </w:tcBorders>
            <w:shd w:val="clear" w:color="auto" w:fill="auto"/>
            <w:noWrap/>
            <w:vAlign w:val="bottom"/>
            <w:hideMark/>
          </w:tcPr>
          <w:p w14:paraId="52C0E70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28.63</w:t>
            </w:r>
          </w:p>
        </w:tc>
      </w:tr>
      <w:tr w:rsidR="002A0F5D" w:rsidRPr="006C68C4" w14:paraId="146365C4" w14:textId="77777777" w:rsidTr="006C68C4">
        <w:trPr>
          <w:trHeight w:val="290"/>
        </w:trPr>
        <w:tc>
          <w:tcPr>
            <w:tcW w:w="1984" w:type="dxa"/>
            <w:tcBorders>
              <w:top w:val="nil"/>
              <w:left w:val="nil"/>
              <w:right w:val="nil"/>
            </w:tcBorders>
            <w:shd w:val="clear" w:color="auto" w:fill="auto"/>
            <w:noWrap/>
            <w:vAlign w:val="bottom"/>
          </w:tcPr>
          <w:p w14:paraId="4AF6856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6E67820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SOINS HAUTEMENT SPECIALISES EN MEDECINE</w:t>
            </w:r>
          </w:p>
        </w:tc>
        <w:tc>
          <w:tcPr>
            <w:tcW w:w="1423" w:type="dxa"/>
            <w:tcBorders>
              <w:top w:val="nil"/>
              <w:left w:val="nil"/>
              <w:right w:val="nil"/>
            </w:tcBorders>
            <w:shd w:val="clear" w:color="auto" w:fill="auto"/>
            <w:noWrap/>
            <w:vAlign w:val="bottom"/>
            <w:hideMark/>
          </w:tcPr>
          <w:p w14:paraId="13F40B5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23.00</w:t>
            </w:r>
          </w:p>
        </w:tc>
      </w:tr>
      <w:tr w:rsidR="002A0F5D" w:rsidRPr="006C68C4" w14:paraId="17C425C3" w14:textId="77777777" w:rsidTr="006C68C4">
        <w:trPr>
          <w:trHeight w:val="290"/>
        </w:trPr>
        <w:tc>
          <w:tcPr>
            <w:tcW w:w="1984" w:type="dxa"/>
            <w:tcBorders>
              <w:top w:val="nil"/>
              <w:left w:val="nil"/>
              <w:right w:val="nil"/>
            </w:tcBorders>
            <w:shd w:val="clear" w:color="auto" w:fill="auto"/>
            <w:noWrap/>
            <w:vAlign w:val="bottom"/>
          </w:tcPr>
          <w:p w14:paraId="4443D84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79CD385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SPECIALITES MEDICALES INDIFFERENCIEES</w:t>
            </w:r>
          </w:p>
        </w:tc>
        <w:tc>
          <w:tcPr>
            <w:tcW w:w="1423" w:type="dxa"/>
            <w:tcBorders>
              <w:top w:val="nil"/>
              <w:left w:val="nil"/>
              <w:right w:val="nil"/>
            </w:tcBorders>
            <w:shd w:val="clear" w:color="auto" w:fill="auto"/>
            <w:noWrap/>
            <w:vAlign w:val="bottom"/>
            <w:hideMark/>
          </w:tcPr>
          <w:p w14:paraId="50F6666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23.00</w:t>
            </w:r>
          </w:p>
        </w:tc>
      </w:tr>
      <w:tr w:rsidR="002A0F5D" w:rsidRPr="006C68C4" w14:paraId="33B8AE89" w14:textId="77777777" w:rsidTr="006C68C4">
        <w:trPr>
          <w:trHeight w:val="290"/>
        </w:trPr>
        <w:tc>
          <w:tcPr>
            <w:tcW w:w="1984" w:type="dxa"/>
            <w:tcBorders>
              <w:top w:val="nil"/>
              <w:left w:val="nil"/>
              <w:right w:val="nil"/>
            </w:tcBorders>
            <w:shd w:val="clear" w:color="auto" w:fill="auto"/>
            <w:noWrap/>
            <w:vAlign w:val="bottom"/>
          </w:tcPr>
          <w:p w14:paraId="5AE96C3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47E9C45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SYMPTOMES ET AUTRES RECOURS AUX SOINS DE LA CMD 06</w:t>
            </w:r>
          </w:p>
        </w:tc>
        <w:tc>
          <w:tcPr>
            <w:tcW w:w="1423" w:type="dxa"/>
            <w:tcBorders>
              <w:top w:val="nil"/>
              <w:left w:val="nil"/>
              <w:right w:val="nil"/>
            </w:tcBorders>
            <w:shd w:val="clear" w:color="auto" w:fill="auto"/>
            <w:noWrap/>
            <w:vAlign w:val="bottom"/>
            <w:hideMark/>
          </w:tcPr>
          <w:p w14:paraId="6E1EEEB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1002.39</w:t>
            </w:r>
          </w:p>
        </w:tc>
      </w:tr>
      <w:tr w:rsidR="002A0F5D" w:rsidRPr="006C68C4" w14:paraId="50DC8FF3" w14:textId="77777777" w:rsidTr="006C68C4">
        <w:trPr>
          <w:trHeight w:val="290"/>
        </w:trPr>
        <w:tc>
          <w:tcPr>
            <w:tcW w:w="1984" w:type="dxa"/>
            <w:tcBorders>
              <w:left w:val="nil"/>
              <w:bottom w:val="single" w:sz="4" w:space="0" w:color="auto"/>
              <w:right w:val="nil"/>
            </w:tcBorders>
            <w:shd w:val="clear" w:color="auto" w:fill="auto"/>
            <w:noWrap/>
            <w:vAlign w:val="bottom"/>
          </w:tcPr>
          <w:p w14:paraId="4F0C7F5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left w:val="nil"/>
              <w:bottom w:val="single" w:sz="4" w:space="0" w:color="auto"/>
              <w:right w:val="nil"/>
            </w:tcBorders>
            <w:shd w:val="clear" w:color="auto" w:fill="auto"/>
            <w:noWrap/>
            <w:vAlign w:val="bottom"/>
            <w:hideMark/>
          </w:tcPr>
          <w:p w14:paraId="2D7DB73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UNITE DE PROXI D ACCUEIL DE TRAIT ET D ORIENT URGENCES (UPATOU)</w:t>
            </w:r>
          </w:p>
        </w:tc>
        <w:tc>
          <w:tcPr>
            <w:tcW w:w="1423" w:type="dxa"/>
            <w:tcBorders>
              <w:left w:val="nil"/>
              <w:bottom w:val="single" w:sz="4" w:space="0" w:color="auto"/>
              <w:right w:val="nil"/>
            </w:tcBorders>
            <w:shd w:val="clear" w:color="auto" w:fill="auto"/>
            <w:noWrap/>
            <w:vAlign w:val="bottom"/>
            <w:hideMark/>
          </w:tcPr>
          <w:p w14:paraId="4AEBBDC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28.63</w:t>
            </w:r>
          </w:p>
        </w:tc>
      </w:tr>
      <w:tr w:rsidR="002A0F5D" w:rsidRPr="006C68C4" w14:paraId="02EAE61F" w14:textId="77777777" w:rsidTr="006C68C4">
        <w:trPr>
          <w:trHeight w:val="290"/>
        </w:trPr>
        <w:tc>
          <w:tcPr>
            <w:tcW w:w="1984" w:type="dxa"/>
            <w:tcBorders>
              <w:top w:val="nil"/>
              <w:left w:val="nil"/>
              <w:right w:val="nil"/>
            </w:tcBorders>
            <w:shd w:val="clear" w:color="auto" w:fill="auto"/>
            <w:noWrap/>
            <w:vAlign w:val="bottom"/>
            <w:hideMark/>
          </w:tcPr>
          <w:p w14:paraId="388B4581" w14:textId="77777777" w:rsidR="002A0F5D" w:rsidRPr="006C68C4" w:rsidRDefault="002A0F5D" w:rsidP="00BA04E9">
            <w:pPr>
              <w:spacing w:after="0" w:line="240" w:lineRule="auto"/>
              <w:rPr>
                <w:rFonts w:ascii="Arial" w:eastAsia="Times New Roman" w:hAnsi="Arial" w:cs="Arial"/>
                <w:b/>
                <w:bCs/>
                <w:color w:val="000000"/>
                <w:kern w:val="0"/>
                <w:lang w:eastAsia="ca-ES"/>
                <w14:ligatures w14:val="none"/>
              </w:rPr>
            </w:pPr>
            <w:r w:rsidRPr="006C68C4">
              <w:rPr>
                <w:rFonts w:ascii="Arial" w:eastAsia="Times New Roman" w:hAnsi="Arial" w:cs="Arial"/>
                <w:b/>
                <w:bCs/>
                <w:color w:val="000000"/>
                <w:kern w:val="0"/>
                <w:lang w:eastAsia="ca-ES"/>
                <w14:ligatures w14:val="none"/>
              </w:rPr>
              <w:t xml:space="preserve">United Kingdom </w:t>
            </w:r>
            <w:r w:rsidRPr="006C68C4">
              <w:rPr>
                <w:rFonts w:ascii="Arial" w:eastAsia="Times New Roman" w:hAnsi="Arial" w:cs="Arial"/>
                <w:color w:val="000000"/>
                <w:kern w:val="0"/>
                <w:lang w:eastAsia="ca-ES"/>
                <w14:ligatures w14:val="none"/>
              </w:rPr>
              <w:t>(in £)</w:t>
            </w:r>
          </w:p>
        </w:tc>
        <w:tc>
          <w:tcPr>
            <w:tcW w:w="5388" w:type="dxa"/>
            <w:tcBorders>
              <w:top w:val="nil"/>
              <w:left w:val="nil"/>
              <w:right w:val="nil"/>
            </w:tcBorders>
            <w:shd w:val="clear" w:color="auto" w:fill="auto"/>
            <w:noWrap/>
            <w:vAlign w:val="bottom"/>
          </w:tcPr>
          <w:p w14:paraId="51F632BD" w14:textId="77777777" w:rsidR="002A0F5D" w:rsidRPr="006C68C4" w:rsidRDefault="002A0F5D" w:rsidP="00BA04E9">
            <w:pPr>
              <w:spacing w:after="0" w:line="240" w:lineRule="auto"/>
              <w:rPr>
                <w:rFonts w:ascii="Arial" w:eastAsia="Times New Roman" w:hAnsi="Arial" w:cs="Arial"/>
                <w:b/>
                <w:bCs/>
                <w:color w:val="000000"/>
                <w:kern w:val="0"/>
                <w:lang w:eastAsia="ca-ES"/>
                <w14:ligatures w14:val="none"/>
              </w:rPr>
            </w:pPr>
          </w:p>
        </w:tc>
        <w:tc>
          <w:tcPr>
            <w:tcW w:w="1423" w:type="dxa"/>
            <w:tcBorders>
              <w:top w:val="nil"/>
              <w:left w:val="nil"/>
              <w:right w:val="nil"/>
            </w:tcBorders>
            <w:shd w:val="clear" w:color="auto" w:fill="auto"/>
            <w:noWrap/>
            <w:vAlign w:val="bottom"/>
            <w:hideMark/>
          </w:tcPr>
          <w:p w14:paraId="6D05646F" w14:textId="77777777" w:rsidR="002A0F5D" w:rsidRPr="006C68C4" w:rsidRDefault="002A0F5D" w:rsidP="00BA04E9">
            <w:pPr>
              <w:spacing w:after="0" w:line="240" w:lineRule="auto"/>
              <w:rPr>
                <w:rFonts w:ascii="Arial" w:eastAsia="Times New Roman" w:hAnsi="Arial" w:cs="Arial"/>
                <w:b/>
                <w:bCs/>
                <w:color w:val="000000"/>
                <w:kern w:val="0"/>
                <w:lang w:eastAsia="ca-ES"/>
                <w14:ligatures w14:val="none"/>
              </w:rPr>
            </w:pPr>
          </w:p>
        </w:tc>
      </w:tr>
      <w:tr w:rsidR="002A0F5D" w:rsidRPr="006C68C4" w14:paraId="1F91C264" w14:textId="77777777" w:rsidTr="006C68C4">
        <w:trPr>
          <w:trHeight w:val="290"/>
        </w:trPr>
        <w:tc>
          <w:tcPr>
            <w:tcW w:w="1984" w:type="dxa"/>
            <w:tcBorders>
              <w:top w:val="nil"/>
              <w:left w:val="nil"/>
              <w:bottom w:val="nil"/>
              <w:right w:val="nil"/>
            </w:tcBorders>
            <w:shd w:val="clear" w:color="auto" w:fill="auto"/>
            <w:noWrap/>
            <w:vAlign w:val="bottom"/>
            <w:hideMark/>
          </w:tcPr>
          <w:p w14:paraId="088AE70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Consultation</w:t>
            </w:r>
          </w:p>
        </w:tc>
        <w:tc>
          <w:tcPr>
            <w:tcW w:w="5388" w:type="dxa"/>
            <w:tcBorders>
              <w:top w:val="nil"/>
              <w:left w:val="nil"/>
              <w:bottom w:val="nil"/>
              <w:right w:val="nil"/>
            </w:tcBorders>
            <w:shd w:val="clear" w:color="auto" w:fill="auto"/>
            <w:noWrap/>
            <w:vAlign w:val="bottom"/>
            <w:hideMark/>
          </w:tcPr>
          <w:p w14:paraId="53CE31D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General medicine/practitioners</w:t>
            </w:r>
          </w:p>
        </w:tc>
        <w:tc>
          <w:tcPr>
            <w:tcW w:w="1423" w:type="dxa"/>
            <w:tcBorders>
              <w:top w:val="nil"/>
              <w:left w:val="nil"/>
              <w:bottom w:val="nil"/>
              <w:right w:val="nil"/>
            </w:tcBorders>
            <w:shd w:val="clear" w:color="auto" w:fill="auto"/>
            <w:noWrap/>
            <w:vAlign w:val="bottom"/>
            <w:hideMark/>
          </w:tcPr>
          <w:p w14:paraId="2859FED4"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174.6408748</w:t>
            </w:r>
          </w:p>
        </w:tc>
      </w:tr>
      <w:tr w:rsidR="002A0F5D" w:rsidRPr="006C68C4" w14:paraId="416144C1" w14:textId="77777777" w:rsidTr="006C68C4">
        <w:trPr>
          <w:trHeight w:val="290"/>
        </w:trPr>
        <w:tc>
          <w:tcPr>
            <w:tcW w:w="1984" w:type="dxa"/>
            <w:tcBorders>
              <w:top w:val="nil"/>
              <w:left w:val="nil"/>
              <w:bottom w:val="nil"/>
              <w:right w:val="nil"/>
            </w:tcBorders>
            <w:shd w:val="clear" w:color="auto" w:fill="auto"/>
            <w:noWrap/>
            <w:vAlign w:val="bottom"/>
          </w:tcPr>
          <w:p w14:paraId="35DB32B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535A61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Hepato/gastroenterologists</w:t>
            </w:r>
          </w:p>
        </w:tc>
        <w:tc>
          <w:tcPr>
            <w:tcW w:w="1423" w:type="dxa"/>
            <w:tcBorders>
              <w:top w:val="nil"/>
              <w:left w:val="nil"/>
              <w:bottom w:val="nil"/>
              <w:right w:val="nil"/>
            </w:tcBorders>
            <w:shd w:val="clear" w:color="auto" w:fill="auto"/>
            <w:noWrap/>
            <w:vAlign w:val="bottom"/>
            <w:hideMark/>
          </w:tcPr>
          <w:p w14:paraId="6632AE9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182.9321808</w:t>
            </w:r>
          </w:p>
        </w:tc>
      </w:tr>
      <w:tr w:rsidR="002A0F5D" w:rsidRPr="006C68C4" w14:paraId="301A8F28" w14:textId="77777777" w:rsidTr="006C68C4">
        <w:trPr>
          <w:trHeight w:val="290"/>
        </w:trPr>
        <w:tc>
          <w:tcPr>
            <w:tcW w:w="1984" w:type="dxa"/>
            <w:tcBorders>
              <w:top w:val="nil"/>
              <w:left w:val="nil"/>
              <w:bottom w:val="nil"/>
              <w:right w:val="nil"/>
            </w:tcBorders>
            <w:shd w:val="clear" w:color="auto" w:fill="auto"/>
            <w:noWrap/>
            <w:vAlign w:val="bottom"/>
          </w:tcPr>
          <w:p w14:paraId="4B976EC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B820A9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Endocrinologists</w:t>
            </w:r>
          </w:p>
        </w:tc>
        <w:tc>
          <w:tcPr>
            <w:tcW w:w="1423" w:type="dxa"/>
            <w:tcBorders>
              <w:top w:val="nil"/>
              <w:left w:val="nil"/>
              <w:bottom w:val="nil"/>
              <w:right w:val="nil"/>
            </w:tcBorders>
            <w:shd w:val="clear" w:color="auto" w:fill="auto"/>
            <w:noWrap/>
            <w:vAlign w:val="bottom"/>
            <w:hideMark/>
          </w:tcPr>
          <w:p w14:paraId="16DCCFB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220.7351175</w:t>
            </w:r>
          </w:p>
        </w:tc>
      </w:tr>
      <w:tr w:rsidR="002A0F5D" w:rsidRPr="006C68C4" w14:paraId="29DFD4E1" w14:textId="77777777" w:rsidTr="006C68C4">
        <w:trPr>
          <w:trHeight w:val="290"/>
        </w:trPr>
        <w:tc>
          <w:tcPr>
            <w:tcW w:w="1984" w:type="dxa"/>
            <w:tcBorders>
              <w:top w:val="nil"/>
              <w:left w:val="nil"/>
              <w:bottom w:val="nil"/>
              <w:right w:val="nil"/>
            </w:tcBorders>
            <w:shd w:val="clear" w:color="auto" w:fill="auto"/>
            <w:noWrap/>
            <w:vAlign w:val="bottom"/>
          </w:tcPr>
          <w:p w14:paraId="05F2B0E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A7A1AD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General Practitioners</w:t>
            </w:r>
          </w:p>
        </w:tc>
        <w:tc>
          <w:tcPr>
            <w:tcW w:w="1423" w:type="dxa"/>
            <w:tcBorders>
              <w:top w:val="nil"/>
              <w:left w:val="nil"/>
              <w:bottom w:val="nil"/>
              <w:right w:val="nil"/>
            </w:tcBorders>
            <w:shd w:val="clear" w:color="auto" w:fill="auto"/>
            <w:noWrap/>
            <w:vAlign w:val="bottom"/>
            <w:hideMark/>
          </w:tcPr>
          <w:p w14:paraId="49645A0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149</w:t>
            </w:r>
          </w:p>
        </w:tc>
      </w:tr>
      <w:tr w:rsidR="002A0F5D" w:rsidRPr="006C68C4" w14:paraId="297FBB58" w14:textId="77777777" w:rsidTr="006C68C4">
        <w:trPr>
          <w:trHeight w:val="290"/>
        </w:trPr>
        <w:tc>
          <w:tcPr>
            <w:tcW w:w="1984" w:type="dxa"/>
            <w:tcBorders>
              <w:top w:val="nil"/>
              <w:left w:val="nil"/>
              <w:bottom w:val="nil"/>
              <w:right w:val="nil"/>
            </w:tcBorders>
            <w:shd w:val="clear" w:color="auto" w:fill="auto"/>
            <w:noWrap/>
            <w:vAlign w:val="bottom"/>
            <w:hideMark/>
          </w:tcPr>
          <w:p w14:paraId="0AF6970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Emergency room</w:t>
            </w:r>
          </w:p>
        </w:tc>
        <w:tc>
          <w:tcPr>
            <w:tcW w:w="5388" w:type="dxa"/>
            <w:tcBorders>
              <w:top w:val="nil"/>
              <w:left w:val="nil"/>
              <w:bottom w:val="nil"/>
              <w:right w:val="nil"/>
            </w:tcBorders>
            <w:shd w:val="clear" w:color="auto" w:fill="auto"/>
            <w:noWrap/>
            <w:vAlign w:val="bottom"/>
            <w:hideMark/>
          </w:tcPr>
          <w:p w14:paraId="310BBDF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Emergency hospital admission</w:t>
            </w:r>
          </w:p>
        </w:tc>
        <w:tc>
          <w:tcPr>
            <w:tcW w:w="1423" w:type="dxa"/>
            <w:tcBorders>
              <w:top w:val="nil"/>
              <w:left w:val="nil"/>
              <w:bottom w:val="nil"/>
              <w:right w:val="nil"/>
            </w:tcBorders>
            <w:shd w:val="clear" w:color="auto" w:fill="auto"/>
            <w:noWrap/>
            <w:vAlign w:val="bottom"/>
            <w:hideMark/>
          </w:tcPr>
          <w:p w14:paraId="2A841E0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95.71</w:t>
            </w:r>
          </w:p>
        </w:tc>
      </w:tr>
      <w:tr w:rsidR="002A0F5D" w:rsidRPr="006C68C4" w14:paraId="687CF415" w14:textId="77777777" w:rsidTr="006C68C4">
        <w:trPr>
          <w:trHeight w:val="290"/>
        </w:trPr>
        <w:tc>
          <w:tcPr>
            <w:tcW w:w="1984" w:type="dxa"/>
            <w:tcBorders>
              <w:top w:val="nil"/>
              <w:left w:val="nil"/>
              <w:bottom w:val="nil"/>
              <w:right w:val="nil"/>
            </w:tcBorders>
            <w:shd w:val="clear" w:color="auto" w:fill="auto"/>
            <w:noWrap/>
            <w:vAlign w:val="bottom"/>
            <w:hideMark/>
          </w:tcPr>
          <w:p w14:paraId="2442F48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Emergency room</w:t>
            </w:r>
          </w:p>
        </w:tc>
        <w:tc>
          <w:tcPr>
            <w:tcW w:w="5388" w:type="dxa"/>
            <w:tcBorders>
              <w:top w:val="nil"/>
              <w:left w:val="nil"/>
              <w:bottom w:val="nil"/>
              <w:right w:val="nil"/>
            </w:tcBorders>
            <w:shd w:val="clear" w:color="auto" w:fill="auto"/>
            <w:noWrap/>
            <w:vAlign w:val="bottom"/>
            <w:hideMark/>
          </w:tcPr>
          <w:p w14:paraId="37AC163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Admit medical emergency unsp.</w:t>
            </w:r>
          </w:p>
        </w:tc>
        <w:tc>
          <w:tcPr>
            <w:tcW w:w="1423" w:type="dxa"/>
            <w:tcBorders>
              <w:top w:val="nil"/>
              <w:left w:val="nil"/>
              <w:bottom w:val="nil"/>
              <w:right w:val="nil"/>
            </w:tcBorders>
            <w:shd w:val="clear" w:color="auto" w:fill="auto"/>
            <w:noWrap/>
            <w:vAlign w:val="bottom"/>
            <w:hideMark/>
          </w:tcPr>
          <w:p w14:paraId="5FDE26A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95.71</w:t>
            </w:r>
          </w:p>
        </w:tc>
      </w:tr>
      <w:tr w:rsidR="002A0F5D" w:rsidRPr="006C68C4" w14:paraId="5638F6C5" w14:textId="77777777" w:rsidTr="006C68C4">
        <w:trPr>
          <w:trHeight w:val="290"/>
        </w:trPr>
        <w:tc>
          <w:tcPr>
            <w:tcW w:w="1984" w:type="dxa"/>
            <w:tcBorders>
              <w:top w:val="nil"/>
              <w:left w:val="nil"/>
              <w:bottom w:val="nil"/>
              <w:right w:val="nil"/>
            </w:tcBorders>
            <w:shd w:val="clear" w:color="auto" w:fill="auto"/>
            <w:noWrap/>
            <w:vAlign w:val="bottom"/>
          </w:tcPr>
          <w:p w14:paraId="1CACC4A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B016AF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Admit hospital emergency NOS</w:t>
            </w:r>
          </w:p>
        </w:tc>
        <w:tc>
          <w:tcPr>
            <w:tcW w:w="1423" w:type="dxa"/>
            <w:tcBorders>
              <w:top w:val="nil"/>
              <w:left w:val="nil"/>
              <w:bottom w:val="nil"/>
              <w:right w:val="nil"/>
            </w:tcBorders>
            <w:shd w:val="clear" w:color="auto" w:fill="auto"/>
            <w:noWrap/>
            <w:vAlign w:val="bottom"/>
            <w:hideMark/>
          </w:tcPr>
          <w:p w14:paraId="7071BBA7"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95.71</w:t>
            </w:r>
          </w:p>
        </w:tc>
      </w:tr>
      <w:tr w:rsidR="002A0F5D" w:rsidRPr="006C68C4" w14:paraId="55F82B63" w14:textId="77777777" w:rsidTr="006C68C4">
        <w:trPr>
          <w:trHeight w:val="290"/>
        </w:trPr>
        <w:tc>
          <w:tcPr>
            <w:tcW w:w="1984" w:type="dxa"/>
            <w:tcBorders>
              <w:top w:val="nil"/>
              <w:left w:val="nil"/>
              <w:bottom w:val="nil"/>
              <w:right w:val="nil"/>
            </w:tcBorders>
            <w:shd w:val="clear" w:color="auto" w:fill="auto"/>
            <w:noWrap/>
            <w:vAlign w:val="bottom"/>
          </w:tcPr>
          <w:p w14:paraId="625FBC3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DC4128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Seen in emergency clinic</w:t>
            </w:r>
          </w:p>
        </w:tc>
        <w:tc>
          <w:tcPr>
            <w:tcW w:w="1423" w:type="dxa"/>
            <w:tcBorders>
              <w:top w:val="nil"/>
              <w:left w:val="nil"/>
              <w:bottom w:val="nil"/>
              <w:right w:val="nil"/>
            </w:tcBorders>
            <w:shd w:val="clear" w:color="auto" w:fill="auto"/>
            <w:noWrap/>
            <w:vAlign w:val="bottom"/>
            <w:hideMark/>
          </w:tcPr>
          <w:p w14:paraId="36076D48"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66.93048832</w:t>
            </w:r>
          </w:p>
        </w:tc>
      </w:tr>
      <w:tr w:rsidR="002A0F5D" w:rsidRPr="006C68C4" w14:paraId="2243002B" w14:textId="77777777" w:rsidTr="006C68C4">
        <w:trPr>
          <w:trHeight w:val="290"/>
        </w:trPr>
        <w:tc>
          <w:tcPr>
            <w:tcW w:w="1984" w:type="dxa"/>
            <w:tcBorders>
              <w:top w:val="nil"/>
              <w:left w:val="nil"/>
              <w:bottom w:val="nil"/>
              <w:right w:val="nil"/>
            </w:tcBorders>
            <w:shd w:val="clear" w:color="auto" w:fill="auto"/>
            <w:noWrap/>
            <w:vAlign w:val="bottom"/>
          </w:tcPr>
          <w:p w14:paraId="2CA552B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D627FC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Seen in emergency clinic</w:t>
            </w:r>
          </w:p>
        </w:tc>
        <w:tc>
          <w:tcPr>
            <w:tcW w:w="1423" w:type="dxa"/>
            <w:tcBorders>
              <w:top w:val="nil"/>
              <w:left w:val="nil"/>
              <w:bottom w:val="nil"/>
              <w:right w:val="nil"/>
            </w:tcBorders>
            <w:shd w:val="clear" w:color="auto" w:fill="auto"/>
            <w:noWrap/>
            <w:vAlign w:val="bottom"/>
            <w:hideMark/>
          </w:tcPr>
          <w:p w14:paraId="26CD04E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66.93048832</w:t>
            </w:r>
          </w:p>
        </w:tc>
      </w:tr>
      <w:tr w:rsidR="002A0F5D" w:rsidRPr="006C68C4" w14:paraId="2B06160C" w14:textId="77777777" w:rsidTr="006C68C4">
        <w:trPr>
          <w:trHeight w:val="290"/>
        </w:trPr>
        <w:tc>
          <w:tcPr>
            <w:tcW w:w="1984" w:type="dxa"/>
            <w:tcBorders>
              <w:top w:val="nil"/>
              <w:left w:val="nil"/>
              <w:bottom w:val="nil"/>
              <w:right w:val="nil"/>
            </w:tcBorders>
            <w:shd w:val="clear" w:color="auto" w:fill="auto"/>
            <w:noWrap/>
            <w:vAlign w:val="bottom"/>
            <w:hideMark/>
          </w:tcPr>
          <w:p w14:paraId="7F6A461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Hospitalization</w:t>
            </w:r>
          </w:p>
        </w:tc>
        <w:tc>
          <w:tcPr>
            <w:tcW w:w="5388" w:type="dxa"/>
            <w:tcBorders>
              <w:top w:val="nil"/>
              <w:left w:val="nil"/>
              <w:bottom w:val="nil"/>
              <w:right w:val="nil"/>
            </w:tcBorders>
            <w:shd w:val="clear" w:color="auto" w:fill="auto"/>
            <w:noWrap/>
            <w:vAlign w:val="bottom"/>
            <w:hideMark/>
          </w:tcPr>
          <w:p w14:paraId="2B0EC8D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Discharge from hospital</w:t>
            </w:r>
          </w:p>
        </w:tc>
        <w:tc>
          <w:tcPr>
            <w:tcW w:w="1423" w:type="dxa"/>
            <w:tcBorders>
              <w:top w:val="nil"/>
              <w:left w:val="nil"/>
              <w:bottom w:val="nil"/>
              <w:right w:val="nil"/>
            </w:tcBorders>
            <w:shd w:val="clear" w:color="auto" w:fill="auto"/>
            <w:noWrap/>
            <w:vAlign w:val="bottom"/>
            <w:hideMark/>
          </w:tcPr>
          <w:p w14:paraId="713C228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36EE4BD7" w14:textId="77777777" w:rsidTr="006C68C4">
        <w:trPr>
          <w:trHeight w:val="290"/>
        </w:trPr>
        <w:tc>
          <w:tcPr>
            <w:tcW w:w="1984" w:type="dxa"/>
            <w:tcBorders>
              <w:top w:val="nil"/>
              <w:left w:val="nil"/>
              <w:bottom w:val="nil"/>
              <w:right w:val="nil"/>
            </w:tcBorders>
            <w:shd w:val="clear" w:color="auto" w:fill="auto"/>
            <w:noWrap/>
            <w:vAlign w:val="bottom"/>
          </w:tcPr>
          <w:p w14:paraId="2388A56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C3E082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Repeat Rx reviewed by hospital</w:t>
            </w:r>
          </w:p>
        </w:tc>
        <w:tc>
          <w:tcPr>
            <w:tcW w:w="1423" w:type="dxa"/>
            <w:tcBorders>
              <w:top w:val="nil"/>
              <w:left w:val="nil"/>
              <w:bottom w:val="nil"/>
              <w:right w:val="nil"/>
            </w:tcBorders>
            <w:shd w:val="clear" w:color="auto" w:fill="auto"/>
            <w:noWrap/>
            <w:vAlign w:val="bottom"/>
            <w:hideMark/>
          </w:tcPr>
          <w:p w14:paraId="02CABE2C"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22C00DAA" w14:textId="77777777" w:rsidTr="006C68C4">
        <w:trPr>
          <w:trHeight w:val="290"/>
        </w:trPr>
        <w:tc>
          <w:tcPr>
            <w:tcW w:w="1984" w:type="dxa"/>
            <w:tcBorders>
              <w:top w:val="nil"/>
              <w:left w:val="nil"/>
              <w:bottom w:val="nil"/>
              <w:right w:val="nil"/>
            </w:tcBorders>
            <w:shd w:val="clear" w:color="auto" w:fill="auto"/>
            <w:noWrap/>
            <w:vAlign w:val="bottom"/>
          </w:tcPr>
          <w:p w14:paraId="6EE0573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F7FB1B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Reviewed at hospital</w:t>
            </w:r>
          </w:p>
        </w:tc>
        <w:tc>
          <w:tcPr>
            <w:tcW w:w="1423" w:type="dxa"/>
            <w:tcBorders>
              <w:top w:val="nil"/>
              <w:left w:val="nil"/>
              <w:bottom w:val="nil"/>
              <w:right w:val="nil"/>
            </w:tcBorders>
            <w:shd w:val="clear" w:color="auto" w:fill="auto"/>
            <w:noWrap/>
            <w:vAlign w:val="bottom"/>
            <w:hideMark/>
          </w:tcPr>
          <w:p w14:paraId="50D1FC1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69BEEF32" w14:textId="77777777" w:rsidTr="006C68C4">
        <w:trPr>
          <w:trHeight w:val="290"/>
        </w:trPr>
        <w:tc>
          <w:tcPr>
            <w:tcW w:w="1984" w:type="dxa"/>
            <w:tcBorders>
              <w:top w:val="nil"/>
              <w:left w:val="nil"/>
              <w:bottom w:val="nil"/>
              <w:right w:val="nil"/>
            </w:tcBorders>
            <w:shd w:val="clear" w:color="auto" w:fill="auto"/>
            <w:noWrap/>
            <w:vAlign w:val="bottom"/>
          </w:tcPr>
          <w:p w14:paraId="3CD9056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CB127A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Post hospital discharge medication reconciliation with pt</w:t>
            </w:r>
          </w:p>
        </w:tc>
        <w:tc>
          <w:tcPr>
            <w:tcW w:w="1423" w:type="dxa"/>
            <w:tcBorders>
              <w:top w:val="nil"/>
              <w:left w:val="nil"/>
              <w:bottom w:val="nil"/>
              <w:right w:val="nil"/>
            </w:tcBorders>
            <w:shd w:val="clear" w:color="auto" w:fill="auto"/>
            <w:noWrap/>
            <w:vAlign w:val="bottom"/>
            <w:hideMark/>
          </w:tcPr>
          <w:p w14:paraId="634BB07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00E16BB6" w14:textId="77777777" w:rsidTr="006C68C4">
        <w:trPr>
          <w:trHeight w:val="290"/>
        </w:trPr>
        <w:tc>
          <w:tcPr>
            <w:tcW w:w="1984" w:type="dxa"/>
            <w:tcBorders>
              <w:top w:val="nil"/>
              <w:left w:val="nil"/>
              <w:bottom w:val="nil"/>
              <w:right w:val="nil"/>
            </w:tcBorders>
            <w:shd w:val="clear" w:color="auto" w:fill="auto"/>
            <w:noWrap/>
            <w:vAlign w:val="bottom"/>
          </w:tcPr>
          <w:p w14:paraId="5CEB430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8784D8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Post hospital dischrge med reconciliation with medical notes</w:t>
            </w:r>
          </w:p>
        </w:tc>
        <w:tc>
          <w:tcPr>
            <w:tcW w:w="1423" w:type="dxa"/>
            <w:tcBorders>
              <w:top w:val="nil"/>
              <w:left w:val="nil"/>
              <w:bottom w:val="nil"/>
              <w:right w:val="nil"/>
            </w:tcBorders>
            <w:shd w:val="clear" w:color="auto" w:fill="auto"/>
            <w:noWrap/>
            <w:vAlign w:val="bottom"/>
            <w:hideMark/>
          </w:tcPr>
          <w:p w14:paraId="4A42D49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555FA404" w14:textId="77777777" w:rsidTr="006C68C4">
        <w:trPr>
          <w:trHeight w:val="290"/>
        </w:trPr>
        <w:tc>
          <w:tcPr>
            <w:tcW w:w="1984" w:type="dxa"/>
            <w:tcBorders>
              <w:top w:val="nil"/>
              <w:left w:val="nil"/>
              <w:bottom w:val="nil"/>
              <w:right w:val="nil"/>
            </w:tcBorders>
            <w:shd w:val="clear" w:color="auto" w:fill="auto"/>
            <w:noWrap/>
            <w:vAlign w:val="bottom"/>
          </w:tcPr>
          <w:p w14:paraId="62EDDEF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A8F65E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Admit to intensive care unit</w:t>
            </w:r>
          </w:p>
        </w:tc>
        <w:tc>
          <w:tcPr>
            <w:tcW w:w="1423" w:type="dxa"/>
            <w:tcBorders>
              <w:top w:val="nil"/>
              <w:left w:val="nil"/>
              <w:bottom w:val="nil"/>
              <w:right w:val="nil"/>
            </w:tcBorders>
            <w:shd w:val="clear" w:color="auto" w:fill="auto"/>
            <w:noWrap/>
            <w:vAlign w:val="bottom"/>
            <w:hideMark/>
          </w:tcPr>
          <w:p w14:paraId="4A450863"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2395.564786</w:t>
            </w:r>
          </w:p>
        </w:tc>
      </w:tr>
      <w:tr w:rsidR="002A0F5D" w:rsidRPr="006C68C4" w14:paraId="329C411A" w14:textId="77777777" w:rsidTr="006C68C4">
        <w:trPr>
          <w:trHeight w:val="290"/>
        </w:trPr>
        <w:tc>
          <w:tcPr>
            <w:tcW w:w="1984" w:type="dxa"/>
            <w:tcBorders>
              <w:top w:val="nil"/>
              <w:left w:val="nil"/>
              <w:bottom w:val="nil"/>
              <w:right w:val="nil"/>
            </w:tcBorders>
            <w:shd w:val="clear" w:color="auto" w:fill="auto"/>
            <w:noWrap/>
            <w:vAlign w:val="bottom"/>
          </w:tcPr>
          <w:p w14:paraId="5124166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07D3FC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Emergency hospital admission</w:t>
            </w:r>
          </w:p>
        </w:tc>
        <w:tc>
          <w:tcPr>
            <w:tcW w:w="1423" w:type="dxa"/>
            <w:tcBorders>
              <w:top w:val="nil"/>
              <w:left w:val="nil"/>
              <w:bottom w:val="nil"/>
              <w:right w:val="nil"/>
            </w:tcBorders>
            <w:shd w:val="clear" w:color="auto" w:fill="auto"/>
            <w:noWrap/>
            <w:vAlign w:val="bottom"/>
            <w:hideMark/>
          </w:tcPr>
          <w:p w14:paraId="100533AE"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95.71</w:t>
            </w:r>
          </w:p>
        </w:tc>
      </w:tr>
      <w:tr w:rsidR="002A0F5D" w:rsidRPr="006C68C4" w14:paraId="09A43566" w14:textId="77777777" w:rsidTr="006C68C4">
        <w:trPr>
          <w:trHeight w:val="290"/>
        </w:trPr>
        <w:tc>
          <w:tcPr>
            <w:tcW w:w="1984" w:type="dxa"/>
            <w:tcBorders>
              <w:top w:val="nil"/>
              <w:left w:val="nil"/>
              <w:bottom w:val="nil"/>
              <w:right w:val="nil"/>
            </w:tcBorders>
            <w:shd w:val="clear" w:color="auto" w:fill="auto"/>
            <w:noWrap/>
            <w:vAlign w:val="bottom"/>
          </w:tcPr>
          <w:p w14:paraId="2F7A405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002FE6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Admit medical emergency unsp.</w:t>
            </w:r>
          </w:p>
        </w:tc>
        <w:tc>
          <w:tcPr>
            <w:tcW w:w="1423" w:type="dxa"/>
            <w:tcBorders>
              <w:top w:val="nil"/>
              <w:left w:val="nil"/>
              <w:bottom w:val="nil"/>
              <w:right w:val="nil"/>
            </w:tcBorders>
            <w:shd w:val="clear" w:color="auto" w:fill="auto"/>
            <w:noWrap/>
            <w:vAlign w:val="bottom"/>
            <w:hideMark/>
          </w:tcPr>
          <w:p w14:paraId="0DE79DF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95.71</w:t>
            </w:r>
          </w:p>
        </w:tc>
      </w:tr>
      <w:tr w:rsidR="002A0F5D" w:rsidRPr="006C68C4" w14:paraId="199E8F80" w14:textId="77777777" w:rsidTr="006C68C4">
        <w:trPr>
          <w:trHeight w:val="290"/>
        </w:trPr>
        <w:tc>
          <w:tcPr>
            <w:tcW w:w="1984" w:type="dxa"/>
            <w:tcBorders>
              <w:top w:val="nil"/>
              <w:left w:val="nil"/>
              <w:bottom w:val="nil"/>
              <w:right w:val="nil"/>
            </w:tcBorders>
            <w:shd w:val="clear" w:color="auto" w:fill="auto"/>
            <w:noWrap/>
            <w:vAlign w:val="bottom"/>
          </w:tcPr>
          <w:p w14:paraId="7BA1467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519DC9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Admit hospital emergency NOS</w:t>
            </w:r>
          </w:p>
        </w:tc>
        <w:tc>
          <w:tcPr>
            <w:tcW w:w="1423" w:type="dxa"/>
            <w:tcBorders>
              <w:top w:val="nil"/>
              <w:left w:val="nil"/>
              <w:bottom w:val="nil"/>
              <w:right w:val="nil"/>
            </w:tcBorders>
            <w:shd w:val="clear" w:color="auto" w:fill="auto"/>
            <w:noWrap/>
            <w:vAlign w:val="bottom"/>
            <w:hideMark/>
          </w:tcPr>
          <w:p w14:paraId="7C31B2A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95.71</w:t>
            </w:r>
          </w:p>
        </w:tc>
      </w:tr>
      <w:tr w:rsidR="002A0F5D" w:rsidRPr="006C68C4" w14:paraId="4418B2E6" w14:textId="77777777" w:rsidTr="006C68C4">
        <w:trPr>
          <w:trHeight w:val="290"/>
        </w:trPr>
        <w:tc>
          <w:tcPr>
            <w:tcW w:w="1984" w:type="dxa"/>
            <w:tcBorders>
              <w:top w:val="nil"/>
              <w:left w:val="nil"/>
              <w:bottom w:val="nil"/>
              <w:right w:val="nil"/>
            </w:tcBorders>
            <w:shd w:val="clear" w:color="auto" w:fill="auto"/>
            <w:noWrap/>
            <w:vAlign w:val="bottom"/>
          </w:tcPr>
          <w:p w14:paraId="72F3E03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0ED791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Non-urgent hospital admission</w:t>
            </w:r>
          </w:p>
        </w:tc>
        <w:tc>
          <w:tcPr>
            <w:tcW w:w="1423" w:type="dxa"/>
            <w:tcBorders>
              <w:top w:val="nil"/>
              <w:left w:val="nil"/>
              <w:bottom w:val="nil"/>
              <w:right w:val="nil"/>
            </w:tcBorders>
            <w:shd w:val="clear" w:color="auto" w:fill="auto"/>
            <w:noWrap/>
            <w:vAlign w:val="bottom"/>
            <w:hideMark/>
          </w:tcPr>
          <w:p w14:paraId="014B62C4"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1336.157147</w:t>
            </w:r>
          </w:p>
        </w:tc>
      </w:tr>
      <w:tr w:rsidR="002A0F5D" w:rsidRPr="006C68C4" w14:paraId="70EE7EA5" w14:textId="77777777" w:rsidTr="006C68C4">
        <w:trPr>
          <w:trHeight w:val="290"/>
        </w:trPr>
        <w:tc>
          <w:tcPr>
            <w:tcW w:w="1984" w:type="dxa"/>
            <w:tcBorders>
              <w:top w:val="nil"/>
              <w:left w:val="nil"/>
              <w:bottom w:val="nil"/>
              <w:right w:val="nil"/>
            </w:tcBorders>
            <w:shd w:val="clear" w:color="auto" w:fill="auto"/>
            <w:noWrap/>
            <w:vAlign w:val="bottom"/>
          </w:tcPr>
          <w:p w14:paraId="0293F62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156F7E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Day hospital care</w:t>
            </w:r>
          </w:p>
        </w:tc>
        <w:tc>
          <w:tcPr>
            <w:tcW w:w="1423" w:type="dxa"/>
            <w:tcBorders>
              <w:top w:val="nil"/>
              <w:left w:val="nil"/>
              <w:bottom w:val="nil"/>
              <w:right w:val="nil"/>
            </w:tcBorders>
            <w:shd w:val="clear" w:color="auto" w:fill="auto"/>
            <w:noWrap/>
            <w:vAlign w:val="bottom"/>
            <w:hideMark/>
          </w:tcPr>
          <w:p w14:paraId="0070580C"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459.7700177</w:t>
            </w:r>
          </w:p>
        </w:tc>
      </w:tr>
      <w:tr w:rsidR="002A0F5D" w:rsidRPr="006C68C4" w14:paraId="1D8871C8" w14:textId="77777777" w:rsidTr="006C68C4">
        <w:trPr>
          <w:trHeight w:val="290"/>
        </w:trPr>
        <w:tc>
          <w:tcPr>
            <w:tcW w:w="1984" w:type="dxa"/>
            <w:tcBorders>
              <w:top w:val="nil"/>
              <w:left w:val="nil"/>
              <w:bottom w:val="nil"/>
              <w:right w:val="nil"/>
            </w:tcBorders>
            <w:shd w:val="clear" w:color="auto" w:fill="auto"/>
            <w:noWrap/>
            <w:vAlign w:val="bottom"/>
          </w:tcPr>
          <w:p w14:paraId="087D792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09DD14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Other hospital admission NOS</w:t>
            </w:r>
          </w:p>
        </w:tc>
        <w:tc>
          <w:tcPr>
            <w:tcW w:w="1423" w:type="dxa"/>
            <w:tcBorders>
              <w:top w:val="nil"/>
              <w:left w:val="nil"/>
              <w:bottom w:val="nil"/>
              <w:right w:val="nil"/>
            </w:tcBorders>
            <w:shd w:val="clear" w:color="auto" w:fill="auto"/>
            <w:noWrap/>
            <w:vAlign w:val="bottom"/>
            <w:hideMark/>
          </w:tcPr>
          <w:p w14:paraId="5172007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28AB4E8E" w14:textId="77777777" w:rsidTr="006C68C4">
        <w:trPr>
          <w:trHeight w:val="290"/>
        </w:trPr>
        <w:tc>
          <w:tcPr>
            <w:tcW w:w="1984" w:type="dxa"/>
            <w:tcBorders>
              <w:top w:val="nil"/>
              <w:left w:val="nil"/>
              <w:bottom w:val="nil"/>
              <w:right w:val="nil"/>
            </w:tcBorders>
            <w:shd w:val="clear" w:color="auto" w:fill="auto"/>
            <w:noWrap/>
            <w:vAlign w:val="bottom"/>
          </w:tcPr>
          <w:p w14:paraId="1681C10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AD5F17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Discharged from hospital</w:t>
            </w:r>
          </w:p>
        </w:tc>
        <w:tc>
          <w:tcPr>
            <w:tcW w:w="1423" w:type="dxa"/>
            <w:tcBorders>
              <w:top w:val="nil"/>
              <w:left w:val="nil"/>
              <w:bottom w:val="nil"/>
              <w:right w:val="nil"/>
            </w:tcBorders>
            <w:shd w:val="clear" w:color="auto" w:fill="auto"/>
            <w:noWrap/>
            <w:vAlign w:val="bottom"/>
            <w:hideMark/>
          </w:tcPr>
          <w:p w14:paraId="4C9C7117"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0723C820" w14:textId="77777777" w:rsidTr="006C68C4">
        <w:trPr>
          <w:trHeight w:val="290"/>
        </w:trPr>
        <w:tc>
          <w:tcPr>
            <w:tcW w:w="1984" w:type="dxa"/>
            <w:tcBorders>
              <w:top w:val="nil"/>
              <w:left w:val="nil"/>
              <w:bottom w:val="nil"/>
              <w:right w:val="nil"/>
            </w:tcBorders>
            <w:shd w:val="clear" w:color="auto" w:fill="auto"/>
            <w:noWrap/>
            <w:vAlign w:val="bottom"/>
          </w:tcPr>
          <w:p w14:paraId="4EF1773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076C2A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Transferred from hospital</w:t>
            </w:r>
          </w:p>
        </w:tc>
        <w:tc>
          <w:tcPr>
            <w:tcW w:w="1423" w:type="dxa"/>
            <w:tcBorders>
              <w:top w:val="nil"/>
              <w:left w:val="nil"/>
              <w:bottom w:val="nil"/>
              <w:right w:val="nil"/>
            </w:tcBorders>
            <w:shd w:val="clear" w:color="auto" w:fill="auto"/>
            <w:noWrap/>
            <w:vAlign w:val="bottom"/>
            <w:hideMark/>
          </w:tcPr>
          <w:p w14:paraId="07168CC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21EAAC95" w14:textId="77777777" w:rsidTr="006C68C4">
        <w:trPr>
          <w:trHeight w:val="290"/>
        </w:trPr>
        <w:tc>
          <w:tcPr>
            <w:tcW w:w="1984" w:type="dxa"/>
            <w:tcBorders>
              <w:top w:val="nil"/>
              <w:left w:val="nil"/>
              <w:bottom w:val="nil"/>
              <w:right w:val="nil"/>
            </w:tcBorders>
            <w:shd w:val="clear" w:color="auto" w:fill="auto"/>
            <w:noWrap/>
            <w:vAlign w:val="bottom"/>
          </w:tcPr>
          <w:p w14:paraId="02C1239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67EC83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Casualty self-referral</w:t>
            </w:r>
          </w:p>
        </w:tc>
        <w:tc>
          <w:tcPr>
            <w:tcW w:w="1423" w:type="dxa"/>
            <w:tcBorders>
              <w:top w:val="nil"/>
              <w:left w:val="nil"/>
              <w:bottom w:val="nil"/>
              <w:right w:val="nil"/>
            </w:tcBorders>
            <w:shd w:val="clear" w:color="auto" w:fill="auto"/>
            <w:noWrap/>
            <w:vAlign w:val="bottom"/>
            <w:hideMark/>
          </w:tcPr>
          <w:p w14:paraId="08D3016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10DAEF70" w14:textId="77777777" w:rsidTr="006C68C4">
        <w:trPr>
          <w:trHeight w:val="290"/>
        </w:trPr>
        <w:tc>
          <w:tcPr>
            <w:tcW w:w="1984" w:type="dxa"/>
            <w:tcBorders>
              <w:top w:val="nil"/>
              <w:left w:val="nil"/>
              <w:bottom w:val="nil"/>
              <w:right w:val="nil"/>
            </w:tcBorders>
            <w:shd w:val="clear" w:color="auto" w:fill="auto"/>
            <w:noWrap/>
            <w:vAlign w:val="bottom"/>
          </w:tcPr>
          <w:p w14:paraId="42EB9EE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43AF3E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Admission to hospital</w:t>
            </w:r>
          </w:p>
        </w:tc>
        <w:tc>
          <w:tcPr>
            <w:tcW w:w="1423" w:type="dxa"/>
            <w:tcBorders>
              <w:top w:val="nil"/>
              <w:left w:val="nil"/>
              <w:bottom w:val="nil"/>
              <w:right w:val="nil"/>
            </w:tcBorders>
            <w:shd w:val="clear" w:color="auto" w:fill="auto"/>
            <w:noWrap/>
            <w:vAlign w:val="bottom"/>
            <w:hideMark/>
          </w:tcPr>
          <w:p w14:paraId="44ABE0C6"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5FA8AE21" w14:textId="77777777" w:rsidTr="006C68C4">
        <w:trPr>
          <w:trHeight w:val="290"/>
        </w:trPr>
        <w:tc>
          <w:tcPr>
            <w:tcW w:w="1984" w:type="dxa"/>
            <w:tcBorders>
              <w:top w:val="nil"/>
              <w:left w:val="nil"/>
              <w:bottom w:val="nil"/>
              <w:right w:val="nil"/>
            </w:tcBorders>
            <w:shd w:val="clear" w:color="auto" w:fill="auto"/>
            <w:noWrap/>
            <w:vAlign w:val="bottom"/>
          </w:tcPr>
          <w:p w14:paraId="3A20578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5CBC17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Medical report received from hospital</w:t>
            </w:r>
          </w:p>
        </w:tc>
        <w:tc>
          <w:tcPr>
            <w:tcW w:w="1423" w:type="dxa"/>
            <w:tcBorders>
              <w:top w:val="nil"/>
              <w:left w:val="nil"/>
              <w:bottom w:val="nil"/>
              <w:right w:val="nil"/>
            </w:tcBorders>
            <w:shd w:val="clear" w:color="auto" w:fill="auto"/>
            <w:noWrap/>
            <w:vAlign w:val="bottom"/>
            <w:hideMark/>
          </w:tcPr>
          <w:p w14:paraId="74C90A9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3CE0493D" w14:textId="77777777" w:rsidTr="006C68C4">
        <w:trPr>
          <w:trHeight w:val="290"/>
        </w:trPr>
        <w:tc>
          <w:tcPr>
            <w:tcW w:w="1984" w:type="dxa"/>
            <w:tcBorders>
              <w:top w:val="nil"/>
              <w:left w:val="nil"/>
              <w:bottom w:val="nil"/>
              <w:right w:val="nil"/>
            </w:tcBorders>
            <w:shd w:val="clear" w:color="auto" w:fill="auto"/>
            <w:noWrap/>
            <w:vAlign w:val="bottom"/>
          </w:tcPr>
          <w:p w14:paraId="652D0F5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CB15C6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Seen in emergency clinic</w:t>
            </w:r>
          </w:p>
        </w:tc>
        <w:tc>
          <w:tcPr>
            <w:tcW w:w="1423" w:type="dxa"/>
            <w:tcBorders>
              <w:top w:val="nil"/>
              <w:left w:val="nil"/>
              <w:bottom w:val="nil"/>
              <w:right w:val="nil"/>
            </w:tcBorders>
            <w:shd w:val="clear" w:color="auto" w:fill="auto"/>
            <w:noWrap/>
            <w:vAlign w:val="bottom"/>
            <w:hideMark/>
          </w:tcPr>
          <w:p w14:paraId="0B32F4A6"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66.93048832</w:t>
            </w:r>
          </w:p>
        </w:tc>
      </w:tr>
      <w:tr w:rsidR="002A0F5D" w:rsidRPr="006C68C4" w14:paraId="2F3755F5" w14:textId="77777777" w:rsidTr="006C68C4">
        <w:trPr>
          <w:trHeight w:val="290"/>
        </w:trPr>
        <w:tc>
          <w:tcPr>
            <w:tcW w:w="1984" w:type="dxa"/>
            <w:tcBorders>
              <w:top w:val="nil"/>
              <w:left w:val="nil"/>
              <w:bottom w:val="nil"/>
              <w:right w:val="nil"/>
            </w:tcBorders>
            <w:shd w:val="clear" w:color="auto" w:fill="auto"/>
            <w:noWrap/>
            <w:vAlign w:val="bottom"/>
          </w:tcPr>
          <w:p w14:paraId="0366873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F5D616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Seen in hospital casualty</w:t>
            </w:r>
          </w:p>
        </w:tc>
        <w:tc>
          <w:tcPr>
            <w:tcW w:w="1423" w:type="dxa"/>
            <w:tcBorders>
              <w:top w:val="nil"/>
              <w:left w:val="nil"/>
              <w:bottom w:val="nil"/>
              <w:right w:val="nil"/>
            </w:tcBorders>
            <w:shd w:val="clear" w:color="auto" w:fill="auto"/>
            <w:noWrap/>
            <w:vAlign w:val="bottom"/>
            <w:hideMark/>
          </w:tcPr>
          <w:p w14:paraId="0C6F91C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2F397FD8" w14:textId="77777777" w:rsidTr="006C68C4">
        <w:trPr>
          <w:trHeight w:val="290"/>
        </w:trPr>
        <w:tc>
          <w:tcPr>
            <w:tcW w:w="1984" w:type="dxa"/>
            <w:tcBorders>
              <w:top w:val="nil"/>
              <w:left w:val="nil"/>
              <w:bottom w:val="nil"/>
              <w:right w:val="nil"/>
            </w:tcBorders>
            <w:shd w:val="clear" w:color="auto" w:fill="auto"/>
            <w:noWrap/>
            <w:vAlign w:val="bottom"/>
          </w:tcPr>
          <w:p w14:paraId="78E95E5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BD5DEC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Seen in hospital ward</w:t>
            </w:r>
          </w:p>
        </w:tc>
        <w:tc>
          <w:tcPr>
            <w:tcW w:w="1423" w:type="dxa"/>
            <w:tcBorders>
              <w:top w:val="nil"/>
              <w:left w:val="nil"/>
              <w:bottom w:val="nil"/>
              <w:right w:val="nil"/>
            </w:tcBorders>
            <w:shd w:val="clear" w:color="auto" w:fill="auto"/>
            <w:noWrap/>
            <w:vAlign w:val="bottom"/>
            <w:hideMark/>
          </w:tcPr>
          <w:p w14:paraId="46CFDC0C"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1336.157147</w:t>
            </w:r>
          </w:p>
        </w:tc>
      </w:tr>
      <w:tr w:rsidR="002A0F5D" w:rsidRPr="006C68C4" w14:paraId="28191202" w14:textId="77777777" w:rsidTr="006C68C4">
        <w:trPr>
          <w:trHeight w:val="290"/>
        </w:trPr>
        <w:tc>
          <w:tcPr>
            <w:tcW w:w="1984" w:type="dxa"/>
            <w:tcBorders>
              <w:top w:val="nil"/>
              <w:left w:val="nil"/>
              <w:bottom w:val="nil"/>
              <w:right w:val="nil"/>
            </w:tcBorders>
            <w:shd w:val="clear" w:color="auto" w:fill="auto"/>
            <w:noWrap/>
            <w:vAlign w:val="bottom"/>
          </w:tcPr>
          <w:p w14:paraId="4BEA3FE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4A1A6B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Seen in emergency clinic</w:t>
            </w:r>
          </w:p>
        </w:tc>
        <w:tc>
          <w:tcPr>
            <w:tcW w:w="1423" w:type="dxa"/>
            <w:tcBorders>
              <w:top w:val="nil"/>
              <w:left w:val="nil"/>
              <w:bottom w:val="nil"/>
              <w:right w:val="nil"/>
            </w:tcBorders>
            <w:shd w:val="clear" w:color="auto" w:fill="auto"/>
            <w:noWrap/>
            <w:vAlign w:val="bottom"/>
            <w:hideMark/>
          </w:tcPr>
          <w:p w14:paraId="78852CE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66.93048832</w:t>
            </w:r>
          </w:p>
        </w:tc>
      </w:tr>
      <w:tr w:rsidR="002A0F5D" w:rsidRPr="006C68C4" w14:paraId="6E5AF99A" w14:textId="77777777" w:rsidTr="006C68C4">
        <w:trPr>
          <w:trHeight w:val="290"/>
        </w:trPr>
        <w:tc>
          <w:tcPr>
            <w:tcW w:w="1984" w:type="dxa"/>
            <w:tcBorders>
              <w:top w:val="nil"/>
              <w:left w:val="nil"/>
              <w:bottom w:val="nil"/>
              <w:right w:val="nil"/>
            </w:tcBorders>
            <w:shd w:val="clear" w:color="auto" w:fill="auto"/>
            <w:noWrap/>
            <w:vAlign w:val="bottom"/>
          </w:tcPr>
          <w:p w14:paraId="64D49A1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B28232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Hospital outpatient report</w:t>
            </w:r>
          </w:p>
        </w:tc>
        <w:tc>
          <w:tcPr>
            <w:tcW w:w="1423" w:type="dxa"/>
            <w:tcBorders>
              <w:top w:val="nil"/>
              <w:left w:val="nil"/>
              <w:bottom w:val="nil"/>
              <w:right w:val="nil"/>
            </w:tcBorders>
            <w:shd w:val="clear" w:color="auto" w:fill="auto"/>
            <w:noWrap/>
            <w:vAlign w:val="bottom"/>
            <w:hideMark/>
          </w:tcPr>
          <w:p w14:paraId="5DD9248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3B472D43" w14:textId="77777777" w:rsidTr="006C68C4">
        <w:trPr>
          <w:trHeight w:val="290"/>
        </w:trPr>
        <w:tc>
          <w:tcPr>
            <w:tcW w:w="1984" w:type="dxa"/>
            <w:tcBorders>
              <w:top w:val="nil"/>
              <w:left w:val="nil"/>
              <w:bottom w:val="nil"/>
              <w:right w:val="nil"/>
            </w:tcBorders>
            <w:shd w:val="clear" w:color="auto" w:fill="auto"/>
            <w:noWrap/>
            <w:vAlign w:val="bottom"/>
          </w:tcPr>
          <w:p w14:paraId="3326696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3A57F6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Discharge from hospital</w:t>
            </w:r>
          </w:p>
        </w:tc>
        <w:tc>
          <w:tcPr>
            <w:tcW w:w="1423" w:type="dxa"/>
            <w:tcBorders>
              <w:top w:val="nil"/>
              <w:left w:val="nil"/>
              <w:bottom w:val="nil"/>
              <w:right w:val="nil"/>
            </w:tcBorders>
            <w:shd w:val="clear" w:color="auto" w:fill="auto"/>
            <w:noWrap/>
            <w:vAlign w:val="bottom"/>
            <w:hideMark/>
          </w:tcPr>
          <w:p w14:paraId="5F14C7F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2055.391156</w:t>
            </w:r>
          </w:p>
        </w:tc>
      </w:tr>
      <w:tr w:rsidR="002A0F5D" w:rsidRPr="006C68C4" w14:paraId="428A806F" w14:textId="77777777" w:rsidTr="006C68C4">
        <w:trPr>
          <w:trHeight w:val="290"/>
        </w:trPr>
        <w:tc>
          <w:tcPr>
            <w:tcW w:w="1984" w:type="dxa"/>
            <w:tcBorders>
              <w:top w:val="nil"/>
              <w:left w:val="nil"/>
              <w:bottom w:val="nil"/>
              <w:right w:val="nil"/>
            </w:tcBorders>
            <w:shd w:val="clear" w:color="auto" w:fill="auto"/>
            <w:noWrap/>
            <w:vAlign w:val="bottom"/>
            <w:hideMark/>
          </w:tcPr>
          <w:p w14:paraId="34A02C7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Complementary therapy</w:t>
            </w:r>
          </w:p>
        </w:tc>
        <w:tc>
          <w:tcPr>
            <w:tcW w:w="5388" w:type="dxa"/>
            <w:tcBorders>
              <w:top w:val="nil"/>
              <w:left w:val="nil"/>
              <w:bottom w:val="nil"/>
              <w:right w:val="nil"/>
            </w:tcBorders>
            <w:shd w:val="clear" w:color="auto" w:fill="auto"/>
            <w:noWrap/>
            <w:vAlign w:val="bottom"/>
            <w:hideMark/>
          </w:tcPr>
          <w:p w14:paraId="7FD6DC3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Nutrition</w:t>
            </w:r>
          </w:p>
        </w:tc>
        <w:tc>
          <w:tcPr>
            <w:tcW w:w="1423" w:type="dxa"/>
            <w:tcBorders>
              <w:top w:val="nil"/>
              <w:left w:val="nil"/>
              <w:bottom w:val="nil"/>
              <w:right w:val="nil"/>
            </w:tcBorders>
            <w:shd w:val="clear" w:color="auto" w:fill="auto"/>
            <w:noWrap/>
            <w:vAlign w:val="bottom"/>
            <w:hideMark/>
          </w:tcPr>
          <w:p w14:paraId="70CB4E5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77.41433199</w:t>
            </w:r>
          </w:p>
        </w:tc>
      </w:tr>
      <w:tr w:rsidR="002A0F5D" w:rsidRPr="006C68C4" w14:paraId="40DCC145" w14:textId="77777777" w:rsidTr="006C68C4">
        <w:trPr>
          <w:trHeight w:val="290"/>
        </w:trPr>
        <w:tc>
          <w:tcPr>
            <w:tcW w:w="1984" w:type="dxa"/>
            <w:tcBorders>
              <w:top w:val="nil"/>
              <w:left w:val="nil"/>
              <w:bottom w:val="nil"/>
              <w:right w:val="nil"/>
            </w:tcBorders>
            <w:shd w:val="clear" w:color="auto" w:fill="auto"/>
            <w:noWrap/>
            <w:vAlign w:val="bottom"/>
          </w:tcPr>
          <w:p w14:paraId="566DE7C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161CC1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Dietary advice</w:t>
            </w:r>
          </w:p>
        </w:tc>
        <w:tc>
          <w:tcPr>
            <w:tcW w:w="1423" w:type="dxa"/>
            <w:tcBorders>
              <w:top w:val="nil"/>
              <w:left w:val="nil"/>
              <w:bottom w:val="nil"/>
              <w:right w:val="nil"/>
            </w:tcBorders>
            <w:shd w:val="clear" w:color="auto" w:fill="auto"/>
            <w:noWrap/>
            <w:vAlign w:val="bottom"/>
            <w:hideMark/>
          </w:tcPr>
          <w:p w14:paraId="2FE00997"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77.41433199</w:t>
            </w:r>
          </w:p>
        </w:tc>
      </w:tr>
      <w:tr w:rsidR="002A0F5D" w:rsidRPr="006C68C4" w14:paraId="7024D781" w14:textId="77777777" w:rsidTr="006C68C4">
        <w:trPr>
          <w:trHeight w:val="290"/>
        </w:trPr>
        <w:tc>
          <w:tcPr>
            <w:tcW w:w="1984" w:type="dxa"/>
            <w:tcBorders>
              <w:top w:val="nil"/>
              <w:left w:val="nil"/>
              <w:bottom w:val="nil"/>
              <w:right w:val="nil"/>
            </w:tcBorders>
            <w:shd w:val="clear" w:color="auto" w:fill="auto"/>
            <w:noWrap/>
            <w:vAlign w:val="bottom"/>
          </w:tcPr>
          <w:p w14:paraId="6FEF3E9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842295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Folic acid supplementation</w:t>
            </w:r>
          </w:p>
        </w:tc>
        <w:tc>
          <w:tcPr>
            <w:tcW w:w="1423" w:type="dxa"/>
            <w:tcBorders>
              <w:top w:val="nil"/>
              <w:left w:val="nil"/>
              <w:bottom w:val="nil"/>
              <w:right w:val="nil"/>
            </w:tcBorders>
            <w:shd w:val="clear" w:color="auto" w:fill="auto"/>
            <w:noWrap/>
            <w:vAlign w:val="bottom"/>
            <w:hideMark/>
          </w:tcPr>
          <w:p w14:paraId="2D389E7C"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77.41433199</w:t>
            </w:r>
          </w:p>
        </w:tc>
      </w:tr>
      <w:tr w:rsidR="002A0F5D" w:rsidRPr="006C68C4" w14:paraId="2C314CD4" w14:textId="77777777" w:rsidTr="006C68C4">
        <w:trPr>
          <w:trHeight w:val="290"/>
        </w:trPr>
        <w:tc>
          <w:tcPr>
            <w:tcW w:w="1984" w:type="dxa"/>
            <w:tcBorders>
              <w:top w:val="nil"/>
              <w:left w:val="nil"/>
              <w:bottom w:val="nil"/>
              <w:right w:val="nil"/>
            </w:tcBorders>
            <w:shd w:val="clear" w:color="auto" w:fill="auto"/>
            <w:noWrap/>
            <w:vAlign w:val="bottom"/>
          </w:tcPr>
          <w:p w14:paraId="506C759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BE8C45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Folate supplementation</w:t>
            </w:r>
          </w:p>
        </w:tc>
        <w:tc>
          <w:tcPr>
            <w:tcW w:w="1423" w:type="dxa"/>
            <w:tcBorders>
              <w:top w:val="nil"/>
              <w:left w:val="nil"/>
              <w:bottom w:val="nil"/>
              <w:right w:val="nil"/>
            </w:tcBorders>
            <w:shd w:val="clear" w:color="auto" w:fill="auto"/>
            <w:noWrap/>
            <w:vAlign w:val="bottom"/>
            <w:hideMark/>
          </w:tcPr>
          <w:p w14:paraId="5BC1930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77.41433199</w:t>
            </w:r>
          </w:p>
        </w:tc>
      </w:tr>
      <w:tr w:rsidR="002A0F5D" w:rsidRPr="006C68C4" w14:paraId="588A3A22" w14:textId="77777777" w:rsidTr="006C68C4">
        <w:trPr>
          <w:trHeight w:val="290"/>
        </w:trPr>
        <w:tc>
          <w:tcPr>
            <w:tcW w:w="1984" w:type="dxa"/>
            <w:tcBorders>
              <w:top w:val="nil"/>
              <w:left w:val="nil"/>
              <w:bottom w:val="nil"/>
              <w:right w:val="nil"/>
            </w:tcBorders>
            <w:shd w:val="clear" w:color="auto" w:fill="auto"/>
            <w:noWrap/>
            <w:vAlign w:val="bottom"/>
          </w:tcPr>
          <w:p w14:paraId="7A5D351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4CA5F3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Referral to dietitian</w:t>
            </w:r>
          </w:p>
        </w:tc>
        <w:tc>
          <w:tcPr>
            <w:tcW w:w="1423" w:type="dxa"/>
            <w:tcBorders>
              <w:top w:val="nil"/>
              <w:left w:val="nil"/>
              <w:bottom w:val="nil"/>
              <w:right w:val="nil"/>
            </w:tcBorders>
            <w:shd w:val="clear" w:color="auto" w:fill="auto"/>
            <w:noWrap/>
            <w:vAlign w:val="bottom"/>
            <w:hideMark/>
          </w:tcPr>
          <w:p w14:paraId="42B2985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77.41433199</w:t>
            </w:r>
          </w:p>
        </w:tc>
      </w:tr>
      <w:tr w:rsidR="002A0F5D" w:rsidRPr="006C68C4" w14:paraId="5DEED646" w14:textId="77777777" w:rsidTr="006C68C4">
        <w:trPr>
          <w:trHeight w:val="290"/>
        </w:trPr>
        <w:tc>
          <w:tcPr>
            <w:tcW w:w="1984" w:type="dxa"/>
            <w:tcBorders>
              <w:top w:val="nil"/>
              <w:left w:val="nil"/>
              <w:bottom w:val="nil"/>
              <w:right w:val="nil"/>
            </w:tcBorders>
            <w:shd w:val="clear" w:color="auto" w:fill="auto"/>
            <w:noWrap/>
            <w:vAlign w:val="bottom"/>
          </w:tcPr>
          <w:p w14:paraId="49E51AF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548762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Refer to dietician</w:t>
            </w:r>
          </w:p>
        </w:tc>
        <w:tc>
          <w:tcPr>
            <w:tcW w:w="1423" w:type="dxa"/>
            <w:tcBorders>
              <w:top w:val="nil"/>
              <w:left w:val="nil"/>
              <w:bottom w:val="nil"/>
              <w:right w:val="nil"/>
            </w:tcBorders>
            <w:shd w:val="clear" w:color="auto" w:fill="auto"/>
            <w:noWrap/>
            <w:vAlign w:val="bottom"/>
            <w:hideMark/>
          </w:tcPr>
          <w:p w14:paraId="77E9C31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77.41433199</w:t>
            </w:r>
          </w:p>
        </w:tc>
      </w:tr>
      <w:tr w:rsidR="002A0F5D" w:rsidRPr="006C68C4" w14:paraId="340F249F" w14:textId="77777777" w:rsidTr="006C68C4">
        <w:trPr>
          <w:trHeight w:val="290"/>
        </w:trPr>
        <w:tc>
          <w:tcPr>
            <w:tcW w:w="1984" w:type="dxa"/>
            <w:tcBorders>
              <w:top w:val="nil"/>
              <w:left w:val="nil"/>
              <w:bottom w:val="nil"/>
              <w:right w:val="nil"/>
            </w:tcBorders>
            <w:shd w:val="clear" w:color="auto" w:fill="auto"/>
            <w:noWrap/>
            <w:vAlign w:val="bottom"/>
          </w:tcPr>
          <w:p w14:paraId="2E9F11D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77B8FB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Discharge by dietitian</w:t>
            </w:r>
          </w:p>
        </w:tc>
        <w:tc>
          <w:tcPr>
            <w:tcW w:w="1423" w:type="dxa"/>
            <w:tcBorders>
              <w:top w:val="nil"/>
              <w:left w:val="nil"/>
              <w:bottom w:val="nil"/>
              <w:right w:val="nil"/>
            </w:tcBorders>
            <w:shd w:val="clear" w:color="auto" w:fill="auto"/>
            <w:noWrap/>
            <w:vAlign w:val="bottom"/>
            <w:hideMark/>
          </w:tcPr>
          <w:p w14:paraId="4A442A14"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77.41433199</w:t>
            </w:r>
          </w:p>
        </w:tc>
      </w:tr>
      <w:tr w:rsidR="002A0F5D" w:rsidRPr="006C68C4" w14:paraId="773C249A" w14:textId="77777777" w:rsidTr="006C68C4">
        <w:trPr>
          <w:trHeight w:val="290"/>
        </w:trPr>
        <w:tc>
          <w:tcPr>
            <w:tcW w:w="1984" w:type="dxa"/>
            <w:tcBorders>
              <w:top w:val="nil"/>
              <w:left w:val="nil"/>
              <w:bottom w:val="nil"/>
              <w:right w:val="nil"/>
            </w:tcBorders>
            <w:shd w:val="clear" w:color="auto" w:fill="auto"/>
            <w:noWrap/>
            <w:vAlign w:val="bottom"/>
            <w:hideMark/>
          </w:tcPr>
          <w:p w14:paraId="43FCBC0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Test</w:t>
            </w:r>
          </w:p>
        </w:tc>
        <w:tc>
          <w:tcPr>
            <w:tcW w:w="5388" w:type="dxa"/>
            <w:tcBorders>
              <w:top w:val="nil"/>
              <w:left w:val="nil"/>
              <w:bottom w:val="nil"/>
              <w:right w:val="nil"/>
            </w:tcBorders>
            <w:shd w:val="clear" w:color="auto" w:fill="auto"/>
            <w:noWrap/>
            <w:vAlign w:val="bottom"/>
            <w:hideMark/>
          </w:tcPr>
          <w:p w14:paraId="51C74C3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Airway Reversibility</w:t>
            </w:r>
          </w:p>
        </w:tc>
        <w:tc>
          <w:tcPr>
            <w:tcW w:w="1423" w:type="dxa"/>
            <w:tcBorders>
              <w:top w:val="nil"/>
              <w:left w:val="nil"/>
              <w:bottom w:val="nil"/>
              <w:right w:val="nil"/>
            </w:tcBorders>
            <w:shd w:val="clear" w:color="auto" w:fill="auto"/>
            <w:noWrap/>
            <w:vAlign w:val="bottom"/>
            <w:hideMark/>
          </w:tcPr>
          <w:p w14:paraId="65C2A4E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92.36837655</w:t>
            </w:r>
          </w:p>
        </w:tc>
      </w:tr>
      <w:tr w:rsidR="002A0F5D" w:rsidRPr="006C68C4" w14:paraId="2029029F" w14:textId="77777777" w:rsidTr="006C68C4">
        <w:trPr>
          <w:trHeight w:val="290"/>
        </w:trPr>
        <w:tc>
          <w:tcPr>
            <w:tcW w:w="1984" w:type="dxa"/>
            <w:tcBorders>
              <w:top w:val="nil"/>
              <w:left w:val="nil"/>
              <w:bottom w:val="nil"/>
              <w:right w:val="nil"/>
            </w:tcBorders>
            <w:shd w:val="clear" w:color="auto" w:fill="auto"/>
            <w:noWrap/>
            <w:vAlign w:val="bottom"/>
          </w:tcPr>
          <w:p w14:paraId="5955121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FA4F19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Alanine Aminotransferase</w:t>
            </w:r>
          </w:p>
        </w:tc>
        <w:tc>
          <w:tcPr>
            <w:tcW w:w="1423" w:type="dxa"/>
            <w:tcBorders>
              <w:top w:val="nil"/>
              <w:left w:val="nil"/>
              <w:bottom w:val="nil"/>
              <w:right w:val="nil"/>
            </w:tcBorders>
            <w:shd w:val="clear" w:color="auto" w:fill="auto"/>
            <w:noWrap/>
            <w:vAlign w:val="bottom"/>
            <w:hideMark/>
          </w:tcPr>
          <w:p w14:paraId="65D464B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5645B48" w14:textId="77777777" w:rsidTr="006C68C4">
        <w:trPr>
          <w:trHeight w:val="290"/>
        </w:trPr>
        <w:tc>
          <w:tcPr>
            <w:tcW w:w="1984" w:type="dxa"/>
            <w:tcBorders>
              <w:top w:val="nil"/>
              <w:left w:val="nil"/>
              <w:bottom w:val="nil"/>
              <w:right w:val="nil"/>
            </w:tcBorders>
            <w:shd w:val="clear" w:color="auto" w:fill="auto"/>
            <w:noWrap/>
            <w:vAlign w:val="bottom"/>
          </w:tcPr>
          <w:p w14:paraId="6056597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BB2090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Albumin</w:t>
            </w:r>
          </w:p>
        </w:tc>
        <w:tc>
          <w:tcPr>
            <w:tcW w:w="1423" w:type="dxa"/>
            <w:tcBorders>
              <w:top w:val="nil"/>
              <w:left w:val="nil"/>
              <w:bottom w:val="nil"/>
              <w:right w:val="nil"/>
            </w:tcBorders>
            <w:shd w:val="clear" w:color="auto" w:fill="auto"/>
            <w:noWrap/>
            <w:vAlign w:val="bottom"/>
            <w:hideMark/>
          </w:tcPr>
          <w:p w14:paraId="28126974"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776C8892" w14:textId="77777777" w:rsidTr="006C68C4">
        <w:trPr>
          <w:trHeight w:val="290"/>
        </w:trPr>
        <w:tc>
          <w:tcPr>
            <w:tcW w:w="1984" w:type="dxa"/>
            <w:tcBorders>
              <w:top w:val="nil"/>
              <w:left w:val="nil"/>
              <w:bottom w:val="nil"/>
              <w:right w:val="nil"/>
            </w:tcBorders>
            <w:shd w:val="clear" w:color="auto" w:fill="auto"/>
            <w:noWrap/>
            <w:vAlign w:val="bottom"/>
          </w:tcPr>
          <w:p w14:paraId="560ED8A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29B914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Albumin Creatinine Ratio</w:t>
            </w:r>
          </w:p>
        </w:tc>
        <w:tc>
          <w:tcPr>
            <w:tcW w:w="1423" w:type="dxa"/>
            <w:tcBorders>
              <w:top w:val="nil"/>
              <w:left w:val="nil"/>
              <w:bottom w:val="nil"/>
              <w:right w:val="nil"/>
            </w:tcBorders>
            <w:shd w:val="clear" w:color="auto" w:fill="auto"/>
            <w:noWrap/>
            <w:vAlign w:val="bottom"/>
            <w:hideMark/>
          </w:tcPr>
          <w:p w14:paraId="75206917"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36410BE4" w14:textId="77777777" w:rsidTr="006C68C4">
        <w:trPr>
          <w:trHeight w:val="290"/>
        </w:trPr>
        <w:tc>
          <w:tcPr>
            <w:tcW w:w="1984" w:type="dxa"/>
            <w:tcBorders>
              <w:top w:val="nil"/>
              <w:left w:val="nil"/>
              <w:bottom w:val="nil"/>
              <w:right w:val="nil"/>
            </w:tcBorders>
            <w:shd w:val="clear" w:color="auto" w:fill="auto"/>
            <w:noWrap/>
            <w:vAlign w:val="bottom"/>
          </w:tcPr>
          <w:p w14:paraId="19C0349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DAD44F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Alcohol test</w:t>
            </w:r>
          </w:p>
        </w:tc>
        <w:tc>
          <w:tcPr>
            <w:tcW w:w="1423" w:type="dxa"/>
            <w:tcBorders>
              <w:top w:val="nil"/>
              <w:left w:val="nil"/>
              <w:bottom w:val="nil"/>
              <w:right w:val="nil"/>
            </w:tcBorders>
            <w:shd w:val="clear" w:color="auto" w:fill="auto"/>
            <w:noWrap/>
            <w:vAlign w:val="bottom"/>
            <w:hideMark/>
          </w:tcPr>
          <w:p w14:paraId="7B3B8A9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3.34936947</w:t>
            </w:r>
          </w:p>
        </w:tc>
      </w:tr>
      <w:tr w:rsidR="002A0F5D" w:rsidRPr="006C68C4" w14:paraId="7912618C" w14:textId="77777777" w:rsidTr="006C68C4">
        <w:trPr>
          <w:trHeight w:val="290"/>
        </w:trPr>
        <w:tc>
          <w:tcPr>
            <w:tcW w:w="1984" w:type="dxa"/>
            <w:tcBorders>
              <w:top w:val="nil"/>
              <w:left w:val="nil"/>
              <w:bottom w:val="nil"/>
              <w:right w:val="nil"/>
            </w:tcBorders>
            <w:shd w:val="clear" w:color="auto" w:fill="auto"/>
            <w:noWrap/>
            <w:vAlign w:val="bottom"/>
          </w:tcPr>
          <w:p w14:paraId="7871EA7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53DB43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Alkaline Phosphatase</w:t>
            </w:r>
          </w:p>
        </w:tc>
        <w:tc>
          <w:tcPr>
            <w:tcW w:w="1423" w:type="dxa"/>
            <w:tcBorders>
              <w:top w:val="nil"/>
              <w:left w:val="nil"/>
              <w:bottom w:val="nil"/>
              <w:right w:val="nil"/>
            </w:tcBorders>
            <w:shd w:val="clear" w:color="auto" w:fill="auto"/>
            <w:noWrap/>
            <w:vAlign w:val="bottom"/>
            <w:hideMark/>
          </w:tcPr>
          <w:p w14:paraId="6B38B20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2404D962" w14:textId="77777777" w:rsidTr="006C68C4">
        <w:trPr>
          <w:trHeight w:val="290"/>
        </w:trPr>
        <w:tc>
          <w:tcPr>
            <w:tcW w:w="1984" w:type="dxa"/>
            <w:tcBorders>
              <w:top w:val="nil"/>
              <w:left w:val="nil"/>
              <w:bottom w:val="nil"/>
              <w:right w:val="nil"/>
            </w:tcBorders>
            <w:shd w:val="clear" w:color="auto" w:fill="auto"/>
            <w:noWrap/>
            <w:vAlign w:val="bottom"/>
          </w:tcPr>
          <w:p w14:paraId="5135424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33B7DF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Alpha fetoprotein</w:t>
            </w:r>
          </w:p>
        </w:tc>
        <w:tc>
          <w:tcPr>
            <w:tcW w:w="1423" w:type="dxa"/>
            <w:tcBorders>
              <w:top w:val="nil"/>
              <w:left w:val="nil"/>
              <w:bottom w:val="nil"/>
              <w:right w:val="nil"/>
            </w:tcBorders>
            <w:shd w:val="clear" w:color="auto" w:fill="auto"/>
            <w:noWrap/>
            <w:vAlign w:val="bottom"/>
            <w:hideMark/>
          </w:tcPr>
          <w:p w14:paraId="1C5C827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78782AA" w14:textId="77777777" w:rsidTr="006C68C4">
        <w:trPr>
          <w:trHeight w:val="290"/>
        </w:trPr>
        <w:tc>
          <w:tcPr>
            <w:tcW w:w="1984" w:type="dxa"/>
            <w:tcBorders>
              <w:top w:val="nil"/>
              <w:left w:val="nil"/>
              <w:bottom w:val="nil"/>
              <w:right w:val="nil"/>
            </w:tcBorders>
            <w:shd w:val="clear" w:color="auto" w:fill="auto"/>
            <w:noWrap/>
            <w:vAlign w:val="bottom"/>
          </w:tcPr>
          <w:p w14:paraId="6914552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C1376C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Amylase</w:t>
            </w:r>
          </w:p>
        </w:tc>
        <w:tc>
          <w:tcPr>
            <w:tcW w:w="1423" w:type="dxa"/>
            <w:tcBorders>
              <w:top w:val="nil"/>
              <w:left w:val="nil"/>
              <w:bottom w:val="nil"/>
              <w:right w:val="nil"/>
            </w:tcBorders>
            <w:shd w:val="clear" w:color="auto" w:fill="auto"/>
            <w:noWrap/>
            <w:vAlign w:val="bottom"/>
            <w:hideMark/>
          </w:tcPr>
          <w:p w14:paraId="21BFD628"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37A90949" w14:textId="77777777" w:rsidTr="006C68C4">
        <w:trPr>
          <w:trHeight w:val="290"/>
        </w:trPr>
        <w:tc>
          <w:tcPr>
            <w:tcW w:w="1984" w:type="dxa"/>
            <w:tcBorders>
              <w:top w:val="nil"/>
              <w:left w:val="nil"/>
              <w:bottom w:val="nil"/>
              <w:right w:val="nil"/>
            </w:tcBorders>
            <w:shd w:val="clear" w:color="auto" w:fill="auto"/>
            <w:noWrap/>
            <w:vAlign w:val="bottom"/>
          </w:tcPr>
          <w:p w14:paraId="04AC8E3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AD7F73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Aspartate Aminotransferase</w:t>
            </w:r>
          </w:p>
        </w:tc>
        <w:tc>
          <w:tcPr>
            <w:tcW w:w="1423" w:type="dxa"/>
            <w:tcBorders>
              <w:top w:val="nil"/>
              <w:left w:val="nil"/>
              <w:bottom w:val="nil"/>
              <w:right w:val="nil"/>
            </w:tcBorders>
            <w:shd w:val="clear" w:color="auto" w:fill="auto"/>
            <w:noWrap/>
            <w:vAlign w:val="bottom"/>
            <w:hideMark/>
          </w:tcPr>
          <w:p w14:paraId="7A33FE2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2BB490EA" w14:textId="77777777" w:rsidTr="006C68C4">
        <w:trPr>
          <w:trHeight w:val="290"/>
        </w:trPr>
        <w:tc>
          <w:tcPr>
            <w:tcW w:w="1984" w:type="dxa"/>
            <w:tcBorders>
              <w:top w:val="nil"/>
              <w:left w:val="nil"/>
              <w:bottom w:val="nil"/>
              <w:right w:val="nil"/>
            </w:tcBorders>
            <w:shd w:val="clear" w:color="auto" w:fill="auto"/>
            <w:noWrap/>
            <w:vAlign w:val="bottom"/>
          </w:tcPr>
          <w:p w14:paraId="6AD6128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190C8A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B12 Levels</w:t>
            </w:r>
          </w:p>
        </w:tc>
        <w:tc>
          <w:tcPr>
            <w:tcW w:w="1423" w:type="dxa"/>
            <w:tcBorders>
              <w:top w:val="nil"/>
              <w:left w:val="nil"/>
              <w:bottom w:val="nil"/>
              <w:right w:val="nil"/>
            </w:tcBorders>
            <w:shd w:val="clear" w:color="auto" w:fill="auto"/>
            <w:noWrap/>
            <w:vAlign w:val="bottom"/>
            <w:hideMark/>
          </w:tcPr>
          <w:p w14:paraId="1A6EE78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6CF32B9" w14:textId="77777777" w:rsidTr="006C68C4">
        <w:trPr>
          <w:trHeight w:val="290"/>
        </w:trPr>
        <w:tc>
          <w:tcPr>
            <w:tcW w:w="1984" w:type="dxa"/>
            <w:tcBorders>
              <w:top w:val="nil"/>
              <w:left w:val="nil"/>
              <w:bottom w:val="nil"/>
              <w:right w:val="nil"/>
            </w:tcBorders>
            <w:shd w:val="clear" w:color="auto" w:fill="auto"/>
            <w:noWrap/>
            <w:vAlign w:val="bottom"/>
          </w:tcPr>
          <w:p w14:paraId="4928324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61EB74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Basophil count</w:t>
            </w:r>
          </w:p>
        </w:tc>
        <w:tc>
          <w:tcPr>
            <w:tcW w:w="1423" w:type="dxa"/>
            <w:tcBorders>
              <w:top w:val="nil"/>
              <w:left w:val="nil"/>
              <w:bottom w:val="nil"/>
              <w:right w:val="nil"/>
            </w:tcBorders>
            <w:shd w:val="clear" w:color="auto" w:fill="auto"/>
            <w:noWrap/>
            <w:vAlign w:val="bottom"/>
            <w:hideMark/>
          </w:tcPr>
          <w:p w14:paraId="0368CEB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04EAF70D" w14:textId="77777777" w:rsidTr="006C68C4">
        <w:trPr>
          <w:trHeight w:val="290"/>
        </w:trPr>
        <w:tc>
          <w:tcPr>
            <w:tcW w:w="1984" w:type="dxa"/>
            <w:tcBorders>
              <w:top w:val="nil"/>
              <w:left w:val="nil"/>
              <w:bottom w:val="nil"/>
              <w:right w:val="nil"/>
            </w:tcBorders>
            <w:shd w:val="clear" w:color="auto" w:fill="auto"/>
            <w:noWrap/>
            <w:vAlign w:val="bottom"/>
          </w:tcPr>
          <w:p w14:paraId="35D9C0C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DC6009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Bilirubin</w:t>
            </w:r>
          </w:p>
        </w:tc>
        <w:tc>
          <w:tcPr>
            <w:tcW w:w="1423" w:type="dxa"/>
            <w:tcBorders>
              <w:top w:val="nil"/>
              <w:left w:val="nil"/>
              <w:bottom w:val="nil"/>
              <w:right w:val="nil"/>
            </w:tcBorders>
            <w:shd w:val="clear" w:color="auto" w:fill="auto"/>
            <w:noWrap/>
            <w:vAlign w:val="bottom"/>
            <w:hideMark/>
          </w:tcPr>
          <w:p w14:paraId="301085D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17D400EB" w14:textId="77777777" w:rsidTr="006C68C4">
        <w:trPr>
          <w:trHeight w:val="290"/>
        </w:trPr>
        <w:tc>
          <w:tcPr>
            <w:tcW w:w="1984" w:type="dxa"/>
            <w:tcBorders>
              <w:top w:val="nil"/>
              <w:left w:val="nil"/>
              <w:bottom w:val="nil"/>
              <w:right w:val="nil"/>
            </w:tcBorders>
            <w:shd w:val="clear" w:color="auto" w:fill="auto"/>
            <w:noWrap/>
            <w:vAlign w:val="bottom"/>
          </w:tcPr>
          <w:p w14:paraId="451469D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B2C445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Blood glucose</w:t>
            </w:r>
          </w:p>
        </w:tc>
        <w:tc>
          <w:tcPr>
            <w:tcW w:w="1423" w:type="dxa"/>
            <w:tcBorders>
              <w:top w:val="nil"/>
              <w:left w:val="nil"/>
              <w:bottom w:val="nil"/>
              <w:right w:val="nil"/>
            </w:tcBorders>
            <w:shd w:val="clear" w:color="auto" w:fill="auto"/>
            <w:noWrap/>
            <w:vAlign w:val="bottom"/>
            <w:hideMark/>
          </w:tcPr>
          <w:p w14:paraId="2C461658"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4B2591BF" w14:textId="77777777" w:rsidTr="006C68C4">
        <w:trPr>
          <w:trHeight w:val="290"/>
        </w:trPr>
        <w:tc>
          <w:tcPr>
            <w:tcW w:w="1984" w:type="dxa"/>
            <w:tcBorders>
              <w:top w:val="nil"/>
              <w:left w:val="nil"/>
              <w:bottom w:val="nil"/>
              <w:right w:val="nil"/>
            </w:tcBorders>
            <w:shd w:val="clear" w:color="auto" w:fill="auto"/>
            <w:noWrap/>
            <w:vAlign w:val="bottom"/>
          </w:tcPr>
          <w:p w14:paraId="3B33EDC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235737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Blood trace elements/vitamins</w:t>
            </w:r>
          </w:p>
        </w:tc>
        <w:tc>
          <w:tcPr>
            <w:tcW w:w="1423" w:type="dxa"/>
            <w:tcBorders>
              <w:top w:val="nil"/>
              <w:left w:val="nil"/>
              <w:bottom w:val="nil"/>
              <w:right w:val="nil"/>
            </w:tcBorders>
            <w:shd w:val="clear" w:color="auto" w:fill="auto"/>
            <w:noWrap/>
            <w:vAlign w:val="bottom"/>
            <w:hideMark/>
          </w:tcPr>
          <w:p w14:paraId="679B47FD"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791A014" w14:textId="77777777" w:rsidTr="006C68C4">
        <w:trPr>
          <w:trHeight w:val="290"/>
        </w:trPr>
        <w:tc>
          <w:tcPr>
            <w:tcW w:w="1984" w:type="dxa"/>
            <w:tcBorders>
              <w:top w:val="nil"/>
              <w:left w:val="nil"/>
              <w:bottom w:val="nil"/>
              <w:right w:val="nil"/>
            </w:tcBorders>
            <w:shd w:val="clear" w:color="auto" w:fill="auto"/>
            <w:noWrap/>
            <w:vAlign w:val="bottom"/>
          </w:tcPr>
          <w:p w14:paraId="7B55283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CF5ED4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 Reactive protein</w:t>
            </w:r>
          </w:p>
        </w:tc>
        <w:tc>
          <w:tcPr>
            <w:tcW w:w="1423" w:type="dxa"/>
            <w:tcBorders>
              <w:top w:val="nil"/>
              <w:left w:val="nil"/>
              <w:bottom w:val="nil"/>
              <w:right w:val="nil"/>
            </w:tcBorders>
            <w:shd w:val="clear" w:color="auto" w:fill="auto"/>
            <w:noWrap/>
            <w:vAlign w:val="bottom"/>
            <w:hideMark/>
          </w:tcPr>
          <w:p w14:paraId="519B8D8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8C5B611" w14:textId="77777777" w:rsidTr="006C68C4">
        <w:trPr>
          <w:trHeight w:val="290"/>
        </w:trPr>
        <w:tc>
          <w:tcPr>
            <w:tcW w:w="1984" w:type="dxa"/>
            <w:tcBorders>
              <w:top w:val="nil"/>
              <w:left w:val="nil"/>
              <w:bottom w:val="nil"/>
              <w:right w:val="nil"/>
            </w:tcBorders>
            <w:shd w:val="clear" w:color="auto" w:fill="auto"/>
            <w:noWrap/>
            <w:vAlign w:val="bottom"/>
          </w:tcPr>
          <w:p w14:paraId="08B6FAE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EC44F6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Calcium</w:t>
            </w:r>
          </w:p>
        </w:tc>
        <w:tc>
          <w:tcPr>
            <w:tcW w:w="1423" w:type="dxa"/>
            <w:tcBorders>
              <w:top w:val="nil"/>
              <w:left w:val="nil"/>
              <w:bottom w:val="nil"/>
              <w:right w:val="nil"/>
            </w:tcBorders>
            <w:shd w:val="clear" w:color="auto" w:fill="auto"/>
            <w:noWrap/>
            <w:vAlign w:val="bottom"/>
            <w:hideMark/>
          </w:tcPr>
          <w:p w14:paraId="7C25FF7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7BB74F58" w14:textId="77777777" w:rsidTr="006C68C4">
        <w:trPr>
          <w:trHeight w:val="290"/>
        </w:trPr>
        <w:tc>
          <w:tcPr>
            <w:tcW w:w="1984" w:type="dxa"/>
            <w:tcBorders>
              <w:top w:val="nil"/>
              <w:left w:val="nil"/>
              <w:bottom w:val="nil"/>
              <w:right w:val="nil"/>
            </w:tcBorders>
            <w:shd w:val="clear" w:color="auto" w:fill="auto"/>
            <w:noWrap/>
            <w:vAlign w:val="bottom"/>
          </w:tcPr>
          <w:p w14:paraId="33E69B8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0E9F68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Calcium adjusted</w:t>
            </w:r>
          </w:p>
        </w:tc>
        <w:tc>
          <w:tcPr>
            <w:tcW w:w="1423" w:type="dxa"/>
            <w:tcBorders>
              <w:top w:val="nil"/>
              <w:left w:val="nil"/>
              <w:bottom w:val="nil"/>
              <w:right w:val="nil"/>
            </w:tcBorders>
            <w:shd w:val="clear" w:color="auto" w:fill="auto"/>
            <w:noWrap/>
            <w:vAlign w:val="bottom"/>
            <w:hideMark/>
          </w:tcPr>
          <w:p w14:paraId="1AA309A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416C17A" w14:textId="77777777" w:rsidTr="006C68C4">
        <w:trPr>
          <w:trHeight w:val="290"/>
        </w:trPr>
        <w:tc>
          <w:tcPr>
            <w:tcW w:w="1984" w:type="dxa"/>
            <w:tcBorders>
              <w:top w:val="nil"/>
              <w:left w:val="nil"/>
              <w:bottom w:val="nil"/>
              <w:right w:val="nil"/>
            </w:tcBorders>
            <w:shd w:val="clear" w:color="auto" w:fill="auto"/>
            <w:noWrap/>
            <w:vAlign w:val="bottom"/>
          </w:tcPr>
          <w:p w14:paraId="426BDBD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EDD2D6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Cardiac enzymes</w:t>
            </w:r>
          </w:p>
        </w:tc>
        <w:tc>
          <w:tcPr>
            <w:tcW w:w="1423" w:type="dxa"/>
            <w:tcBorders>
              <w:top w:val="nil"/>
              <w:left w:val="nil"/>
              <w:bottom w:val="nil"/>
              <w:right w:val="nil"/>
            </w:tcBorders>
            <w:shd w:val="clear" w:color="auto" w:fill="auto"/>
            <w:noWrap/>
            <w:vAlign w:val="bottom"/>
            <w:hideMark/>
          </w:tcPr>
          <w:p w14:paraId="4623BD0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78F8F1B4" w14:textId="77777777" w:rsidTr="006C68C4">
        <w:trPr>
          <w:trHeight w:val="290"/>
        </w:trPr>
        <w:tc>
          <w:tcPr>
            <w:tcW w:w="1984" w:type="dxa"/>
            <w:tcBorders>
              <w:top w:val="nil"/>
              <w:left w:val="nil"/>
              <w:bottom w:val="nil"/>
              <w:right w:val="nil"/>
            </w:tcBorders>
            <w:shd w:val="clear" w:color="auto" w:fill="auto"/>
            <w:noWrap/>
            <w:vAlign w:val="bottom"/>
          </w:tcPr>
          <w:p w14:paraId="580957A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974CF4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Complement tests</w:t>
            </w:r>
          </w:p>
        </w:tc>
        <w:tc>
          <w:tcPr>
            <w:tcW w:w="1423" w:type="dxa"/>
            <w:tcBorders>
              <w:top w:val="nil"/>
              <w:left w:val="nil"/>
              <w:bottom w:val="nil"/>
              <w:right w:val="nil"/>
            </w:tcBorders>
            <w:shd w:val="clear" w:color="auto" w:fill="auto"/>
            <w:noWrap/>
            <w:vAlign w:val="bottom"/>
            <w:hideMark/>
          </w:tcPr>
          <w:p w14:paraId="1140AB5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042C3F2" w14:textId="77777777" w:rsidTr="006C68C4">
        <w:trPr>
          <w:trHeight w:val="290"/>
        </w:trPr>
        <w:tc>
          <w:tcPr>
            <w:tcW w:w="1984" w:type="dxa"/>
            <w:tcBorders>
              <w:top w:val="nil"/>
              <w:left w:val="nil"/>
              <w:bottom w:val="nil"/>
              <w:right w:val="nil"/>
            </w:tcBorders>
            <w:shd w:val="clear" w:color="auto" w:fill="auto"/>
            <w:noWrap/>
            <w:vAlign w:val="bottom"/>
          </w:tcPr>
          <w:p w14:paraId="015D77D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9CB008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Creatine phosphokinase level</w:t>
            </w:r>
          </w:p>
        </w:tc>
        <w:tc>
          <w:tcPr>
            <w:tcW w:w="1423" w:type="dxa"/>
            <w:tcBorders>
              <w:top w:val="nil"/>
              <w:left w:val="nil"/>
              <w:bottom w:val="nil"/>
              <w:right w:val="nil"/>
            </w:tcBorders>
            <w:shd w:val="clear" w:color="auto" w:fill="auto"/>
            <w:noWrap/>
            <w:vAlign w:val="bottom"/>
            <w:hideMark/>
          </w:tcPr>
          <w:p w14:paraId="7BDFB57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2A4C6D5D" w14:textId="77777777" w:rsidTr="006C68C4">
        <w:trPr>
          <w:trHeight w:val="290"/>
        </w:trPr>
        <w:tc>
          <w:tcPr>
            <w:tcW w:w="1984" w:type="dxa"/>
            <w:tcBorders>
              <w:top w:val="nil"/>
              <w:left w:val="nil"/>
              <w:bottom w:val="nil"/>
              <w:right w:val="nil"/>
            </w:tcBorders>
            <w:shd w:val="clear" w:color="auto" w:fill="auto"/>
            <w:noWrap/>
            <w:vAlign w:val="bottom"/>
          </w:tcPr>
          <w:p w14:paraId="2C63E9A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007F4E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Creatinine clearance</w:t>
            </w:r>
          </w:p>
        </w:tc>
        <w:tc>
          <w:tcPr>
            <w:tcW w:w="1423" w:type="dxa"/>
            <w:tcBorders>
              <w:top w:val="nil"/>
              <w:left w:val="nil"/>
              <w:bottom w:val="nil"/>
              <w:right w:val="nil"/>
            </w:tcBorders>
            <w:shd w:val="clear" w:color="auto" w:fill="auto"/>
            <w:noWrap/>
            <w:vAlign w:val="bottom"/>
            <w:hideMark/>
          </w:tcPr>
          <w:p w14:paraId="1C4BFD98"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3B1AD79F" w14:textId="77777777" w:rsidTr="006C68C4">
        <w:trPr>
          <w:trHeight w:val="290"/>
        </w:trPr>
        <w:tc>
          <w:tcPr>
            <w:tcW w:w="1984" w:type="dxa"/>
            <w:tcBorders>
              <w:top w:val="nil"/>
              <w:left w:val="nil"/>
              <w:bottom w:val="nil"/>
              <w:right w:val="nil"/>
            </w:tcBorders>
            <w:shd w:val="clear" w:color="auto" w:fill="auto"/>
            <w:noWrap/>
            <w:vAlign w:val="bottom"/>
          </w:tcPr>
          <w:p w14:paraId="510C44A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EB2998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Diabetic Retinopathy Screening</w:t>
            </w:r>
          </w:p>
        </w:tc>
        <w:tc>
          <w:tcPr>
            <w:tcW w:w="1423" w:type="dxa"/>
            <w:tcBorders>
              <w:top w:val="nil"/>
              <w:left w:val="nil"/>
              <w:bottom w:val="nil"/>
              <w:right w:val="nil"/>
            </w:tcBorders>
            <w:shd w:val="clear" w:color="auto" w:fill="auto"/>
            <w:noWrap/>
            <w:vAlign w:val="bottom"/>
            <w:hideMark/>
          </w:tcPr>
          <w:p w14:paraId="04B8A83D"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87.13605232</w:t>
            </w:r>
          </w:p>
        </w:tc>
      </w:tr>
      <w:tr w:rsidR="002A0F5D" w:rsidRPr="006C68C4" w14:paraId="79E57349" w14:textId="77777777" w:rsidTr="006C68C4">
        <w:trPr>
          <w:trHeight w:val="290"/>
        </w:trPr>
        <w:tc>
          <w:tcPr>
            <w:tcW w:w="1984" w:type="dxa"/>
            <w:tcBorders>
              <w:top w:val="nil"/>
              <w:left w:val="nil"/>
              <w:bottom w:val="nil"/>
              <w:right w:val="nil"/>
            </w:tcBorders>
            <w:shd w:val="clear" w:color="auto" w:fill="auto"/>
            <w:noWrap/>
            <w:vAlign w:val="bottom"/>
          </w:tcPr>
          <w:p w14:paraId="0FCEAFB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738388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Digoxin blood level</w:t>
            </w:r>
          </w:p>
        </w:tc>
        <w:tc>
          <w:tcPr>
            <w:tcW w:w="1423" w:type="dxa"/>
            <w:tcBorders>
              <w:top w:val="nil"/>
              <w:left w:val="nil"/>
              <w:bottom w:val="nil"/>
              <w:right w:val="nil"/>
            </w:tcBorders>
            <w:shd w:val="clear" w:color="auto" w:fill="auto"/>
            <w:noWrap/>
            <w:vAlign w:val="bottom"/>
            <w:hideMark/>
          </w:tcPr>
          <w:p w14:paraId="12DE6C17"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02C32F55" w14:textId="77777777" w:rsidTr="006C68C4">
        <w:trPr>
          <w:trHeight w:val="290"/>
        </w:trPr>
        <w:tc>
          <w:tcPr>
            <w:tcW w:w="1984" w:type="dxa"/>
            <w:tcBorders>
              <w:top w:val="nil"/>
              <w:left w:val="nil"/>
              <w:bottom w:val="nil"/>
              <w:right w:val="nil"/>
            </w:tcBorders>
            <w:shd w:val="clear" w:color="auto" w:fill="auto"/>
            <w:noWrap/>
            <w:vAlign w:val="bottom"/>
          </w:tcPr>
          <w:p w14:paraId="7284BBE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929FEB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Enzymes/Specific proteins</w:t>
            </w:r>
          </w:p>
        </w:tc>
        <w:tc>
          <w:tcPr>
            <w:tcW w:w="1423" w:type="dxa"/>
            <w:tcBorders>
              <w:top w:val="nil"/>
              <w:left w:val="nil"/>
              <w:bottom w:val="nil"/>
              <w:right w:val="nil"/>
            </w:tcBorders>
            <w:shd w:val="clear" w:color="auto" w:fill="auto"/>
            <w:noWrap/>
            <w:vAlign w:val="bottom"/>
            <w:hideMark/>
          </w:tcPr>
          <w:p w14:paraId="0B1D6BF4"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360A5A2" w14:textId="77777777" w:rsidTr="006C68C4">
        <w:trPr>
          <w:trHeight w:val="290"/>
        </w:trPr>
        <w:tc>
          <w:tcPr>
            <w:tcW w:w="1984" w:type="dxa"/>
            <w:tcBorders>
              <w:top w:val="nil"/>
              <w:left w:val="nil"/>
              <w:bottom w:val="nil"/>
              <w:right w:val="nil"/>
            </w:tcBorders>
            <w:shd w:val="clear" w:color="auto" w:fill="auto"/>
            <w:noWrap/>
            <w:vAlign w:val="bottom"/>
          </w:tcPr>
          <w:p w14:paraId="14FB927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22FB19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Eosinophil count</w:t>
            </w:r>
          </w:p>
        </w:tc>
        <w:tc>
          <w:tcPr>
            <w:tcW w:w="1423" w:type="dxa"/>
            <w:tcBorders>
              <w:top w:val="nil"/>
              <w:left w:val="nil"/>
              <w:bottom w:val="nil"/>
              <w:right w:val="nil"/>
            </w:tcBorders>
            <w:shd w:val="clear" w:color="auto" w:fill="auto"/>
            <w:noWrap/>
            <w:vAlign w:val="bottom"/>
            <w:hideMark/>
          </w:tcPr>
          <w:p w14:paraId="4ABD833D"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7D9BB7C3" w14:textId="77777777" w:rsidTr="006C68C4">
        <w:trPr>
          <w:trHeight w:val="290"/>
        </w:trPr>
        <w:tc>
          <w:tcPr>
            <w:tcW w:w="1984" w:type="dxa"/>
            <w:tcBorders>
              <w:top w:val="nil"/>
              <w:left w:val="nil"/>
              <w:bottom w:val="nil"/>
              <w:right w:val="nil"/>
            </w:tcBorders>
            <w:shd w:val="clear" w:color="auto" w:fill="auto"/>
            <w:noWrap/>
            <w:vAlign w:val="bottom"/>
          </w:tcPr>
          <w:p w14:paraId="0DBF15F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6BA5D9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Erythrocyte sedimentation rate</w:t>
            </w:r>
          </w:p>
        </w:tc>
        <w:tc>
          <w:tcPr>
            <w:tcW w:w="1423" w:type="dxa"/>
            <w:tcBorders>
              <w:top w:val="nil"/>
              <w:left w:val="nil"/>
              <w:bottom w:val="nil"/>
              <w:right w:val="nil"/>
            </w:tcBorders>
            <w:shd w:val="clear" w:color="auto" w:fill="auto"/>
            <w:noWrap/>
            <w:vAlign w:val="bottom"/>
            <w:hideMark/>
          </w:tcPr>
          <w:p w14:paraId="66A5B19D"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42DE4310" w14:textId="77777777" w:rsidTr="006C68C4">
        <w:trPr>
          <w:trHeight w:val="290"/>
        </w:trPr>
        <w:tc>
          <w:tcPr>
            <w:tcW w:w="1984" w:type="dxa"/>
            <w:tcBorders>
              <w:top w:val="nil"/>
              <w:left w:val="nil"/>
              <w:bottom w:val="nil"/>
              <w:right w:val="nil"/>
            </w:tcBorders>
            <w:shd w:val="clear" w:color="auto" w:fill="auto"/>
            <w:noWrap/>
            <w:vAlign w:val="bottom"/>
          </w:tcPr>
          <w:p w14:paraId="59E5AAF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ADD0B7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FEV1/FVC</w:t>
            </w:r>
          </w:p>
        </w:tc>
        <w:tc>
          <w:tcPr>
            <w:tcW w:w="1423" w:type="dxa"/>
            <w:tcBorders>
              <w:top w:val="nil"/>
              <w:left w:val="nil"/>
              <w:bottom w:val="nil"/>
              <w:right w:val="nil"/>
            </w:tcBorders>
            <w:shd w:val="clear" w:color="auto" w:fill="auto"/>
            <w:noWrap/>
            <w:vAlign w:val="bottom"/>
            <w:hideMark/>
          </w:tcPr>
          <w:p w14:paraId="6D0DBB7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92.36837655</w:t>
            </w:r>
          </w:p>
        </w:tc>
      </w:tr>
      <w:tr w:rsidR="002A0F5D" w:rsidRPr="006C68C4" w14:paraId="63E46C1F" w14:textId="77777777" w:rsidTr="006C68C4">
        <w:trPr>
          <w:trHeight w:val="290"/>
        </w:trPr>
        <w:tc>
          <w:tcPr>
            <w:tcW w:w="1984" w:type="dxa"/>
            <w:tcBorders>
              <w:top w:val="nil"/>
              <w:left w:val="nil"/>
              <w:bottom w:val="nil"/>
              <w:right w:val="nil"/>
            </w:tcBorders>
            <w:shd w:val="clear" w:color="auto" w:fill="auto"/>
            <w:noWrap/>
            <w:vAlign w:val="bottom"/>
          </w:tcPr>
          <w:p w14:paraId="63BF8D8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6A4A61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Fasting glucose</w:t>
            </w:r>
          </w:p>
        </w:tc>
        <w:tc>
          <w:tcPr>
            <w:tcW w:w="1423" w:type="dxa"/>
            <w:tcBorders>
              <w:top w:val="nil"/>
              <w:left w:val="nil"/>
              <w:bottom w:val="nil"/>
              <w:right w:val="nil"/>
            </w:tcBorders>
            <w:shd w:val="clear" w:color="auto" w:fill="auto"/>
            <w:noWrap/>
            <w:vAlign w:val="bottom"/>
            <w:hideMark/>
          </w:tcPr>
          <w:p w14:paraId="3585AA56"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752CA97C" w14:textId="77777777" w:rsidTr="006C68C4">
        <w:trPr>
          <w:trHeight w:val="290"/>
        </w:trPr>
        <w:tc>
          <w:tcPr>
            <w:tcW w:w="1984" w:type="dxa"/>
            <w:tcBorders>
              <w:top w:val="nil"/>
              <w:left w:val="nil"/>
              <w:bottom w:val="nil"/>
              <w:right w:val="nil"/>
            </w:tcBorders>
            <w:shd w:val="clear" w:color="auto" w:fill="auto"/>
            <w:noWrap/>
            <w:vAlign w:val="bottom"/>
          </w:tcPr>
          <w:p w14:paraId="4D14DB0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4232F0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Folate level</w:t>
            </w:r>
          </w:p>
        </w:tc>
        <w:tc>
          <w:tcPr>
            <w:tcW w:w="1423" w:type="dxa"/>
            <w:tcBorders>
              <w:top w:val="nil"/>
              <w:left w:val="nil"/>
              <w:bottom w:val="nil"/>
              <w:right w:val="nil"/>
            </w:tcBorders>
            <w:shd w:val="clear" w:color="auto" w:fill="auto"/>
            <w:noWrap/>
            <w:vAlign w:val="bottom"/>
            <w:hideMark/>
          </w:tcPr>
          <w:p w14:paraId="44CFDBB6"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1FBCB7AC" w14:textId="77777777" w:rsidTr="006C68C4">
        <w:trPr>
          <w:trHeight w:val="290"/>
        </w:trPr>
        <w:tc>
          <w:tcPr>
            <w:tcW w:w="1984" w:type="dxa"/>
            <w:tcBorders>
              <w:top w:val="nil"/>
              <w:left w:val="nil"/>
              <w:bottom w:val="nil"/>
              <w:right w:val="nil"/>
            </w:tcBorders>
            <w:shd w:val="clear" w:color="auto" w:fill="auto"/>
            <w:noWrap/>
            <w:vAlign w:val="bottom"/>
          </w:tcPr>
          <w:p w14:paraId="4D6EE81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2CB9A4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Follicle Stimulating Hormone</w:t>
            </w:r>
          </w:p>
        </w:tc>
        <w:tc>
          <w:tcPr>
            <w:tcW w:w="1423" w:type="dxa"/>
            <w:tcBorders>
              <w:top w:val="nil"/>
              <w:left w:val="nil"/>
              <w:bottom w:val="nil"/>
              <w:right w:val="nil"/>
            </w:tcBorders>
            <w:shd w:val="clear" w:color="auto" w:fill="auto"/>
            <w:noWrap/>
            <w:vAlign w:val="bottom"/>
            <w:hideMark/>
          </w:tcPr>
          <w:p w14:paraId="47EB0F74"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987BD6B" w14:textId="77777777" w:rsidTr="006C68C4">
        <w:trPr>
          <w:trHeight w:val="290"/>
        </w:trPr>
        <w:tc>
          <w:tcPr>
            <w:tcW w:w="1984" w:type="dxa"/>
            <w:tcBorders>
              <w:top w:val="nil"/>
              <w:left w:val="nil"/>
              <w:bottom w:val="nil"/>
              <w:right w:val="nil"/>
            </w:tcBorders>
            <w:shd w:val="clear" w:color="auto" w:fill="auto"/>
            <w:noWrap/>
            <w:vAlign w:val="bottom"/>
          </w:tcPr>
          <w:p w14:paraId="25DF15D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A563A4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Forced Expiratory Volume in 1 sec</w:t>
            </w:r>
          </w:p>
        </w:tc>
        <w:tc>
          <w:tcPr>
            <w:tcW w:w="1423" w:type="dxa"/>
            <w:tcBorders>
              <w:top w:val="nil"/>
              <w:left w:val="nil"/>
              <w:bottom w:val="nil"/>
              <w:right w:val="nil"/>
            </w:tcBorders>
            <w:shd w:val="clear" w:color="auto" w:fill="auto"/>
            <w:noWrap/>
            <w:vAlign w:val="bottom"/>
            <w:hideMark/>
          </w:tcPr>
          <w:p w14:paraId="59061606"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92.36837655</w:t>
            </w:r>
          </w:p>
        </w:tc>
      </w:tr>
      <w:tr w:rsidR="002A0F5D" w:rsidRPr="006C68C4" w14:paraId="5BB3B8D4" w14:textId="77777777" w:rsidTr="006C68C4">
        <w:trPr>
          <w:trHeight w:val="290"/>
        </w:trPr>
        <w:tc>
          <w:tcPr>
            <w:tcW w:w="1984" w:type="dxa"/>
            <w:tcBorders>
              <w:top w:val="nil"/>
              <w:left w:val="nil"/>
              <w:bottom w:val="nil"/>
              <w:right w:val="nil"/>
            </w:tcBorders>
            <w:shd w:val="clear" w:color="auto" w:fill="auto"/>
            <w:noWrap/>
            <w:vAlign w:val="bottom"/>
          </w:tcPr>
          <w:p w14:paraId="477A988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53A20A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Free Thyroxine</w:t>
            </w:r>
          </w:p>
        </w:tc>
        <w:tc>
          <w:tcPr>
            <w:tcW w:w="1423" w:type="dxa"/>
            <w:tcBorders>
              <w:top w:val="nil"/>
              <w:left w:val="nil"/>
              <w:bottom w:val="nil"/>
              <w:right w:val="nil"/>
            </w:tcBorders>
            <w:shd w:val="clear" w:color="auto" w:fill="auto"/>
            <w:noWrap/>
            <w:vAlign w:val="bottom"/>
            <w:hideMark/>
          </w:tcPr>
          <w:p w14:paraId="62045813"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2C934F30" w14:textId="77777777" w:rsidTr="006C68C4">
        <w:trPr>
          <w:trHeight w:val="290"/>
        </w:trPr>
        <w:tc>
          <w:tcPr>
            <w:tcW w:w="1984" w:type="dxa"/>
            <w:tcBorders>
              <w:top w:val="nil"/>
              <w:left w:val="nil"/>
              <w:bottom w:val="nil"/>
              <w:right w:val="nil"/>
            </w:tcBorders>
            <w:shd w:val="clear" w:color="auto" w:fill="auto"/>
            <w:noWrap/>
            <w:vAlign w:val="bottom"/>
          </w:tcPr>
          <w:p w14:paraId="18C6746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06BA58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Free Tri-iodothyronine</w:t>
            </w:r>
          </w:p>
        </w:tc>
        <w:tc>
          <w:tcPr>
            <w:tcW w:w="1423" w:type="dxa"/>
            <w:tcBorders>
              <w:top w:val="nil"/>
              <w:left w:val="nil"/>
              <w:bottom w:val="nil"/>
              <w:right w:val="nil"/>
            </w:tcBorders>
            <w:shd w:val="clear" w:color="auto" w:fill="auto"/>
            <w:noWrap/>
            <w:vAlign w:val="bottom"/>
            <w:hideMark/>
          </w:tcPr>
          <w:p w14:paraId="0CB8E76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746037E8" w14:textId="77777777" w:rsidTr="006C68C4">
        <w:trPr>
          <w:trHeight w:val="290"/>
        </w:trPr>
        <w:tc>
          <w:tcPr>
            <w:tcW w:w="1984" w:type="dxa"/>
            <w:tcBorders>
              <w:top w:val="nil"/>
              <w:left w:val="nil"/>
              <w:bottom w:val="nil"/>
              <w:right w:val="nil"/>
            </w:tcBorders>
            <w:shd w:val="clear" w:color="auto" w:fill="auto"/>
            <w:noWrap/>
            <w:vAlign w:val="bottom"/>
          </w:tcPr>
          <w:p w14:paraId="2A51B15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B0C31D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Fructosamine</w:t>
            </w:r>
          </w:p>
        </w:tc>
        <w:tc>
          <w:tcPr>
            <w:tcW w:w="1423" w:type="dxa"/>
            <w:tcBorders>
              <w:top w:val="nil"/>
              <w:left w:val="nil"/>
              <w:bottom w:val="nil"/>
              <w:right w:val="nil"/>
            </w:tcBorders>
            <w:shd w:val="clear" w:color="auto" w:fill="auto"/>
            <w:noWrap/>
            <w:vAlign w:val="bottom"/>
            <w:hideMark/>
          </w:tcPr>
          <w:p w14:paraId="3DE0CE8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31D1AA51" w14:textId="77777777" w:rsidTr="006C68C4">
        <w:trPr>
          <w:trHeight w:val="290"/>
        </w:trPr>
        <w:tc>
          <w:tcPr>
            <w:tcW w:w="1984" w:type="dxa"/>
            <w:tcBorders>
              <w:top w:val="nil"/>
              <w:left w:val="nil"/>
              <w:bottom w:val="nil"/>
              <w:right w:val="nil"/>
            </w:tcBorders>
            <w:shd w:val="clear" w:color="auto" w:fill="auto"/>
            <w:noWrap/>
            <w:vAlign w:val="bottom"/>
          </w:tcPr>
          <w:p w14:paraId="2A4DACD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0EC0A1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Gamma Glutamyl Transpeptidase</w:t>
            </w:r>
          </w:p>
        </w:tc>
        <w:tc>
          <w:tcPr>
            <w:tcW w:w="1423" w:type="dxa"/>
            <w:tcBorders>
              <w:top w:val="nil"/>
              <w:left w:val="nil"/>
              <w:bottom w:val="nil"/>
              <w:right w:val="nil"/>
            </w:tcBorders>
            <w:shd w:val="clear" w:color="auto" w:fill="auto"/>
            <w:noWrap/>
            <w:vAlign w:val="bottom"/>
            <w:hideMark/>
          </w:tcPr>
          <w:p w14:paraId="7A4B323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D870476" w14:textId="77777777" w:rsidTr="006C68C4">
        <w:trPr>
          <w:trHeight w:val="290"/>
        </w:trPr>
        <w:tc>
          <w:tcPr>
            <w:tcW w:w="1984" w:type="dxa"/>
            <w:tcBorders>
              <w:top w:val="nil"/>
              <w:left w:val="nil"/>
              <w:bottom w:val="nil"/>
              <w:right w:val="nil"/>
            </w:tcBorders>
            <w:shd w:val="clear" w:color="auto" w:fill="auto"/>
            <w:noWrap/>
            <w:vAlign w:val="bottom"/>
          </w:tcPr>
          <w:p w14:paraId="537FB81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5C571C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Gastrointestinal hormones</w:t>
            </w:r>
          </w:p>
        </w:tc>
        <w:tc>
          <w:tcPr>
            <w:tcW w:w="1423" w:type="dxa"/>
            <w:tcBorders>
              <w:top w:val="nil"/>
              <w:left w:val="nil"/>
              <w:bottom w:val="nil"/>
              <w:right w:val="nil"/>
            </w:tcBorders>
            <w:shd w:val="clear" w:color="auto" w:fill="auto"/>
            <w:noWrap/>
            <w:vAlign w:val="bottom"/>
            <w:hideMark/>
          </w:tcPr>
          <w:p w14:paraId="62AB37C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7F90015D" w14:textId="77777777" w:rsidTr="006C68C4">
        <w:trPr>
          <w:trHeight w:val="290"/>
        </w:trPr>
        <w:tc>
          <w:tcPr>
            <w:tcW w:w="1984" w:type="dxa"/>
            <w:tcBorders>
              <w:top w:val="nil"/>
              <w:left w:val="nil"/>
              <w:bottom w:val="nil"/>
              <w:right w:val="nil"/>
            </w:tcBorders>
            <w:shd w:val="clear" w:color="auto" w:fill="auto"/>
            <w:noWrap/>
            <w:vAlign w:val="bottom"/>
          </w:tcPr>
          <w:p w14:paraId="1FC30DC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8F4DFF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Glomerular Filtration Rate</w:t>
            </w:r>
          </w:p>
        </w:tc>
        <w:tc>
          <w:tcPr>
            <w:tcW w:w="1423" w:type="dxa"/>
            <w:tcBorders>
              <w:top w:val="nil"/>
              <w:left w:val="nil"/>
              <w:bottom w:val="nil"/>
              <w:right w:val="nil"/>
            </w:tcBorders>
            <w:shd w:val="clear" w:color="auto" w:fill="auto"/>
            <w:noWrap/>
            <w:vAlign w:val="bottom"/>
            <w:hideMark/>
          </w:tcPr>
          <w:p w14:paraId="053FE71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40A72F9D" w14:textId="77777777" w:rsidTr="006C68C4">
        <w:trPr>
          <w:trHeight w:val="290"/>
        </w:trPr>
        <w:tc>
          <w:tcPr>
            <w:tcW w:w="1984" w:type="dxa"/>
            <w:tcBorders>
              <w:top w:val="nil"/>
              <w:left w:val="nil"/>
              <w:bottom w:val="nil"/>
              <w:right w:val="nil"/>
            </w:tcBorders>
            <w:shd w:val="clear" w:color="auto" w:fill="auto"/>
            <w:noWrap/>
            <w:vAlign w:val="bottom"/>
          </w:tcPr>
          <w:p w14:paraId="5291419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98E6B5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HDL/LDL Ratio</w:t>
            </w:r>
          </w:p>
        </w:tc>
        <w:tc>
          <w:tcPr>
            <w:tcW w:w="1423" w:type="dxa"/>
            <w:tcBorders>
              <w:top w:val="nil"/>
              <w:left w:val="nil"/>
              <w:bottom w:val="nil"/>
              <w:right w:val="nil"/>
            </w:tcBorders>
            <w:shd w:val="clear" w:color="auto" w:fill="auto"/>
            <w:noWrap/>
            <w:vAlign w:val="bottom"/>
            <w:hideMark/>
          </w:tcPr>
          <w:p w14:paraId="57B7C90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3E3A500" w14:textId="77777777" w:rsidTr="006C68C4">
        <w:trPr>
          <w:trHeight w:val="290"/>
        </w:trPr>
        <w:tc>
          <w:tcPr>
            <w:tcW w:w="1984" w:type="dxa"/>
            <w:tcBorders>
              <w:top w:val="nil"/>
              <w:left w:val="nil"/>
              <w:bottom w:val="nil"/>
              <w:right w:val="nil"/>
            </w:tcBorders>
            <w:shd w:val="clear" w:color="auto" w:fill="auto"/>
            <w:noWrap/>
            <w:vAlign w:val="bottom"/>
          </w:tcPr>
          <w:p w14:paraId="68DA645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D4924D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Haemoglobin</w:t>
            </w:r>
          </w:p>
        </w:tc>
        <w:tc>
          <w:tcPr>
            <w:tcW w:w="1423" w:type="dxa"/>
            <w:tcBorders>
              <w:top w:val="nil"/>
              <w:left w:val="nil"/>
              <w:bottom w:val="nil"/>
              <w:right w:val="nil"/>
            </w:tcBorders>
            <w:shd w:val="clear" w:color="auto" w:fill="auto"/>
            <w:noWrap/>
            <w:vAlign w:val="bottom"/>
            <w:hideMark/>
          </w:tcPr>
          <w:p w14:paraId="1A16486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7BF0FBD8" w14:textId="77777777" w:rsidTr="006C68C4">
        <w:trPr>
          <w:trHeight w:val="290"/>
        </w:trPr>
        <w:tc>
          <w:tcPr>
            <w:tcW w:w="1984" w:type="dxa"/>
            <w:tcBorders>
              <w:top w:val="nil"/>
              <w:left w:val="nil"/>
              <w:bottom w:val="nil"/>
              <w:right w:val="nil"/>
            </w:tcBorders>
            <w:shd w:val="clear" w:color="auto" w:fill="auto"/>
            <w:noWrap/>
            <w:vAlign w:val="bottom"/>
          </w:tcPr>
          <w:p w14:paraId="2F3DE33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441A1B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Hb A1C – Diabetic control</w:t>
            </w:r>
          </w:p>
        </w:tc>
        <w:tc>
          <w:tcPr>
            <w:tcW w:w="1423" w:type="dxa"/>
            <w:tcBorders>
              <w:top w:val="nil"/>
              <w:left w:val="nil"/>
              <w:bottom w:val="nil"/>
              <w:right w:val="nil"/>
            </w:tcBorders>
            <w:shd w:val="clear" w:color="auto" w:fill="auto"/>
            <w:noWrap/>
            <w:vAlign w:val="bottom"/>
            <w:hideMark/>
          </w:tcPr>
          <w:p w14:paraId="14E6F927"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ACF3492" w14:textId="77777777" w:rsidTr="006C68C4">
        <w:trPr>
          <w:trHeight w:val="290"/>
        </w:trPr>
        <w:tc>
          <w:tcPr>
            <w:tcW w:w="1984" w:type="dxa"/>
            <w:tcBorders>
              <w:top w:val="nil"/>
              <w:left w:val="nil"/>
              <w:bottom w:val="nil"/>
              <w:right w:val="nil"/>
            </w:tcBorders>
            <w:shd w:val="clear" w:color="auto" w:fill="auto"/>
            <w:noWrap/>
            <w:vAlign w:val="bottom"/>
          </w:tcPr>
          <w:p w14:paraId="66FA93E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608669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High Density Lipoprotein</w:t>
            </w:r>
          </w:p>
        </w:tc>
        <w:tc>
          <w:tcPr>
            <w:tcW w:w="1423" w:type="dxa"/>
            <w:tcBorders>
              <w:top w:val="nil"/>
              <w:left w:val="nil"/>
              <w:bottom w:val="nil"/>
              <w:right w:val="nil"/>
            </w:tcBorders>
            <w:shd w:val="clear" w:color="auto" w:fill="auto"/>
            <w:noWrap/>
            <w:vAlign w:val="bottom"/>
            <w:hideMark/>
          </w:tcPr>
          <w:p w14:paraId="7B53D99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4FC0C1A5" w14:textId="77777777" w:rsidTr="006C68C4">
        <w:trPr>
          <w:trHeight w:val="290"/>
        </w:trPr>
        <w:tc>
          <w:tcPr>
            <w:tcW w:w="1984" w:type="dxa"/>
            <w:tcBorders>
              <w:top w:val="nil"/>
              <w:left w:val="nil"/>
              <w:bottom w:val="nil"/>
              <w:right w:val="nil"/>
            </w:tcBorders>
            <w:shd w:val="clear" w:color="auto" w:fill="auto"/>
            <w:noWrap/>
            <w:vAlign w:val="bottom"/>
          </w:tcPr>
          <w:p w14:paraId="5A20A03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0AFAD1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Human Chorionic Gonadotrophin</w:t>
            </w:r>
          </w:p>
        </w:tc>
        <w:tc>
          <w:tcPr>
            <w:tcW w:w="1423" w:type="dxa"/>
            <w:tcBorders>
              <w:top w:val="nil"/>
              <w:left w:val="nil"/>
              <w:bottom w:val="nil"/>
              <w:right w:val="nil"/>
            </w:tcBorders>
            <w:shd w:val="clear" w:color="auto" w:fill="auto"/>
            <w:noWrap/>
            <w:vAlign w:val="bottom"/>
            <w:hideMark/>
          </w:tcPr>
          <w:p w14:paraId="5E8FDA9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103ECD8F" w14:textId="77777777" w:rsidTr="006C68C4">
        <w:trPr>
          <w:trHeight w:val="290"/>
        </w:trPr>
        <w:tc>
          <w:tcPr>
            <w:tcW w:w="1984" w:type="dxa"/>
            <w:tcBorders>
              <w:top w:val="nil"/>
              <w:left w:val="nil"/>
              <w:bottom w:val="nil"/>
              <w:right w:val="nil"/>
            </w:tcBorders>
            <w:shd w:val="clear" w:color="auto" w:fill="auto"/>
            <w:noWrap/>
            <w:vAlign w:val="bottom"/>
          </w:tcPr>
          <w:p w14:paraId="30D1B00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75AFB9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International normalised ratio</w:t>
            </w:r>
          </w:p>
        </w:tc>
        <w:tc>
          <w:tcPr>
            <w:tcW w:w="1423" w:type="dxa"/>
            <w:tcBorders>
              <w:top w:val="nil"/>
              <w:left w:val="nil"/>
              <w:bottom w:val="nil"/>
              <w:right w:val="nil"/>
            </w:tcBorders>
            <w:shd w:val="clear" w:color="auto" w:fill="auto"/>
            <w:noWrap/>
            <w:vAlign w:val="bottom"/>
            <w:hideMark/>
          </w:tcPr>
          <w:p w14:paraId="7873DEF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1801CC28" w14:textId="77777777" w:rsidTr="006C68C4">
        <w:trPr>
          <w:trHeight w:val="290"/>
        </w:trPr>
        <w:tc>
          <w:tcPr>
            <w:tcW w:w="1984" w:type="dxa"/>
            <w:tcBorders>
              <w:top w:val="nil"/>
              <w:left w:val="nil"/>
              <w:bottom w:val="nil"/>
              <w:right w:val="nil"/>
            </w:tcBorders>
            <w:shd w:val="clear" w:color="auto" w:fill="auto"/>
            <w:noWrap/>
            <w:vAlign w:val="bottom"/>
          </w:tcPr>
          <w:p w14:paraId="5460903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78A2AD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Intra Ocular Pressure Left</w:t>
            </w:r>
          </w:p>
        </w:tc>
        <w:tc>
          <w:tcPr>
            <w:tcW w:w="1423" w:type="dxa"/>
            <w:tcBorders>
              <w:top w:val="nil"/>
              <w:left w:val="nil"/>
              <w:bottom w:val="nil"/>
              <w:right w:val="nil"/>
            </w:tcBorders>
            <w:shd w:val="clear" w:color="auto" w:fill="auto"/>
            <w:noWrap/>
            <w:vAlign w:val="bottom"/>
            <w:hideMark/>
          </w:tcPr>
          <w:p w14:paraId="2A9B0454"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85.86590155</w:t>
            </w:r>
          </w:p>
        </w:tc>
      </w:tr>
      <w:tr w:rsidR="002A0F5D" w:rsidRPr="006C68C4" w14:paraId="60B09DCE" w14:textId="77777777" w:rsidTr="006C68C4">
        <w:trPr>
          <w:trHeight w:val="290"/>
        </w:trPr>
        <w:tc>
          <w:tcPr>
            <w:tcW w:w="1984" w:type="dxa"/>
            <w:tcBorders>
              <w:top w:val="nil"/>
              <w:left w:val="nil"/>
              <w:bottom w:val="nil"/>
              <w:right w:val="nil"/>
            </w:tcBorders>
            <w:shd w:val="clear" w:color="auto" w:fill="auto"/>
            <w:noWrap/>
            <w:vAlign w:val="bottom"/>
          </w:tcPr>
          <w:p w14:paraId="1801D28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8F56CA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Intra Ocular Pressure Right</w:t>
            </w:r>
          </w:p>
        </w:tc>
        <w:tc>
          <w:tcPr>
            <w:tcW w:w="1423" w:type="dxa"/>
            <w:tcBorders>
              <w:top w:val="nil"/>
              <w:left w:val="nil"/>
              <w:bottom w:val="nil"/>
              <w:right w:val="nil"/>
            </w:tcBorders>
            <w:shd w:val="clear" w:color="auto" w:fill="auto"/>
            <w:noWrap/>
            <w:vAlign w:val="bottom"/>
            <w:hideMark/>
          </w:tcPr>
          <w:p w14:paraId="1A5597E3"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85.86590155</w:t>
            </w:r>
          </w:p>
        </w:tc>
      </w:tr>
      <w:tr w:rsidR="002A0F5D" w:rsidRPr="006C68C4" w14:paraId="4B5AF8B2" w14:textId="77777777" w:rsidTr="006C68C4">
        <w:trPr>
          <w:trHeight w:val="290"/>
        </w:trPr>
        <w:tc>
          <w:tcPr>
            <w:tcW w:w="1984" w:type="dxa"/>
            <w:tcBorders>
              <w:top w:val="nil"/>
              <w:left w:val="nil"/>
              <w:bottom w:val="nil"/>
              <w:right w:val="nil"/>
            </w:tcBorders>
            <w:shd w:val="clear" w:color="auto" w:fill="auto"/>
            <w:noWrap/>
            <w:vAlign w:val="bottom"/>
          </w:tcPr>
          <w:p w14:paraId="72A2C67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9A4D33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Lactate Dehydrogenase</w:t>
            </w:r>
          </w:p>
        </w:tc>
        <w:tc>
          <w:tcPr>
            <w:tcW w:w="1423" w:type="dxa"/>
            <w:tcBorders>
              <w:top w:val="nil"/>
              <w:left w:val="nil"/>
              <w:bottom w:val="nil"/>
              <w:right w:val="nil"/>
            </w:tcBorders>
            <w:shd w:val="clear" w:color="auto" w:fill="auto"/>
            <w:noWrap/>
            <w:vAlign w:val="bottom"/>
            <w:hideMark/>
          </w:tcPr>
          <w:p w14:paraId="7348CFD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1E494A2" w14:textId="77777777" w:rsidTr="006C68C4">
        <w:trPr>
          <w:trHeight w:val="290"/>
        </w:trPr>
        <w:tc>
          <w:tcPr>
            <w:tcW w:w="1984" w:type="dxa"/>
            <w:tcBorders>
              <w:top w:val="nil"/>
              <w:left w:val="nil"/>
              <w:bottom w:val="nil"/>
              <w:right w:val="nil"/>
            </w:tcBorders>
            <w:shd w:val="clear" w:color="auto" w:fill="auto"/>
            <w:noWrap/>
            <w:vAlign w:val="bottom"/>
          </w:tcPr>
          <w:p w14:paraId="7C03B37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509685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Large unstained cells</w:t>
            </w:r>
          </w:p>
        </w:tc>
        <w:tc>
          <w:tcPr>
            <w:tcW w:w="1423" w:type="dxa"/>
            <w:tcBorders>
              <w:top w:val="nil"/>
              <w:left w:val="nil"/>
              <w:bottom w:val="nil"/>
              <w:right w:val="nil"/>
            </w:tcBorders>
            <w:shd w:val="clear" w:color="auto" w:fill="auto"/>
            <w:noWrap/>
            <w:vAlign w:val="bottom"/>
            <w:hideMark/>
          </w:tcPr>
          <w:p w14:paraId="44F40EB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3797A545" w14:textId="77777777" w:rsidTr="006C68C4">
        <w:trPr>
          <w:trHeight w:val="290"/>
        </w:trPr>
        <w:tc>
          <w:tcPr>
            <w:tcW w:w="1984" w:type="dxa"/>
            <w:tcBorders>
              <w:top w:val="nil"/>
              <w:left w:val="nil"/>
              <w:bottom w:val="nil"/>
              <w:right w:val="nil"/>
            </w:tcBorders>
            <w:shd w:val="clear" w:color="auto" w:fill="auto"/>
            <w:noWrap/>
            <w:vAlign w:val="bottom"/>
          </w:tcPr>
          <w:p w14:paraId="1927001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83C3CA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Lithium levels</w:t>
            </w:r>
          </w:p>
        </w:tc>
        <w:tc>
          <w:tcPr>
            <w:tcW w:w="1423" w:type="dxa"/>
            <w:tcBorders>
              <w:top w:val="nil"/>
              <w:left w:val="nil"/>
              <w:bottom w:val="nil"/>
              <w:right w:val="nil"/>
            </w:tcBorders>
            <w:shd w:val="clear" w:color="auto" w:fill="auto"/>
            <w:noWrap/>
            <w:vAlign w:val="bottom"/>
            <w:hideMark/>
          </w:tcPr>
          <w:p w14:paraId="09EF2CD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C9CC8C7" w14:textId="77777777" w:rsidTr="006C68C4">
        <w:trPr>
          <w:trHeight w:val="290"/>
        </w:trPr>
        <w:tc>
          <w:tcPr>
            <w:tcW w:w="1984" w:type="dxa"/>
            <w:tcBorders>
              <w:top w:val="nil"/>
              <w:left w:val="nil"/>
              <w:bottom w:val="nil"/>
              <w:right w:val="nil"/>
            </w:tcBorders>
            <w:shd w:val="clear" w:color="auto" w:fill="auto"/>
            <w:noWrap/>
            <w:vAlign w:val="bottom"/>
          </w:tcPr>
          <w:p w14:paraId="4FAC234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9D150A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Low Density Lipoprotein</w:t>
            </w:r>
          </w:p>
        </w:tc>
        <w:tc>
          <w:tcPr>
            <w:tcW w:w="1423" w:type="dxa"/>
            <w:tcBorders>
              <w:top w:val="nil"/>
              <w:left w:val="nil"/>
              <w:bottom w:val="nil"/>
              <w:right w:val="nil"/>
            </w:tcBorders>
            <w:shd w:val="clear" w:color="auto" w:fill="auto"/>
            <w:noWrap/>
            <w:vAlign w:val="bottom"/>
            <w:hideMark/>
          </w:tcPr>
          <w:p w14:paraId="0E0EE61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2E61FF1" w14:textId="77777777" w:rsidTr="006C68C4">
        <w:trPr>
          <w:trHeight w:val="290"/>
        </w:trPr>
        <w:tc>
          <w:tcPr>
            <w:tcW w:w="1984" w:type="dxa"/>
            <w:tcBorders>
              <w:top w:val="nil"/>
              <w:left w:val="nil"/>
              <w:bottom w:val="nil"/>
              <w:right w:val="nil"/>
            </w:tcBorders>
            <w:shd w:val="clear" w:color="auto" w:fill="auto"/>
            <w:noWrap/>
            <w:vAlign w:val="bottom"/>
          </w:tcPr>
          <w:p w14:paraId="55CF79B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37E6D2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Lung Func after bronchodilation</w:t>
            </w:r>
          </w:p>
        </w:tc>
        <w:tc>
          <w:tcPr>
            <w:tcW w:w="1423" w:type="dxa"/>
            <w:tcBorders>
              <w:top w:val="nil"/>
              <w:left w:val="nil"/>
              <w:bottom w:val="nil"/>
              <w:right w:val="nil"/>
            </w:tcBorders>
            <w:shd w:val="clear" w:color="auto" w:fill="auto"/>
            <w:noWrap/>
            <w:vAlign w:val="bottom"/>
            <w:hideMark/>
          </w:tcPr>
          <w:p w14:paraId="742F3A8D"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92.36837655</w:t>
            </w:r>
          </w:p>
        </w:tc>
      </w:tr>
      <w:tr w:rsidR="002A0F5D" w:rsidRPr="006C68C4" w14:paraId="1106B9F4" w14:textId="77777777" w:rsidTr="006C68C4">
        <w:trPr>
          <w:trHeight w:val="290"/>
        </w:trPr>
        <w:tc>
          <w:tcPr>
            <w:tcW w:w="1984" w:type="dxa"/>
            <w:tcBorders>
              <w:top w:val="nil"/>
              <w:left w:val="nil"/>
              <w:bottom w:val="nil"/>
              <w:right w:val="nil"/>
            </w:tcBorders>
            <w:shd w:val="clear" w:color="auto" w:fill="auto"/>
            <w:noWrap/>
            <w:vAlign w:val="bottom"/>
          </w:tcPr>
          <w:p w14:paraId="61644FF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05CBAC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Lung Func before bronchodilation</w:t>
            </w:r>
          </w:p>
        </w:tc>
        <w:tc>
          <w:tcPr>
            <w:tcW w:w="1423" w:type="dxa"/>
            <w:tcBorders>
              <w:top w:val="nil"/>
              <w:left w:val="nil"/>
              <w:bottom w:val="nil"/>
              <w:right w:val="nil"/>
            </w:tcBorders>
            <w:shd w:val="clear" w:color="auto" w:fill="auto"/>
            <w:noWrap/>
            <w:vAlign w:val="bottom"/>
            <w:hideMark/>
          </w:tcPr>
          <w:p w14:paraId="607559E6"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92.36837655</w:t>
            </w:r>
          </w:p>
        </w:tc>
      </w:tr>
      <w:tr w:rsidR="002A0F5D" w:rsidRPr="006C68C4" w14:paraId="6CD05D76" w14:textId="77777777" w:rsidTr="006C68C4">
        <w:trPr>
          <w:trHeight w:val="290"/>
        </w:trPr>
        <w:tc>
          <w:tcPr>
            <w:tcW w:w="1984" w:type="dxa"/>
            <w:tcBorders>
              <w:top w:val="nil"/>
              <w:left w:val="nil"/>
              <w:bottom w:val="nil"/>
              <w:right w:val="nil"/>
            </w:tcBorders>
            <w:shd w:val="clear" w:color="auto" w:fill="auto"/>
            <w:noWrap/>
            <w:vAlign w:val="bottom"/>
          </w:tcPr>
          <w:p w14:paraId="4A18809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90AB8A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Luteinising Hormone</w:t>
            </w:r>
          </w:p>
        </w:tc>
        <w:tc>
          <w:tcPr>
            <w:tcW w:w="1423" w:type="dxa"/>
            <w:tcBorders>
              <w:top w:val="nil"/>
              <w:left w:val="nil"/>
              <w:bottom w:val="nil"/>
              <w:right w:val="nil"/>
            </w:tcBorders>
            <w:shd w:val="clear" w:color="auto" w:fill="auto"/>
            <w:noWrap/>
            <w:vAlign w:val="bottom"/>
            <w:hideMark/>
          </w:tcPr>
          <w:p w14:paraId="1B5A287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18B85512" w14:textId="77777777" w:rsidTr="006C68C4">
        <w:trPr>
          <w:trHeight w:val="290"/>
        </w:trPr>
        <w:tc>
          <w:tcPr>
            <w:tcW w:w="1984" w:type="dxa"/>
            <w:tcBorders>
              <w:top w:val="nil"/>
              <w:left w:val="nil"/>
              <w:bottom w:val="nil"/>
              <w:right w:val="nil"/>
            </w:tcBorders>
            <w:shd w:val="clear" w:color="auto" w:fill="auto"/>
            <w:noWrap/>
            <w:vAlign w:val="bottom"/>
          </w:tcPr>
          <w:p w14:paraId="109E631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74C408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Lymphocyte count</w:t>
            </w:r>
          </w:p>
        </w:tc>
        <w:tc>
          <w:tcPr>
            <w:tcW w:w="1423" w:type="dxa"/>
            <w:tcBorders>
              <w:top w:val="nil"/>
              <w:left w:val="nil"/>
              <w:bottom w:val="nil"/>
              <w:right w:val="nil"/>
            </w:tcBorders>
            <w:shd w:val="clear" w:color="auto" w:fill="auto"/>
            <w:noWrap/>
            <w:vAlign w:val="bottom"/>
            <w:hideMark/>
          </w:tcPr>
          <w:p w14:paraId="33532B7E"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6AF01270" w14:textId="77777777" w:rsidTr="006C68C4">
        <w:trPr>
          <w:trHeight w:val="290"/>
        </w:trPr>
        <w:tc>
          <w:tcPr>
            <w:tcW w:w="1984" w:type="dxa"/>
            <w:tcBorders>
              <w:top w:val="nil"/>
              <w:left w:val="nil"/>
              <w:bottom w:val="nil"/>
              <w:right w:val="nil"/>
            </w:tcBorders>
            <w:shd w:val="clear" w:color="auto" w:fill="auto"/>
            <w:noWrap/>
            <w:vAlign w:val="bottom"/>
          </w:tcPr>
          <w:p w14:paraId="72A4544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541FF3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MCH Hb Concentration</w:t>
            </w:r>
          </w:p>
        </w:tc>
        <w:tc>
          <w:tcPr>
            <w:tcW w:w="1423" w:type="dxa"/>
            <w:tcBorders>
              <w:top w:val="nil"/>
              <w:left w:val="nil"/>
              <w:bottom w:val="nil"/>
              <w:right w:val="nil"/>
            </w:tcBorders>
            <w:shd w:val="clear" w:color="auto" w:fill="auto"/>
            <w:noWrap/>
            <w:vAlign w:val="bottom"/>
            <w:hideMark/>
          </w:tcPr>
          <w:p w14:paraId="6FE979BC"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3C70197A" w14:textId="77777777" w:rsidTr="006C68C4">
        <w:trPr>
          <w:trHeight w:val="290"/>
        </w:trPr>
        <w:tc>
          <w:tcPr>
            <w:tcW w:w="1984" w:type="dxa"/>
            <w:tcBorders>
              <w:top w:val="nil"/>
              <w:left w:val="nil"/>
              <w:bottom w:val="nil"/>
              <w:right w:val="nil"/>
            </w:tcBorders>
            <w:shd w:val="clear" w:color="auto" w:fill="auto"/>
            <w:noWrap/>
            <w:vAlign w:val="bottom"/>
          </w:tcPr>
          <w:p w14:paraId="1700375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E56F62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Mean corpuscular haemoglobin</w:t>
            </w:r>
          </w:p>
        </w:tc>
        <w:tc>
          <w:tcPr>
            <w:tcW w:w="1423" w:type="dxa"/>
            <w:tcBorders>
              <w:top w:val="nil"/>
              <w:left w:val="nil"/>
              <w:bottom w:val="nil"/>
              <w:right w:val="nil"/>
            </w:tcBorders>
            <w:shd w:val="clear" w:color="auto" w:fill="auto"/>
            <w:noWrap/>
            <w:vAlign w:val="bottom"/>
            <w:hideMark/>
          </w:tcPr>
          <w:p w14:paraId="692E9DFE"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6E59314C" w14:textId="77777777" w:rsidTr="006C68C4">
        <w:trPr>
          <w:trHeight w:val="290"/>
        </w:trPr>
        <w:tc>
          <w:tcPr>
            <w:tcW w:w="1984" w:type="dxa"/>
            <w:tcBorders>
              <w:top w:val="nil"/>
              <w:left w:val="nil"/>
              <w:bottom w:val="nil"/>
              <w:right w:val="nil"/>
            </w:tcBorders>
            <w:shd w:val="clear" w:color="auto" w:fill="auto"/>
            <w:noWrap/>
            <w:vAlign w:val="bottom"/>
          </w:tcPr>
          <w:p w14:paraId="338E2EF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0AD9FA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Mean corpuscular volume</w:t>
            </w:r>
          </w:p>
        </w:tc>
        <w:tc>
          <w:tcPr>
            <w:tcW w:w="1423" w:type="dxa"/>
            <w:tcBorders>
              <w:top w:val="nil"/>
              <w:left w:val="nil"/>
              <w:bottom w:val="nil"/>
              <w:right w:val="nil"/>
            </w:tcBorders>
            <w:shd w:val="clear" w:color="auto" w:fill="auto"/>
            <w:noWrap/>
            <w:vAlign w:val="bottom"/>
            <w:hideMark/>
          </w:tcPr>
          <w:p w14:paraId="4FD30AF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04036DCF" w14:textId="77777777" w:rsidTr="006C68C4">
        <w:trPr>
          <w:trHeight w:val="290"/>
        </w:trPr>
        <w:tc>
          <w:tcPr>
            <w:tcW w:w="1984" w:type="dxa"/>
            <w:tcBorders>
              <w:top w:val="nil"/>
              <w:left w:val="nil"/>
              <w:bottom w:val="nil"/>
              <w:right w:val="nil"/>
            </w:tcBorders>
            <w:shd w:val="clear" w:color="auto" w:fill="auto"/>
            <w:noWrap/>
            <w:vAlign w:val="bottom"/>
          </w:tcPr>
          <w:p w14:paraId="6EC522F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BDAA55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Monocyte count</w:t>
            </w:r>
          </w:p>
        </w:tc>
        <w:tc>
          <w:tcPr>
            <w:tcW w:w="1423" w:type="dxa"/>
            <w:tcBorders>
              <w:top w:val="nil"/>
              <w:left w:val="nil"/>
              <w:bottom w:val="nil"/>
              <w:right w:val="nil"/>
            </w:tcBorders>
            <w:shd w:val="clear" w:color="auto" w:fill="auto"/>
            <w:noWrap/>
            <w:vAlign w:val="bottom"/>
            <w:hideMark/>
          </w:tcPr>
          <w:p w14:paraId="2E04AA3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02692AFD" w14:textId="77777777" w:rsidTr="006C68C4">
        <w:trPr>
          <w:trHeight w:val="290"/>
        </w:trPr>
        <w:tc>
          <w:tcPr>
            <w:tcW w:w="1984" w:type="dxa"/>
            <w:tcBorders>
              <w:top w:val="nil"/>
              <w:left w:val="nil"/>
              <w:bottom w:val="nil"/>
              <w:right w:val="nil"/>
            </w:tcBorders>
            <w:shd w:val="clear" w:color="auto" w:fill="auto"/>
            <w:noWrap/>
            <w:vAlign w:val="bottom"/>
          </w:tcPr>
          <w:p w14:paraId="12983F8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5CA8AD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Neutrophil count</w:t>
            </w:r>
          </w:p>
        </w:tc>
        <w:tc>
          <w:tcPr>
            <w:tcW w:w="1423" w:type="dxa"/>
            <w:tcBorders>
              <w:top w:val="nil"/>
              <w:left w:val="nil"/>
              <w:bottom w:val="nil"/>
              <w:right w:val="nil"/>
            </w:tcBorders>
            <w:shd w:val="clear" w:color="auto" w:fill="auto"/>
            <w:noWrap/>
            <w:vAlign w:val="bottom"/>
            <w:hideMark/>
          </w:tcPr>
          <w:p w14:paraId="763C4D2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05B16C14" w14:textId="77777777" w:rsidTr="006C68C4">
        <w:trPr>
          <w:trHeight w:val="290"/>
        </w:trPr>
        <w:tc>
          <w:tcPr>
            <w:tcW w:w="1984" w:type="dxa"/>
            <w:tcBorders>
              <w:top w:val="nil"/>
              <w:left w:val="nil"/>
              <w:bottom w:val="nil"/>
              <w:right w:val="nil"/>
            </w:tcBorders>
            <w:shd w:val="clear" w:color="auto" w:fill="auto"/>
            <w:noWrap/>
            <w:vAlign w:val="bottom"/>
          </w:tcPr>
          <w:p w14:paraId="17A2E09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E8EA89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Oestradiol level</w:t>
            </w:r>
          </w:p>
        </w:tc>
        <w:tc>
          <w:tcPr>
            <w:tcW w:w="1423" w:type="dxa"/>
            <w:tcBorders>
              <w:top w:val="nil"/>
              <w:left w:val="nil"/>
              <w:bottom w:val="nil"/>
              <w:right w:val="nil"/>
            </w:tcBorders>
            <w:shd w:val="clear" w:color="auto" w:fill="auto"/>
            <w:noWrap/>
            <w:vAlign w:val="bottom"/>
            <w:hideMark/>
          </w:tcPr>
          <w:p w14:paraId="21E5BDDC"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1D592F94" w14:textId="77777777" w:rsidTr="006C68C4">
        <w:trPr>
          <w:trHeight w:val="290"/>
        </w:trPr>
        <w:tc>
          <w:tcPr>
            <w:tcW w:w="1984" w:type="dxa"/>
            <w:tcBorders>
              <w:top w:val="nil"/>
              <w:left w:val="nil"/>
              <w:bottom w:val="nil"/>
              <w:right w:val="nil"/>
            </w:tcBorders>
            <w:shd w:val="clear" w:color="auto" w:fill="auto"/>
            <w:noWrap/>
            <w:vAlign w:val="bottom"/>
          </w:tcPr>
          <w:p w14:paraId="028BF5D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E63D46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Other Biochemistry tests</w:t>
            </w:r>
          </w:p>
        </w:tc>
        <w:tc>
          <w:tcPr>
            <w:tcW w:w="1423" w:type="dxa"/>
            <w:tcBorders>
              <w:top w:val="nil"/>
              <w:left w:val="nil"/>
              <w:bottom w:val="nil"/>
              <w:right w:val="nil"/>
            </w:tcBorders>
            <w:shd w:val="clear" w:color="auto" w:fill="auto"/>
            <w:noWrap/>
            <w:vAlign w:val="bottom"/>
            <w:hideMark/>
          </w:tcPr>
          <w:p w14:paraId="66D891A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3.34936947</w:t>
            </w:r>
          </w:p>
        </w:tc>
      </w:tr>
      <w:tr w:rsidR="002A0F5D" w:rsidRPr="006C68C4" w14:paraId="58CAE278" w14:textId="77777777" w:rsidTr="006C68C4">
        <w:trPr>
          <w:trHeight w:val="290"/>
        </w:trPr>
        <w:tc>
          <w:tcPr>
            <w:tcW w:w="1984" w:type="dxa"/>
            <w:tcBorders>
              <w:top w:val="nil"/>
              <w:left w:val="nil"/>
              <w:bottom w:val="nil"/>
              <w:right w:val="nil"/>
            </w:tcBorders>
            <w:shd w:val="clear" w:color="auto" w:fill="auto"/>
            <w:noWrap/>
            <w:vAlign w:val="bottom"/>
          </w:tcPr>
          <w:p w14:paraId="01830E2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BC3537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Other Lab Result Information</w:t>
            </w:r>
          </w:p>
        </w:tc>
        <w:tc>
          <w:tcPr>
            <w:tcW w:w="1423" w:type="dxa"/>
            <w:tcBorders>
              <w:top w:val="nil"/>
              <w:left w:val="nil"/>
              <w:bottom w:val="nil"/>
              <w:right w:val="nil"/>
            </w:tcBorders>
            <w:shd w:val="clear" w:color="auto" w:fill="auto"/>
            <w:noWrap/>
            <w:vAlign w:val="bottom"/>
            <w:hideMark/>
          </w:tcPr>
          <w:p w14:paraId="2F6535B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3.34936947</w:t>
            </w:r>
          </w:p>
        </w:tc>
      </w:tr>
      <w:tr w:rsidR="002A0F5D" w:rsidRPr="006C68C4" w14:paraId="13D727B7" w14:textId="77777777" w:rsidTr="006C68C4">
        <w:trPr>
          <w:trHeight w:val="290"/>
        </w:trPr>
        <w:tc>
          <w:tcPr>
            <w:tcW w:w="1984" w:type="dxa"/>
            <w:tcBorders>
              <w:top w:val="nil"/>
              <w:left w:val="nil"/>
              <w:bottom w:val="nil"/>
              <w:right w:val="nil"/>
            </w:tcBorders>
            <w:shd w:val="clear" w:color="auto" w:fill="auto"/>
            <w:noWrap/>
            <w:vAlign w:val="bottom"/>
          </w:tcPr>
          <w:p w14:paraId="7A5EF92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888864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Other Laboratory tests</w:t>
            </w:r>
          </w:p>
        </w:tc>
        <w:tc>
          <w:tcPr>
            <w:tcW w:w="1423" w:type="dxa"/>
            <w:tcBorders>
              <w:top w:val="nil"/>
              <w:left w:val="nil"/>
              <w:bottom w:val="nil"/>
              <w:right w:val="nil"/>
            </w:tcBorders>
            <w:shd w:val="clear" w:color="auto" w:fill="auto"/>
            <w:noWrap/>
            <w:vAlign w:val="bottom"/>
            <w:hideMark/>
          </w:tcPr>
          <w:p w14:paraId="18947EF4"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3.34936947</w:t>
            </w:r>
          </w:p>
        </w:tc>
      </w:tr>
      <w:tr w:rsidR="002A0F5D" w:rsidRPr="006C68C4" w14:paraId="34E1F205" w14:textId="77777777" w:rsidTr="006C68C4">
        <w:trPr>
          <w:trHeight w:val="290"/>
        </w:trPr>
        <w:tc>
          <w:tcPr>
            <w:tcW w:w="1984" w:type="dxa"/>
            <w:tcBorders>
              <w:top w:val="nil"/>
              <w:left w:val="nil"/>
              <w:bottom w:val="nil"/>
              <w:right w:val="nil"/>
            </w:tcBorders>
            <w:shd w:val="clear" w:color="auto" w:fill="auto"/>
            <w:noWrap/>
            <w:vAlign w:val="bottom"/>
          </w:tcPr>
          <w:p w14:paraId="401B5F7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52B073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PF best ever</w:t>
            </w:r>
          </w:p>
        </w:tc>
        <w:tc>
          <w:tcPr>
            <w:tcW w:w="1423" w:type="dxa"/>
            <w:tcBorders>
              <w:top w:val="nil"/>
              <w:left w:val="nil"/>
              <w:bottom w:val="nil"/>
              <w:right w:val="nil"/>
            </w:tcBorders>
            <w:shd w:val="clear" w:color="auto" w:fill="auto"/>
            <w:noWrap/>
            <w:vAlign w:val="bottom"/>
            <w:hideMark/>
          </w:tcPr>
          <w:p w14:paraId="0EC19E48"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92.36837655</w:t>
            </w:r>
          </w:p>
        </w:tc>
      </w:tr>
      <w:tr w:rsidR="002A0F5D" w:rsidRPr="006C68C4" w14:paraId="1D36DACE" w14:textId="77777777" w:rsidTr="006C68C4">
        <w:trPr>
          <w:trHeight w:val="290"/>
        </w:trPr>
        <w:tc>
          <w:tcPr>
            <w:tcW w:w="1984" w:type="dxa"/>
            <w:tcBorders>
              <w:top w:val="nil"/>
              <w:left w:val="nil"/>
              <w:bottom w:val="nil"/>
              <w:right w:val="nil"/>
            </w:tcBorders>
            <w:shd w:val="clear" w:color="auto" w:fill="auto"/>
            <w:noWrap/>
            <w:vAlign w:val="bottom"/>
          </w:tcPr>
          <w:p w14:paraId="5B0E76B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4EC4C1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PF current</w:t>
            </w:r>
          </w:p>
        </w:tc>
        <w:tc>
          <w:tcPr>
            <w:tcW w:w="1423" w:type="dxa"/>
            <w:tcBorders>
              <w:top w:val="nil"/>
              <w:left w:val="nil"/>
              <w:bottom w:val="nil"/>
              <w:right w:val="nil"/>
            </w:tcBorders>
            <w:shd w:val="clear" w:color="auto" w:fill="auto"/>
            <w:noWrap/>
            <w:vAlign w:val="bottom"/>
            <w:hideMark/>
          </w:tcPr>
          <w:p w14:paraId="082F64B3"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92.36837655</w:t>
            </w:r>
          </w:p>
        </w:tc>
      </w:tr>
      <w:tr w:rsidR="002A0F5D" w:rsidRPr="006C68C4" w14:paraId="4F29F67D" w14:textId="77777777" w:rsidTr="006C68C4">
        <w:trPr>
          <w:trHeight w:val="290"/>
        </w:trPr>
        <w:tc>
          <w:tcPr>
            <w:tcW w:w="1984" w:type="dxa"/>
            <w:tcBorders>
              <w:top w:val="nil"/>
              <w:left w:val="nil"/>
              <w:bottom w:val="nil"/>
              <w:right w:val="nil"/>
            </w:tcBorders>
            <w:shd w:val="clear" w:color="auto" w:fill="auto"/>
            <w:noWrap/>
            <w:vAlign w:val="bottom"/>
          </w:tcPr>
          <w:p w14:paraId="5C74D80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99000B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PF predicted</w:t>
            </w:r>
          </w:p>
        </w:tc>
        <w:tc>
          <w:tcPr>
            <w:tcW w:w="1423" w:type="dxa"/>
            <w:tcBorders>
              <w:top w:val="nil"/>
              <w:left w:val="nil"/>
              <w:bottom w:val="nil"/>
              <w:right w:val="nil"/>
            </w:tcBorders>
            <w:shd w:val="clear" w:color="auto" w:fill="auto"/>
            <w:noWrap/>
            <w:vAlign w:val="bottom"/>
            <w:hideMark/>
          </w:tcPr>
          <w:p w14:paraId="747888EE"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92.36837655</w:t>
            </w:r>
          </w:p>
        </w:tc>
      </w:tr>
      <w:tr w:rsidR="002A0F5D" w:rsidRPr="006C68C4" w14:paraId="107FEEF3" w14:textId="77777777" w:rsidTr="006C68C4">
        <w:trPr>
          <w:trHeight w:val="290"/>
        </w:trPr>
        <w:tc>
          <w:tcPr>
            <w:tcW w:w="1984" w:type="dxa"/>
            <w:tcBorders>
              <w:top w:val="nil"/>
              <w:left w:val="nil"/>
              <w:bottom w:val="nil"/>
              <w:right w:val="nil"/>
            </w:tcBorders>
            <w:shd w:val="clear" w:color="auto" w:fill="auto"/>
            <w:noWrap/>
            <w:vAlign w:val="bottom"/>
          </w:tcPr>
          <w:p w14:paraId="17E2062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5120F5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Packed Cell Volume</w:t>
            </w:r>
          </w:p>
        </w:tc>
        <w:tc>
          <w:tcPr>
            <w:tcW w:w="1423" w:type="dxa"/>
            <w:tcBorders>
              <w:top w:val="nil"/>
              <w:left w:val="nil"/>
              <w:bottom w:val="nil"/>
              <w:right w:val="nil"/>
            </w:tcBorders>
            <w:shd w:val="clear" w:color="auto" w:fill="auto"/>
            <w:noWrap/>
            <w:vAlign w:val="bottom"/>
            <w:hideMark/>
          </w:tcPr>
          <w:p w14:paraId="30E3069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4CF81A47" w14:textId="77777777" w:rsidTr="006C68C4">
        <w:trPr>
          <w:trHeight w:val="290"/>
        </w:trPr>
        <w:tc>
          <w:tcPr>
            <w:tcW w:w="1984" w:type="dxa"/>
            <w:tcBorders>
              <w:top w:val="nil"/>
              <w:left w:val="nil"/>
              <w:bottom w:val="nil"/>
              <w:right w:val="nil"/>
            </w:tcBorders>
            <w:shd w:val="clear" w:color="auto" w:fill="auto"/>
            <w:noWrap/>
            <w:vAlign w:val="bottom"/>
          </w:tcPr>
          <w:p w14:paraId="16FEA6F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25703A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Partial thromboplastin time</w:t>
            </w:r>
          </w:p>
        </w:tc>
        <w:tc>
          <w:tcPr>
            <w:tcW w:w="1423" w:type="dxa"/>
            <w:tcBorders>
              <w:top w:val="nil"/>
              <w:left w:val="nil"/>
              <w:bottom w:val="nil"/>
              <w:right w:val="nil"/>
            </w:tcBorders>
            <w:shd w:val="clear" w:color="auto" w:fill="auto"/>
            <w:noWrap/>
            <w:vAlign w:val="bottom"/>
            <w:hideMark/>
          </w:tcPr>
          <w:p w14:paraId="1F34F06C"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2597C7A1" w14:textId="77777777" w:rsidTr="006C68C4">
        <w:trPr>
          <w:trHeight w:val="290"/>
        </w:trPr>
        <w:tc>
          <w:tcPr>
            <w:tcW w:w="1984" w:type="dxa"/>
            <w:tcBorders>
              <w:top w:val="nil"/>
              <w:left w:val="nil"/>
              <w:bottom w:val="nil"/>
              <w:right w:val="nil"/>
            </w:tcBorders>
            <w:shd w:val="clear" w:color="auto" w:fill="auto"/>
            <w:noWrap/>
            <w:vAlign w:val="bottom"/>
          </w:tcPr>
          <w:p w14:paraId="6514F4B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FFD62B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Plasma viscosity</w:t>
            </w:r>
          </w:p>
        </w:tc>
        <w:tc>
          <w:tcPr>
            <w:tcW w:w="1423" w:type="dxa"/>
            <w:tcBorders>
              <w:top w:val="nil"/>
              <w:left w:val="nil"/>
              <w:bottom w:val="nil"/>
              <w:right w:val="nil"/>
            </w:tcBorders>
            <w:shd w:val="clear" w:color="auto" w:fill="auto"/>
            <w:noWrap/>
            <w:vAlign w:val="bottom"/>
            <w:hideMark/>
          </w:tcPr>
          <w:p w14:paraId="66C16DA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546599FC" w14:textId="77777777" w:rsidTr="006C68C4">
        <w:trPr>
          <w:trHeight w:val="290"/>
        </w:trPr>
        <w:tc>
          <w:tcPr>
            <w:tcW w:w="1984" w:type="dxa"/>
            <w:tcBorders>
              <w:top w:val="nil"/>
              <w:left w:val="nil"/>
              <w:bottom w:val="nil"/>
              <w:right w:val="nil"/>
            </w:tcBorders>
            <w:shd w:val="clear" w:color="auto" w:fill="auto"/>
            <w:noWrap/>
            <w:vAlign w:val="bottom"/>
          </w:tcPr>
          <w:p w14:paraId="4AD234E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D44F58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Platelets</w:t>
            </w:r>
          </w:p>
        </w:tc>
        <w:tc>
          <w:tcPr>
            <w:tcW w:w="1423" w:type="dxa"/>
            <w:tcBorders>
              <w:top w:val="nil"/>
              <w:left w:val="nil"/>
              <w:bottom w:val="nil"/>
              <w:right w:val="nil"/>
            </w:tcBorders>
            <w:shd w:val="clear" w:color="auto" w:fill="auto"/>
            <w:noWrap/>
            <w:vAlign w:val="bottom"/>
            <w:hideMark/>
          </w:tcPr>
          <w:p w14:paraId="598B69C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556D89E0" w14:textId="77777777" w:rsidTr="006C68C4">
        <w:trPr>
          <w:trHeight w:val="290"/>
        </w:trPr>
        <w:tc>
          <w:tcPr>
            <w:tcW w:w="1984" w:type="dxa"/>
            <w:tcBorders>
              <w:top w:val="nil"/>
              <w:left w:val="nil"/>
              <w:bottom w:val="nil"/>
              <w:right w:val="nil"/>
            </w:tcBorders>
            <w:shd w:val="clear" w:color="auto" w:fill="auto"/>
            <w:noWrap/>
            <w:vAlign w:val="bottom"/>
          </w:tcPr>
          <w:p w14:paraId="58D1363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D196B0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Potassium</w:t>
            </w:r>
          </w:p>
        </w:tc>
        <w:tc>
          <w:tcPr>
            <w:tcW w:w="1423" w:type="dxa"/>
            <w:tcBorders>
              <w:top w:val="nil"/>
              <w:left w:val="nil"/>
              <w:bottom w:val="nil"/>
              <w:right w:val="nil"/>
            </w:tcBorders>
            <w:shd w:val="clear" w:color="auto" w:fill="auto"/>
            <w:noWrap/>
            <w:vAlign w:val="bottom"/>
            <w:hideMark/>
          </w:tcPr>
          <w:p w14:paraId="032C4C08"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70B64C09" w14:textId="77777777" w:rsidTr="006C68C4">
        <w:trPr>
          <w:trHeight w:val="290"/>
        </w:trPr>
        <w:tc>
          <w:tcPr>
            <w:tcW w:w="1984" w:type="dxa"/>
            <w:tcBorders>
              <w:top w:val="nil"/>
              <w:left w:val="nil"/>
              <w:bottom w:val="nil"/>
              <w:right w:val="nil"/>
            </w:tcBorders>
            <w:shd w:val="clear" w:color="auto" w:fill="auto"/>
            <w:noWrap/>
            <w:vAlign w:val="bottom"/>
          </w:tcPr>
          <w:p w14:paraId="664F2E5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6B1B9E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Progesterone</w:t>
            </w:r>
          </w:p>
        </w:tc>
        <w:tc>
          <w:tcPr>
            <w:tcW w:w="1423" w:type="dxa"/>
            <w:tcBorders>
              <w:top w:val="nil"/>
              <w:left w:val="nil"/>
              <w:bottom w:val="nil"/>
              <w:right w:val="nil"/>
            </w:tcBorders>
            <w:shd w:val="clear" w:color="auto" w:fill="auto"/>
            <w:noWrap/>
            <w:vAlign w:val="bottom"/>
            <w:hideMark/>
          </w:tcPr>
          <w:p w14:paraId="6B352416"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309B18E" w14:textId="77777777" w:rsidTr="006C68C4">
        <w:trPr>
          <w:trHeight w:val="290"/>
        </w:trPr>
        <w:tc>
          <w:tcPr>
            <w:tcW w:w="1984" w:type="dxa"/>
            <w:tcBorders>
              <w:top w:val="nil"/>
              <w:left w:val="nil"/>
              <w:bottom w:val="nil"/>
              <w:right w:val="nil"/>
            </w:tcBorders>
            <w:shd w:val="clear" w:color="auto" w:fill="auto"/>
            <w:noWrap/>
            <w:vAlign w:val="bottom"/>
          </w:tcPr>
          <w:p w14:paraId="1C8FF2C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961795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Prolactin level</w:t>
            </w:r>
          </w:p>
        </w:tc>
        <w:tc>
          <w:tcPr>
            <w:tcW w:w="1423" w:type="dxa"/>
            <w:tcBorders>
              <w:top w:val="nil"/>
              <w:left w:val="nil"/>
              <w:bottom w:val="nil"/>
              <w:right w:val="nil"/>
            </w:tcBorders>
            <w:shd w:val="clear" w:color="auto" w:fill="auto"/>
            <w:noWrap/>
            <w:vAlign w:val="bottom"/>
            <w:hideMark/>
          </w:tcPr>
          <w:p w14:paraId="0B7999B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28E01668" w14:textId="77777777" w:rsidTr="006C68C4">
        <w:trPr>
          <w:trHeight w:val="290"/>
        </w:trPr>
        <w:tc>
          <w:tcPr>
            <w:tcW w:w="1984" w:type="dxa"/>
            <w:tcBorders>
              <w:top w:val="nil"/>
              <w:left w:val="nil"/>
              <w:bottom w:val="nil"/>
              <w:right w:val="nil"/>
            </w:tcBorders>
            <w:shd w:val="clear" w:color="auto" w:fill="auto"/>
            <w:noWrap/>
            <w:vAlign w:val="bottom"/>
          </w:tcPr>
          <w:p w14:paraId="35ED6C6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06480C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Prostate specific antigen</w:t>
            </w:r>
          </w:p>
        </w:tc>
        <w:tc>
          <w:tcPr>
            <w:tcW w:w="1423" w:type="dxa"/>
            <w:tcBorders>
              <w:top w:val="nil"/>
              <w:left w:val="nil"/>
              <w:bottom w:val="nil"/>
              <w:right w:val="nil"/>
            </w:tcBorders>
            <w:shd w:val="clear" w:color="auto" w:fill="auto"/>
            <w:noWrap/>
            <w:vAlign w:val="bottom"/>
            <w:hideMark/>
          </w:tcPr>
          <w:p w14:paraId="5AAC8E68"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9985129" w14:textId="77777777" w:rsidTr="006C68C4">
        <w:trPr>
          <w:trHeight w:val="290"/>
        </w:trPr>
        <w:tc>
          <w:tcPr>
            <w:tcW w:w="1984" w:type="dxa"/>
            <w:tcBorders>
              <w:top w:val="nil"/>
              <w:left w:val="nil"/>
              <w:bottom w:val="nil"/>
              <w:right w:val="nil"/>
            </w:tcBorders>
            <w:shd w:val="clear" w:color="auto" w:fill="auto"/>
            <w:noWrap/>
            <w:vAlign w:val="bottom"/>
          </w:tcPr>
          <w:p w14:paraId="37C8597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C1D013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Prothrombin time</w:t>
            </w:r>
          </w:p>
        </w:tc>
        <w:tc>
          <w:tcPr>
            <w:tcW w:w="1423" w:type="dxa"/>
            <w:tcBorders>
              <w:top w:val="nil"/>
              <w:left w:val="nil"/>
              <w:bottom w:val="nil"/>
              <w:right w:val="nil"/>
            </w:tcBorders>
            <w:shd w:val="clear" w:color="auto" w:fill="auto"/>
            <w:noWrap/>
            <w:vAlign w:val="bottom"/>
            <w:hideMark/>
          </w:tcPr>
          <w:p w14:paraId="1FC4BD2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2E3C8823" w14:textId="77777777" w:rsidTr="006C68C4">
        <w:trPr>
          <w:trHeight w:val="290"/>
        </w:trPr>
        <w:tc>
          <w:tcPr>
            <w:tcW w:w="1984" w:type="dxa"/>
            <w:tcBorders>
              <w:top w:val="nil"/>
              <w:left w:val="nil"/>
              <w:bottom w:val="nil"/>
              <w:right w:val="nil"/>
            </w:tcBorders>
            <w:shd w:val="clear" w:color="auto" w:fill="auto"/>
            <w:noWrap/>
            <w:vAlign w:val="bottom"/>
          </w:tcPr>
          <w:p w14:paraId="436E783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007E76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RBC – Folate</w:t>
            </w:r>
          </w:p>
        </w:tc>
        <w:tc>
          <w:tcPr>
            <w:tcW w:w="1423" w:type="dxa"/>
            <w:tcBorders>
              <w:top w:val="nil"/>
              <w:left w:val="nil"/>
              <w:bottom w:val="nil"/>
              <w:right w:val="nil"/>
            </w:tcBorders>
            <w:shd w:val="clear" w:color="auto" w:fill="auto"/>
            <w:noWrap/>
            <w:vAlign w:val="bottom"/>
            <w:hideMark/>
          </w:tcPr>
          <w:p w14:paraId="4A44033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3EB8DAE4" w14:textId="77777777" w:rsidTr="006C68C4">
        <w:trPr>
          <w:trHeight w:val="290"/>
        </w:trPr>
        <w:tc>
          <w:tcPr>
            <w:tcW w:w="1984" w:type="dxa"/>
            <w:tcBorders>
              <w:top w:val="nil"/>
              <w:left w:val="nil"/>
              <w:bottom w:val="nil"/>
              <w:right w:val="nil"/>
            </w:tcBorders>
            <w:shd w:val="clear" w:color="auto" w:fill="auto"/>
            <w:noWrap/>
            <w:vAlign w:val="bottom"/>
          </w:tcPr>
          <w:p w14:paraId="633F737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43C8FE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Red blood cell count</w:t>
            </w:r>
          </w:p>
        </w:tc>
        <w:tc>
          <w:tcPr>
            <w:tcW w:w="1423" w:type="dxa"/>
            <w:tcBorders>
              <w:top w:val="nil"/>
              <w:left w:val="nil"/>
              <w:bottom w:val="nil"/>
              <w:right w:val="nil"/>
            </w:tcBorders>
            <w:shd w:val="clear" w:color="auto" w:fill="auto"/>
            <w:noWrap/>
            <w:vAlign w:val="bottom"/>
            <w:hideMark/>
          </w:tcPr>
          <w:p w14:paraId="7268EF7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4F66A5B7" w14:textId="77777777" w:rsidTr="006C68C4">
        <w:trPr>
          <w:trHeight w:val="290"/>
        </w:trPr>
        <w:tc>
          <w:tcPr>
            <w:tcW w:w="1984" w:type="dxa"/>
            <w:tcBorders>
              <w:top w:val="nil"/>
              <w:left w:val="nil"/>
              <w:bottom w:val="nil"/>
              <w:right w:val="nil"/>
            </w:tcBorders>
            <w:shd w:val="clear" w:color="auto" w:fill="auto"/>
            <w:noWrap/>
            <w:vAlign w:val="bottom"/>
          </w:tcPr>
          <w:p w14:paraId="54B22B2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22D63B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Respiratory Rate</w:t>
            </w:r>
          </w:p>
        </w:tc>
        <w:tc>
          <w:tcPr>
            <w:tcW w:w="1423" w:type="dxa"/>
            <w:tcBorders>
              <w:top w:val="nil"/>
              <w:left w:val="nil"/>
              <w:bottom w:val="nil"/>
              <w:right w:val="nil"/>
            </w:tcBorders>
            <w:shd w:val="clear" w:color="auto" w:fill="auto"/>
            <w:noWrap/>
            <w:vAlign w:val="bottom"/>
            <w:hideMark/>
          </w:tcPr>
          <w:p w14:paraId="325704F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92.36837655</w:t>
            </w:r>
          </w:p>
        </w:tc>
      </w:tr>
      <w:tr w:rsidR="002A0F5D" w:rsidRPr="006C68C4" w14:paraId="5C7F6846" w14:textId="77777777" w:rsidTr="006C68C4">
        <w:trPr>
          <w:trHeight w:val="290"/>
        </w:trPr>
        <w:tc>
          <w:tcPr>
            <w:tcW w:w="1984" w:type="dxa"/>
            <w:tcBorders>
              <w:top w:val="nil"/>
              <w:left w:val="nil"/>
              <w:bottom w:val="nil"/>
              <w:right w:val="nil"/>
            </w:tcBorders>
            <w:shd w:val="clear" w:color="auto" w:fill="auto"/>
            <w:noWrap/>
            <w:vAlign w:val="bottom"/>
          </w:tcPr>
          <w:p w14:paraId="2FF02E7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C33E5B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Reticulocytes</w:t>
            </w:r>
          </w:p>
        </w:tc>
        <w:tc>
          <w:tcPr>
            <w:tcW w:w="1423" w:type="dxa"/>
            <w:tcBorders>
              <w:top w:val="nil"/>
              <w:left w:val="nil"/>
              <w:bottom w:val="nil"/>
              <w:right w:val="nil"/>
            </w:tcBorders>
            <w:shd w:val="clear" w:color="auto" w:fill="auto"/>
            <w:noWrap/>
            <w:vAlign w:val="bottom"/>
            <w:hideMark/>
          </w:tcPr>
          <w:p w14:paraId="5E00B728"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1B7D5035" w14:textId="77777777" w:rsidTr="006C68C4">
        <w:trPr>
          <w:trHeight w:val="290"/>
        </w:trPr>
        <w:tc>
          <w:tcPr>
            <w:tcW w:w="1984" w:type="dxa"/>
            <w:tcBorders>
              <w:top w:val="nil"/>
              <w:left w:val="nil"/>
              <w:bottom w:val="nil"/>
              <w:right w:val="nil"/>
            </w:tcBorders>
            <w:shd w:val="clear" w:color="auto" w:fill="auto"/>
            <w:noWrap/>
            <w:vAlign w:val="bottom"/>
          </w:tcPr>
          <w:p w14:paraId="1ED0311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3F88CF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Rheumatoid factor</w:t>
            </w:r>
          </w:p>
        </w:tc>
        <w:tc>
          <w:tcPr>
            <w:tcW w:w="1423" w:type="dxa"/>
            <w:tcBorders>
              <w:top w:val="nil"/>
              <w:left w:val="nil"/>
              <w:bottom w:val="nil"/>
              <w:right w:val="nil"/>
            </w:tcBorders>
            <w:shd w:val="clear" w:color="auto" w:fill="auto"/>
            <w:noWrap/>
            <w:vAlign w:val="bottom"/>
            <w:hideMark/>
          </w:tcPr>
          <w:p w14:paraId="61447D07"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7.607083198</w:t>
            </w:r>
          </w:p>
        </w:tc>
      </w:tr>
      <w:tr w:rsidR="002A0F5D" w:rsidRPr="006C68C4" w14:paraId="12BBCCC5" w14:textId="77777777" w:rsidTr="006C68C4">
        <w:trPr>
          <w:trHeight w:val="290"/>
        </w:trPr>
        <w:tc>
          <w:tcPr>
            <w:tcW w:w="1984" w:type="dxa"/>
            <w:tcBorders>
              <w:top w:val="nil"/>
              <w:left w:val="nil"/>
              <w:bottom w:val="nil"/>
              <w:right w:val="nil"/>
            </w:tcBorders>
            <w:shd w:val="clear" w:color="auto" w:fill="auto"/>
            <w:noWrap/>
            <w:vAlign w:val="bottom"/>
          </w:tcPr>
          <w:p w14:paraId="317AD2D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FF7C79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ACTH</w:t>
            </w:r>
          </w:p>
        </w:tc>
        <w:tc>
          <w:tcPr>
            <w:tcW w:w="1423" w:type="dxa"/>
            <w:tcBorders>
              <w:top w:val="nil"/>
              <w:left w:val="nil"/>
              <w:bottom w:val="nil"/>
              <w:right w:val="nil"/>
            </w:tcBorders>
            <w:shd w:val="clear" w:color="auto" w:fill="auto"/>
            <w:noWrap/>
            <w:vAlign w:val="bottom"/>
            <w:hideMark/>
          </w:tcPr>
          <w:p w14:paraId="6FB1CABE"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7C7CE13C" w14:textId="77777777" w:rsidTr="006C68C4">
        <w:trPr>
          <w:trHeight w:val="290"/>
        </w:trPr>
        <w:tc>
          <w:tcPr>
            <w:tcW w:w="1984" w:type="dxa"/>
            <w:tcBorders>
              <w:top w:val="nil"/>
              <w:left w:val="nil"/>
              <w:bottom w:val="nil"/>
              <w:right w:val="nil"/>
            </w:tcBorders>
            <w:shd w:val="clear" w:color="auto" w:fill="auto"/>
            <w:noWrap/>
            <w:vAlign w:val="bottom"/>
          </w:tcPr>
          <w:p w14:paraId="49AB4AD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B636A4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Cyclosporin</w:t>
            </w:r>
          </w:p>
        </w:tc>
        <w:tc>
          <w:tcPr>
            <w:tcW w:w="1423" w:type="dxa"/>
            <w:tcBorders>
              <w:top w:val="nil"/>
              <w:left w:val="nil"/>
              <w:bottom w:val="nil"/>
              <w:right w:val="nil"/>
            </w:tcBorders>
            <w:shd w:val="clear" w:color="auto" w:fill="auto"/>
            <w:noWrap/>
            <w:vAlign w:val="bottom"/>
            <w:hideMark/>
          </w:tcPr>
          <w:p w14:paraId="3FF0306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1AAF18A9" w14:textId="77777777" w:rsidTr="006C68C4">
        <w:trPr>
          <w:trHeight w:val="290"/>
        </w:trPr>
        <w:tc>
          <w:tcPr>
            <w:tcW w:w="1984" w:type="dxa"/>
            <w:tcBorders>
              <w:top w:val="nil"/>
              <w:left w:val="nil"/>
              <w:bottom w:val="nil"/>
              <w:right w:val="nil"/>
            </w:tcBorders>
            <w:shd w:val="clear" w:color="auto" w:fill="auto"/>
            <w:noWrap/>
            <w:vAlign w:val="bottom"/>
          </w:tcPr>
          <w:p w14:paraId="5DD9BF7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59438F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Fibrinogen Level</w:t>
            </w:r>
          </w:p>
        </w:tc>
        <w:tc>
          <w:tcPr>
            <w:tcW w:w="1423" w:type="dxa"/>
            <w:tcBorders>
              <w:top w:val="nil"/>
              <w:left w:val="nil"/>
              <w:bottom w:val="nil"/>
              <w:right w:val="nil"/>
            </w:tcBorders>
            <w:shd w:val="clear" w:color="auto" w:fill="auto"/>
            <w:noWrap/>
            <w:vAlign w:val="bottom"/>
            <w:hideMark/>
          </w:tcPr>
          <w:p w14:paraId="225B113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042CBF2" w14:textId="77777777" w:rsidTr="006C68C4">
        <w:trPr>
          <w:trHeight w:val="290"/>
        </w:trPr>
        <w:tc>
          <w:tcPr>
            <w:tcW w:w="1984" w:type="dxa"/>
            <w:tcBorders>
              <w:top w:val="nil"/>
              <w:left w:val="nil"/>
              <w:bottom w:val="nil"/>
              <w:right w:val="nil"/>
            </w:tcBorders>
            <w:shd w:val="clear" w:color="auto" w:fill="auto"/>
            <w:noWrap/>
            <w:vAlign w:val="bottom"/>
          </w:tcPr>
          <w:p w14:paraId="4A51C40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DDA99C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Inorganic Phosphate</w:t>
            </w:r>
          </w:p>
        </w:tc>
        <w:tc>
          <w:tcPr>
            <w:tcW w:w="1423" w:type="dxa"/>
            <w:tcBorders>
              <w:top w:val="nil"/>
              <w:left w:val="nil"/>
              <w:bottom w:val="nil"/>
              <w:right w:val="nil"/>
            </w:tcBorders>
            <w:shd w:val="clear" w:color="auto" w:fill="auto"/>
            <w:noWrap/>
            <w:vAlign w:val="bottom"/>
            <w:hideMark/>
          </w:tcPr>
          <w:p w14:paraId="0649976C"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0E454265" w14:textId="77777777" w:rsidTr="006C68C4">
        <w:trPr>
          <w:trHeight w:val="290"/>
        </w:trPr>
        <w:tc>
          <w:tcPr>
            <w:tcW w:w="1984" w:type="dxa"/>
            <w:tcBorders>
              <w:top w:val="nil"/>
              <w:left w:val="nil"/>
              <w:bottom w:val="nil"/>
              <w:right w:val="nil"/>
            </w:tcBorders>
            <w:shd w:val="clear" w:color="auto" w:fill="auto"/>
            <w:noWrap/>
            <w:vAlign w:val="bottom"/>
          </w:tcPr>
          <w:p w14:paraId="2D96E83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157760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Parathyroid Hormone</w:t>
            </w:r>
          </w:p>
        </w:tc>
        <w:tc>
          <w:tcPr>
            <w:tcW w:w="1423" w:type="dxa"/>
            <w:tcBorders>
              <w:top w:val="nil"/>
              <w:left w:val="nil"/>
              <w:bottom w:val="nil"/>
              <w:right w:val="nil"/>
            </w:tcBorders>
            <w:shd w:val="clear" w:color="auto" w:fill="auto"/>
            <w:noWrap/>
            <w:vAlign w:val="bottom"/>
            <w:hideMark/>
          </w:tcPr>
          <w:p w14:paraId="6356A6AE"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4B4E3179" w14:textId="77777777" w:rsidTr="006C68C4">
        <w:trPr>
          <w:trHeight w:val="290"/>
        </w:trPr>
        <w:tc>
          <w:tcPr>
            <w:tcW w:w="1984" w:type="dxa"/>
            <w:tcBorders>
              <w:top w:val="nil"/>
              <w:left w:val="nil"/>
              <w:bottom w:val="nil"/>
              <w:right w:val="nil"/>
            </w:tcBorders>
            <w:shd w:val="clear" w:color="auto" w:fill="auto"/>
            <w:noWrap/>
            <w:vAlign w:val="bottom"/>
          </w:tcPr>
          <w:p w14:paraId="1210E6B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D700C5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bicarbonate</w:t>
            </w:r>
          </w:p>
        </w:tc>
        <w:tc>
          <w:tcPr>
            <w:tcW w:w="1423" w:type="dxa"/>
            <w:tcBorders>
              <w:top w:val="nil"/>
              <w:left w:val="nil"/>
              <w:bottom w:val="nil"/>
              <w:right w:val="nil"/>
            </w:tcBorders>
            <w:shd w:val="clear" w:color="auto" w:fill="auto"/>
            <w:noWrap/>
            <w:vAlign w:val="bottom"/>
            <w:hideMark/>
          </w:tcPr>
          <w:p w14:paraId="3E973EB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3F7CD7F0" w14:textId="77777777" w:rsidTr="006C68C4">
        <w:trPr>
          <w:trHeight w:val="290"/>
        </w:trPr>
        <w:tc>
          <w:tcPr>
            <w:tcW w:w="1984" w:type="dxa"/>
            <w:tcBorders>
              <w:top w:val="nil"/>
              <w:left w:val="nil"/>
              <w:bottom w:val="nil"/>
              <w:right w:val="nil"/>
            </w:tcBorders>
            <w:shd w:val="clear" w:color="auto" w:fill="auto"/>
            <w:noWrap/>
            <w:vAlign w:val="bottom"/>
          </w:tcPr>
          <w:p w14:paraId="11CCC8E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842EBA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chloride</w:t>
            </w:r>
          </w:p>
        </w:tc>
        <w:tc>
          <w:tcPr>
            <w:tcW w:w="1423" w:type="dxa"/>
            <w:tcBorders>
              <w:top w:val="nil"/>
              <w:left w:val="nil"/>
              <w:bottom w:val="nil"/>
              <w:right w:val="nil"/>
            </w:tcBorders>
            <w:shd w:val="clear" w:color="auto" w:fill="auto"/>
            <w:noWrap/>
            <w:vAlign w:val="bottom"/>
            <w:hideMark/>
          </w:tcPr>
          <w:p w14:paraId="3A573AF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C04F5CD" w14:textId="77777777" w:rsidTr="006C68C4">
        <w:trPr>
          <w:trHeight w:val="290"/>
        </w:trPr>
        <w:tc>
          <w:tcPr>
            <w:tcW w:w="1984" w:type="dxa"/>
            <w:tcBorders>
              <w:top w:val="nil"/>
              <w:left w:val="nil"/>
              <w:bottom w:val="nil"/>
              <w:right w:val="nil"/>
            </w:tcBorders>
            <w:shd w:val="clear" w:color="auto" w:fill="auto"/>
            <w:noWrap/>
            <w:vAlign w:val="bottom"/>
          </w:tcPr>
          <w:p w14:paraId="3374E85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702C08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cholesterol</w:t>
            </w:r>
          </w:p>
        </w:tc>
        <w:tc>
          <w:tcPr>
            <w:tcW w:w="1423" w:type="dxa"/>
            <w:tcBorders>
              <w:top w:val="nil"/>
              <w:left w:val="nil"/>
              <w:bottom w:val="nil"/>
              <w:right w:val="nil"/>
            </w:tcBorders>
            <w:shd w:val="clear" w:color="auto" w:fill="auto"/>
            <w:noWrap/>
            <w:vAlign w:val="bottom"/>
            <w:hideMark/>
          </w:tcPr>
          <w:p w14:paraId="2FA1C4B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486A6D87" w14:textId="77777777" w:rsidTr="006C68C4">
        <w:trPr>
          <w:trHeight w:val="290"/>
        </w:trPr>
        <w:tc>
          <w:tcPr>
            <w:tcW w:w="1984" w:type="dxa"/>
            <w:tcBorders>
              <w:top w:val="nil"/>
              <w:left w:val="nil"/>
              <w:bottom w:val="nil"/>
              <w:right w:val="nil"/>
            </w:tcBorders>
            <w:shd w:val="clear" w:color="auto" w:fill="auto"/>
            <w:noWrap/>
            <w:vAlign w:val="bottom"/>
          </w:tcPr>
          <w:p w14:paraId="1556985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61ECD3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cortisol</w:t>
            </w:r>
          </w:p>
        </w:tc>
        <w:tc>
          <w:tcPr>
            <w:tcW w:w="1423" w:type="dxa"/>
            <w:tcBorders>
              <w:top w:val="nil"/>
              <w:left w:val="nil"/>
              <w:bottom w:val="nil"/>
              <w:right w:val="nil"/>
            </w:tcBorders>
            <w:shd w:val="clear" w:color="auto" w:fill="auto"/>
            <w:noWrap/>
            <w:vAlign w:val="bottom"/>
            <w:hideMark/>
          </w:tcPr>
          <w:p w14:paraId="56B3BD1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4C3B520" w14:textId="77777777" w:rsidTr="006C68C4">
        <w:trPr>
          <w:trHeight w:val="290"/>
        </w:trPr>
        <w:tc>
          <w:tcPr>
            <w:tcW w:w="1984" w:type="dxa"/>
            <w:tcBorders>
              <w:top w:val="nil"/>
              <w:left w:val="nil"/>
              <w:bottom w:val="nil"/>
              <w:right w:val="nil"/>
            </w:tcBorders>
            <w:shd w:val="clear" w:color="auto" w:fill="auto"/>
            <w:noWrap/>
            <w:vAlign w:val="bottom"/>
          </w:tcPr>
          <w:p w14:paraId="35F8C12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316478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creatinine</w:t>
            </w:r>
          </w:p>
        </w:tc>
        <w:tc>
          <w:tcPr>
            <w:tcW w:w="1423" w:type="dxa"/>
            <w:tcBorders>
              <w:top w:val="nil"/>
              <w:left w:val="nil"/>
              <w:bottom w:val="nil"/>
              <w:right w:val="nil"/>
            </w:tcBorders>
            <w:shd w:val="clear" w:color="auto" w:fill="auto"/>
            <w:noWrap/>
            <w:vAlign w:val="bottom"/>
            <w:hideMark/>
          </w:tcPr>
          <w:p w14:paraId="28C33B3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02BBC830" w14:textId="77777777" w:rsidTr="006C68C4">
        <w:trPr>
          <w:trHeight w:val="290"/>
        </w:trPr>
        <w:tc>
          <w:tcPr>
            <w:tcW w:w="1984" w:type="dxa"/>
            <w:tcBorders>
              <w:top w:val="nil"/>
              <w:left w:val="nil"/>
              <w:bottom w:val="nil"/>
              <w:right w:val="nil"/>
            </w:tcBorders>
            <w:shd w:val="clear" w:color="auto" w:fill="auto"/>
            <w:noWrap/>
            <w:vAlign w:val="bottom"/>
          </w:tcPr>
          <w:p w14:paraId="4308680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48C123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electrolytes</w:t>
            </w:r>
          </w:p>
        </w:tc>
        <w:tc>
          <w:tcPr>
            <w:tcW w:w="1423" w:type="dxa"/>
            <w:tcBorders>
              <w:top w:val="nil"/>
              <w:left w:val="nil"/>
              <w:bottom w:val="nil"/>
              <w:right w:val="nil"/>
            </w:tcBorders>
            <w:shd w:val="clear" w:color="auto" w:fill="auto"/>
            <w:noWrap/>
            <w:vAlign w:val="bottom"/>
            <w:hideMark/>
          </w:tcPr>
          <w:p w14:paraId="7CA28B0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ACA25EC" w14:textId="77777777" w:rsidTr="006C68C4">
        <w:trPr>
          <w:trHeight w:val="290"/>
        </w:trPr>
        <w:tc>
          <w:tcPr>
            <w:tcW w:w="1984" w:type="dxa"/>
            <w:tcBorders>
              <w:top w:val="nil"/>
              <w:left w:val="nil"/>
              <w:bottom w:val="nil"/>
              <w:right w:val="nil"/>
            </w:tcBorders>
            <w:shd w:val="clear" w:color="auto" w:fill="auto"/>
            <w:noWrap/>
            <w:vAlign w:val="bottom"/>
          </w:tcPr>
          <w:p w14:paraId="78FB81A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3AA921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ferritin</w:t>
            </w:r>
          </w:p>
        </w:tc>
        <w:tc>
          <w:tcPr>
            <w:tcW w:w="1423" w:type="dxa"/>
            <w:tcBorders>
              <w:top w:val="nil"/>
              <w:left w:val="nil"/>
              <w:bottom w:val="nil"/>
              <w:right w:val="nil"/>
            </w:tcBorders>
            <w:shd w:val="clear" w:color="auto" w:fill="auto"/>
            <w:noWrap/>
            <w:vAlign w:val="bottom"/>
            <w:hideMark/>
          </w:tcPr>
          <w:p w14:paraId="21B2FE1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42E8935" w14:textId="77777777" w:rsidTr="006C68C4">
        <w:trPr>
          <w:trHeight w:val="290"/>
        </w:trPr>
        <w:tc>
          <w:tcPr>
            <w:tcW w:w="1984" w:type="dxa"/>
            <w:tcBorders>
              <w:top w:val="nil"/>
              <w:left w:val="nil"/>
              <w:bottom w:val="nil"/>
              <w:right w:val="nil"/>
            </w:tcBorders>
            <w:shd w:val="clear" w:color="auto" w:fill="auto"/>
            <w:noWrap/>
            <w:vAlign w:val="bottom"/>
          </w:tcPr>
          <w:p w14:paraId="681DB4B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6AA8C3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globulin</w:t>
            </w:r>
          </w:p>
        </w:tc>
        <w:tc>
          <w:tcPr>
            <w:tcW w:w="1423" w:type="dxa"/>
            <w:tcBorders>
              <w:top w:val="nil"/>
              <w:left w:val="nil"/>
              <w:bottom w:val="nil"/>
              <w:right w:val="nil"/>
            </w:tcBorders>
            <w:shd w:val="clear" w:color="auto" w:fill="auto"/>
            <w:noWrap/>
            <w:vAlign w:val="bottom"/>
            <w:hideMark/>
          </w:tcPr>
          <w:p w14:paraId="67D15173"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AE48C29" w14:textId="77777777" w:rsidTr="006C68C4">
        <w:trPr>
          <w:trHeight w:val="290"/>
        </w:trPr>
        <w:tc>
          <w:tcPr>
            <w:tcW w:w="1984" w:type="dxa"/>
            <w:tcBorders>
              <w:top w:val="nil"/>
              <w:left w:val="nil"/>
              <w:bottom w:val="nil"/>
              <w:right w:val="nil"/>
            </w:tcBorders>
            <w:shd w:val="clear" w:color="auto" w:fill="auto"/>
            <w:noWrap/>
            <w:vAlign w:val="bottom"/>
          </w:tcPr>
          <w:p w14:paraId="6852ADB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6DE274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growth hormone</w:t>
            </w:r>
          </w:p>
        </w:tc>
        <w:tc>
          <w:tcPr>
            <w:tcW w:w="1423" w:type="dxa"/>
            <w:tcBorders>
              <w:top w:val="nil"/>
              <w:left w:val="nil"/>
              <w:bottom w:val="nil"/>
              <w:right w:val="nil"/>
            </w:tcBorders>
            <w:shd w:val="clear" w:color="auto" w:fill="auto"/>
            <w:noWrap/>
            <w:vAlign w:val="bottom"/>
            <w:hideMark/>
          </w:tcPr>
          <w:p w14:paraId="5396CA87"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185D3801" w14:textId="77777777" w:rsidTr="006C68C4">
        <w:trPr>
          <w:trHeight w:val="290"/>
        </w:trPr>
        <w:tc>
          <w:tcPr>
            <w:tcW w:w="1984" w:type="dxa"/>
            <w:tcBorders>
              <w:top w:val="nil"/>
              <w:left w:val="nil"/>
              <w:bottom w:val="nil"/>
              <w:right w:val="nil"/>
            </w:tcBorders>
            <w:shd w:val="clear" w:color="auto" w:fill="auto"/>
            <w:noWrap/>
            <w:vAlign w:val="bottom"/>
          </w:tcPr>
          <w:p w14:paraId="0CE1E90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1B6374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iron tests</w:t>
            </w:r>
          </w:p>
        </w:tc>
        <w:tc>
          <w:tcPr>
            <w:tcW w:w="1423" w:type="dxa"/>
            <w:tcBorders>
              <w:top w:val="nil"/>
              <w:left w:val="nil"/>
              <w:bottom w:val="nil"/>
              <w:right w:val="nil"/>
            </w:tcBorders>
            <w:shd w:val="clear" w:color="auto" w:fill="auto"/>
            <w:noWrap/>
            <w:vAlign w:val="bottom"/>
            <w:hideMark/>
          </w:tcPr>
          <w:p w14:paraId="5673179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15A92725" w14:textId="77777777" w:rsidTr="006C68C4">
        <w:trPr>
          <w:trHeight w:val="290"/>
        </w:trPr>
        <w:tc>
          <w:tcPr>
            <w:tcW w:w="1984" w:type="dxa"/>
            <w:tcBorders>
              <w:top w:val="nil"/>
              <w:left w:val="nil"/>
              <w:bottom w:val="nil"/>
              <w:right w:val="nil"/>
            </w:tcBorders>
            <w:shd w:val="clear" w:color="auto" w:fill="auto"/>
            <w:noWrap/>
            <w:vAlign w:val="bottom"/>
          </w:tcPr>
          <w:p w14:paraId="4B3A35A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329702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lactate</w:t>
            </w:r>
          </w:p>
        </w:tc>
        <w:tc>
          <w:tcPr>
            <w:tcW w:w="1423" w:type="dxa"/>
            <w:tcBorders>
              <w:top w:val="nil"/>
              <w:left w:val="nil"/>
              <w:bottom w:val="nil"/>
              <w:right w:val="nil"/>
            </w:tcBorders>
            <w:shd w:val="clear" w:color="auto" w:fill="auto"/>
            <w:noWrap/>
            <w:vAlign w:val="bottom"/>
            <w:hideMark/>
          </w:tcPr>
          <w:p w14:paraId="37C1821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49B7101F" w14:textId="77777777" w:rsidTr="006C68C4">
        <w:trPr>
          <w:trHeight w:val="290"/>
        </w:trPr>
        <w:tc>
          <w:tcPr>
            <w:tcW w:w="1984" w:type="dxa"/>
            <w:tcBorders>
              <w:top w:val="nil"/>
              <w:left w:val="nil"/>
              <w:bottom w:val="nil"/>
              <w:right w:val="nil"/>
            </w:tcBorders>
            <w:shd w:val="clear" w:color="auto" w:fill="auto"/>
            <w:noWrap/>
            <w:vAlign w:val="bottom"/>
          </w:tcPr>
          <w:p w14:paraId="154F680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257514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Serum osmolality</w:t>
            </w:r>
          </w:p>
        </w:tc>
        <w:tc>
          <w:tcPr>
            <w:tcW w:w="1423" w:type="dxa"/>
            <w:tcBorders>
              <w:top w:val="nil"/>
              <w:left w:val="nil"/>
              <w:bottom w:val="nil"/>
              <w:right w:val="nil"/>
            </w:tcBorders>
            <w:shd w:val="clear" w:color="auto" w:fill="auto"/>
            <w:noWrap/>
            <w:vAlign w:val="bottom"/>
            <w:hideMark/>
          </w:tcPr>
          <w:p w14:paraId="0AD5DE1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F1B7F9B" w14:textId="77777777" w:rsidTr="006C68C4">
        <w:trPr>
          <w:trHeight w:val="290"/>
        </w:trPr>
        <w:tc>
          <w:tcPr>
            <w:tcW w:w="1984" w:type="dxa"/>
            <w:tcBorders>
              <w:top w:val="nil"/>
              <w:left w:val="nil"/>
              <w:bottom w:val="nil"/>
              <w:right w:val="nil"/>
            </w:tcBorders>
            <w:shd w:val="clear" w:color="auto" w:fill="auto"/>
            <w:noWrap/>
            <w:vAlign w:val="bottom"/>
          </w:tcPr>
          <w:p w14:paraId="0EF24C5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0670EE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Sex Hormone Binding Globulin</w:t>
            </w:r>
          </w:p>
        </w:tc>
        <w:tc>
          <w:tcPr>
            <w:tcW w:w="1423" w:type="dxa"/>
            <w:tcBorders>
              <w:top w:val="nil"/>
              <w:left w:val="nil"/>
              <w:bottom w:val="nil"/>
              <w:right w:val="nil"/>
            </w:tcBorders>
            <w:shd w:val="clear" w:color="auto" w:fill="auto"/>
            <w:noWrap/>
            <w:vAlign w:val="bottom"/>
            <w:hideMark/>
          </w:tcPr>
          <w:p w14:paraId="0CB38C56"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376DE795" w14:textId="77777777" w:rsidTr="006C68C4">
        <w:trPr>
          <w:trHeight w:val="290"/>
        </w:trPr>
        <w:tc>
          <w:tcPr>
            <w:tcW w:w="1984" w:type="dxa"/>
            <w:tcBorders>
              <w:top w:val="nil"/>
              <w:left w:val="nil"/>
              <w:bottom w:val="nil"/>
              <w:right w:val="nil"/>
            </w:tcBorders>
            <w:shd w:val="clear" w:color="auto" w:fill="auto"/>
            <w:noWrap/>
            <w:vAlign w:val="bottom"/>
          </w:tcPr>
          <w:p w14:paraId="3CFB46A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ED227B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Sodium</w:t>
            </w:r>
          </w:p>
        </w:tc>
        <w:tc>
          <w:tcPr>
            <w:tcW w:w="1423" w:type="dxa"/>
            <w:tcBorders>
              <w:top w:val="nil"/>
              <w:left w:val="nil"/>
              <w:bottom w:val="nil"/>
              <w:right w:val="nil"/>
            </w:tcBorders>
            <w:shd w:val="clear" w:color="auto" w:fill="auto"/>
            <w:noWrap/>
            <w:vAlign w:val="bottom"/>
            <w:hideMark/>
          </w:tcPr>
          <w:p w14:paraId="2F49A5E4"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3B382EE" w14:textId="77777777" w:rsidTr="006C68C4">
        <w:trPr>
          <w:trHeight w:val="290"/>
        </w:trPr>
        <w:tc>
          <w:tcPr>
            <w:tcW w:w="1984" w:type="dxa"/>
            <w:tcBorders>
              <w:top w:val="nil"/>
              <w:left w:val="nil"/>
              <w:bottom w:val="nil"/>
              <w:right w:val="nil"/>
            </w:tcBorders>
            <w:shd w:val="clear" w:color="auto" w:fill="auto"/>
            <w:noWrap/>
            <w:vAlign w:val="bottom"/>
          </w:tcPr>
          <w:p w14:paraId="0E5A0B1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F68EBB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Temperature</w:t>
            </w:r>
          </w:p>
        </w:tc>
        <w:tc>
          <w:tcPr>
            <w:tcW w:w="1423" w:type="dxa"/>
            <w:tcBorders>
              <w:top w:val="nil"/>
              <w:left w:val="nil"/>
              <w:bottom w:val="nil"/>
              <w:right w:val="nil"/>
            </w:tcBorders>
            <w:shd w:val="clear" w:color="auto" w:fill="auto"/>
            <w:noWrap/>
            <w:vAlign w:val="bottom"/>
            <w:hideMark/>
          </w:tcPr>
          <w:p w14:paraId="6726B9D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3.34936947</w:t>
            </w:r>
          </w:p>
        </w:tc>
      </w:tr>
      <w:tr w:rsidR="002A0F5D" w:rsidRPr="006C68C4" w14:paraId="4AB4CAFA" w14:textId="77777777" w:rsidTr="006C68C4">
        <w:trPr>
          <w:trHeight w:val="290"/>
        </w:trPr>
        <w:tc>
          <w:tcPr>
            <w:tcW w:w="1984" w:type="dxa"/>
            <w:tcBorders>
              <w:top w:val="nil"/>
              <w:left w:val="nil"/>
              <w:bottom w:val="nil"/>
              <w:right w:val="nil"/>
            </w:tcBorders>
            <w:shd w:val="clear" w:color="auto" w:fill="auto"/>
            <w:noWrap/>
            <w:vAlign w:val="bottom"/>
          </w:tcPr>
          <w:p w14:paraId="28B2D5E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FC4D8E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Testosterone</w:t>
            </w:r>
          </w:p>
        </w:tc>
        <w:tc>
          <w:tcPr>
            <w:tcW w:w="1423" w:type="dxa"/>
            <w:tcBorders>
              <w:top w:val="nil"/>
              <w:left w:val="nil"/>
              <w:bottom w:val="nil"/>
              <w:right w:val="nil"/>
            </w:tcBorders>
            <w:shd w:val="clear" w:color="auto" w:fill="auto"/>
            <w:noWrap/>
            <w:vAlign w:val="bottom"/>
            <w:hideMark/>
          </w:tcPr>
          <w:p w14:paraId="6DC21BE3"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3469A3B4" w14:textId="77777777" w:rsidTr="006C68C4">
        <w:trPr>
          <w:trHeight w:val="290"/>
        </w:trPr>
        <w:tc>
          <w:tcPr>
            <w:tcW w:w="1984" w:type="dxa"/>
            <w:tcBorders>
              <w:top w:val="nil"/>
              <w:left w:val="nil"/>
              <w:bottom w:val="nil"/>
              <w:right w:val="nil"/>
            </w:tcBorders>
            <w:shd w:val="clear" w:color="auto" w:fill="auto"/>
            <w:noWrap/>
            <w:vAlign w:val="bottom"/>
          </w:tcPr>
          <w:p w14:paraId="14DBA7D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9C3E1B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Theophylline</w:t>
            </w:r>
          </w:p>
        </w:tc>
        <w:tc>
          <w:tcPr>
            <w:tcW w:w="1423" w:type="dxa"/>
            <w:tcBorders>
              <w:top w:val="nil"/>
              <w:left w:val="nil"/>
              <w:bottom w:val="nil"/>
              <w:right w:val="nil"/>
            </w:tcBorders>
            <w:shd w:val="clear" w:color="auto" w:fill="auto"/>
            <w:noWrap/>
            <w:vAlign w:val="bottom"/>
            <w:hideMark/>
          </w:tcPr>
          <w:p w14:paraId="7AB6084E"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08C6B759" w14:textId="77777777" w:rsidTr="006C68C4">
        <w:trPr>
          <w:trHeight w:val="290"/>
        </w:trPr>
        <w:tc>
          <w:tcPr>
            <w:tcW w:w="1984" w:type="dxa"/>
            <w:tcBorders>
              <w:top w:val="nil"/>
              <w:left w:val="nil"/>
              <w:bottom w:val="nil"/>
              <w:right w:val="nil"/>
            </w:tcBorders>
            <w:shd w:val="clear" w:color="auto" w:fill="auto"/>
            <w:noWrap/>
            <w:vAlign w:val="bottom"/>
          </w:tcPr>
          <w:p w14:paraId="53BA048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24CD4F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Thrombin time</w:t>
            </w:r>
          </w:p>
        </w:tc>
        <w:tc>
          <w:tcPr>
            <w:tcW w:w="1423" w:type="dxa"/>
            <w:tcBorders>
              <w:top w:val="nil"/>
              <w:left w:val="nil"/>
              <w:bottom w:val="nil"/>
              <w:right w:val="nil"/>
            </w:tcBorders>
            <w:shd w:val="clear" w:color="auto" w:fill="auto"/>
            <w:noWrap/>
            <w:vAlign w:val="bottom"/>
            <w:hideMark/>
          </w:tcPr>
          <w:p w14:paraId="7891B48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933E32A" w14:textId="77777777" w:rsidTr="006C68C4">
        <w:trPr>
          <w:trHeight w:val="290"/>
        </w:trPr>
        <w:tc>
          <w:tcPr>
            <w:tcW w:w="1984" w:type="dxa"/>
            <w:tcBorders>
              <w:top w:val="nil"/>
              <w:left w:val="nil"/>
              <w:bottom w:val="nil"/>
              <w:right w:val="nil"/>
            </w:tcBorders>
            <w:shd w:val="clear" w:color="auto" w:fill="auto"/>
            <w:noWrap/>
            <w:vAlign w:val="bottom"/>
          </w:tcPr>
          <w:p w14:paraId="4A7475D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0D8E4B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Thyroid Stimulating Hormone</w:t>
            </w:r>
          </w:p>
        </w:tc>
        <w:tc>
          <w:tcPr>
            <w:tcW w:w="1423" w:type="dxa"/>
            <w:tcBorders>
              <w:top w:val="nil"/>
              <w:left w:val="nil"/>
              <w:bottom w:val="nil"/>
              <w:right w:val="nil"/>
            </w:tcBorders>
            <w:shd w:val="clear" w:color="auto" w:fill="auto"/>
            <w:noWrap/>
            <w:vAlign w:val="bottom"/>
            <w:hideMark/>
          </w:tcPr>
          <w:p w14:paraId="4BCBEC4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B5CB222" w14:textId="77777777" w:rsidTr="006C68C4">
        <w:trPr>
          <w:trHeight w:val="290"/>
        </w:trPr>
        <w:tc>
          <w:tcPr>
            <w:tcW w:w="1984" w:type="dxa"/>
            <w:tcBorders>
              <w:top w:val="nil"/>
              <w:left w:val="nil"/>
              <w:bottom w:val="nil"/>
              <w:right w:val="nil"/>
            </w:tcBorders>
            <w:shd w:val="clear" w:color="auto" w:fill="auto"/>
            <w:noWrap/>
            <w:vAlign w:val="bottom"/>
          </w:tcPr>
          <w:p w14:paraId="069EA2C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ED7113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Thyroxine</w:t>
            </w:r>
          </w:p>
        </w:tc>
        <w:tc>
          <w:tcPr>
            <w:tcW w:w="1423" w:type="dxa"/>
            <w:tcBorders>
              <w:top w:val="nil"/>
              <w:left w:val="nil"/>
              <w:bottom w:val="nil"/>
              <w:right w:val="nil"/>
            </w:tcBorders>
            <w:shd w:val="clear" w:color="auto" w:fill="auto"/>
            <w:noWrap/>
            <w:vAlign w:val="bottom"/>
            <w:hideMark/>
          </w:tcPr>
          <w:p w14:paraId="6BBD61C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005E20D2" w14:textId="77777777" w:rsidTr="006C68C4">
        <w:trPr>
          <w:trHeight w:val="290"/>
        </w:trPr>
        <w:tc>
          <w:tcPr>
            <w:tcW w:w="1984" w:type="dxa"/>
            <w:tcBorders>
              <w:top w:val="nil"/>
              <w:left w:val="nil"/>
              <w:bottom w:val="nil"/>
              <w:right w:val="nil"/>
            </w:tcBorders>
            <w:shd w:val="clear" w:color="auto" w:fill="auto"/>
            <w:noWrap/>
            <w:vAlign w:val="bottom"/>
          </w:tcPr>
          <w:p w14:paraId="0E2AAE0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662F6B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Total iron binding capacity</w:t>
            </w:r>
          </w:p>
        </w:tc>
        <w:tc>
          <w:tcPr>
            <w:tcW w:w="1423" w:type="dxa"/>
            <w:tcBorders>
              <w:top w:val="nil"/>
              <w:left w:val="nil"/>
              <w:bottom w:val="nil"/>
              <w:right w:val="nil"/>
            </w:tcBorders>
            <w:shd w:val="clear" w:color="auto" w:fill="auto"/>
            <w:noWrap/>
            <w:vAlign w:val="bottom"/>
            <w:hideMark/>
          </w:tcPr>
          <w:p w14:paraId="6D9ECE5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C7567B2" w14:textId="77777777" w:rsidTr="006C68C4">
        <w:trPr>
          <w:trHeight w:val="290"/>
        </w:trPr>
        <w:tc>
          <w:tcPr>
            <w:tcW w:w="1984" w:type="dxa"/>
            <w:tcBorders>
              <w:top w:val="nil"/>
              <w:left w:val="nil"/>
              <w:bottom w:val="nil"/>
              <w:right w:val="nil"/>
            </w:tcBorders>
            <w:shd w:val="clear" w:color="auto" w:fill="auto"/>
            <w:noWrap/>
            <w:vAlign w:val="bottom"/>
          </w:tcPr>
          <w:p w14:paraId="361DC3A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EE87DD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Total protein</w:t>
            </w:r>
          </w:p>
        </w:tc>
        <w:tc>
          <w:tcPr>
            <w:tcW w:w="1423" w:type="dxa"/>
            <w:tcBorders>
              <w:top w:val="nil"/>
              <w:left w:val="nil"/>
              <w:bottom w:val="nil"/>
              <w:right w:val="nil"/>
            </w:tcBorders>
            <w:shd w:val="clear" w:color="auto" w:fill="auto"/>
            <w:noWrap/>
            <w:vAlign w:val="bottom"/>
            <w:hideMark/>
          </w:tcPr>
          <w:p w14:paraId="28309FF6"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2A1E496" w14:textId="77777777" w:rsidTr="006C68C4">
        <w:trPr>
          <w:trHeight w:val="290"/>
        </w:trPr>
        <w:tc>
          <w:tcPr>
            <w:tcW w:w="1984" w:type="dxa"/>
            <w:tcBorders>
              <w:top w:val="nil"/>
              <w:left w:val="nil"/>
              <w:bottom w:val="nil"/>
              <w:right w:val="nil"/>
            </w:tcBorders>
            <w:shd w:val="clear" w:color="auto" w:fill="auto"/>
            <w:noWrap/>
            <w:vAlign w:val="bottom"/>
          </w:tcPr>
          <w:p w14:paraId="6F1814D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9E5769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Triglycerides</w:t>
            </w:r>
          </w:p>
        </w:tc>
        <w:tc>
          <w:tcPr>
            <w:tcW w:w="1423" w:type="dxa"/>
            <w:tcBorders>
              <w:top w:val="nil"/>
              <w:left w:val="nil"/>
              <w:bottom w:val="nil"/>
              <w:right w:val="nil"/>
            </w:tcBorders>
            <w:shd w:val="clear" w:color="auto" w:fill="auto"/>
            <w:noWrap/>
            <w:vAlign w:val="bottom"/>
            <w:hideMark/>
          </w:tcPr>
          <w:p w14:paraId="4302847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C4FA2C0" w14:textId="77777777" w:rsidTr="006C68C4">
        <w:trPr>
          <w:trHeight w:val="290"/>
        </w:trPr>
        <w:tc>
          <w:tcPr>
            <w:tcW w:w="1984" w:type="dxa"/>
            <w:tcBorders>
              <w:top w:val="nil"/>
              <w:left w:val="nil"/>
              <w:bottom w:val="nil"/>
              <w:right w:val="nil"/>
            </w:tcBorders>
            <w:shd w:val="clear" w:color="auto" w:fill="auto"/>
            <w:noWrap/>
            <w:vAlign w:val="bottom"/>
          </w:tcPr>
          <w:p w14:paraId="27CB304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907C8D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Triodothyronine</w:t>
            </w:r>
          </w:p>
        </w:tc>
        <w:tc>
          <w:tcPr>
            <w:tcW w:w="1423" w:type="dxa"/>
            <w:tcBorders>
              <w:top w:val="nil"/>
              <w:left w:val="nil"/>
              <w:bottom w:val="nil"/>
              <w:right w:val="nil"/>
            </w:tcBorders>
            <w:shd w:val="clear" w:color="auto" w:fill="auto"/>
            <w:noWrap/>
            <w:vAlign w:val="bottom"/>
            <w:hideMark/>
          </w:tcPr>
          <w:p w14:paraId="7AB0D10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1FE95B87" w14:textId="77777777" w:rsidTr="006C68C4">
        <w:trPr>
          <w:trHeight w:val="290"/>
        </w:trPr>
        <w:tc>
          <w:tcPr>
            <w:tcW w:w="1984" w:type="dxa"/>
            <w:tcBorders>
              <w:top w:val="nil"/>
              <w:left w:val="nil"/>
              <w:bottom w:val="nil"/>
              <w:right w:val="nil"/>
            </w:tcBorders>
            <w:shd w:val="clear" w:color="auto" w:fill="auto"/>
            <w:noWrap/>
            <w:vAlign w:val="bottom"/>
          </w:tcPr>
          <w:p w14:paraId="46239C5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F322B9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Tumour Markers</w:t>
            </w:r>
          </w:p>
        </w:tc>
        <w:tc>
          <w:tcPr>
            <w:tcW w:w="1423" w:type="dxa"/>
            <w:tcBorders>
              <w:top w:val="nil"/>
              <w:left w:val="nil"/>
              <w:bottom w:val="nil"/>
              <w:right w:val="nil"/>
            </w:tcBorders>
            <w:shd w:val="clear" w:color="auto" w:fill="auto"/>
            <w:noWrap/>
            <w:vAlign w:val="bottom"/>
            <w:hideMark/>
          </w:tcPr>
          <w:p w14:paraId="22BF4C93"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7.607083198</w:t>
            </w:r>
          </w:p>
        </w:tc>
      </w:tr>
      <w:tr w:rsidR="002A0F5D" w:rsidRPr="006C68C4" w14:paraId="0F5CEC45" w14:textId="77777777" w:rsidTr="006C68C4">
        <w:trPr>
          <w:trHeight w:val="290"/>
        </w:trPr>
        <w:tc>
          <w:tcPr>
            <w:tcW w:w="1984" w:type="dxa"/>
            <w:tcBorders>
              <w:top w:val="nil"/>
              <w:left w:val="nil"/>
              <w:bottom w:val="nil"/>
              <w:right w:val="nil"/>
            </w:tcBorders>
            <w:shd w:val="clear" w:color="auto" w:fill="auto"/>
            <w:noWrap/>
            <w:vAlign w:val="bottom"/>
          </w:tcPr>
          <w:p w14:paraId="5668FF6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51A85C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Urea – blood</w:t>
            </w:r>
          </w:p>
        </w:tc>
        <w:tc>
          <w:tcPr>
            <w:tcW w:w="1423" w:type="dxa"/>
            <w:tcBorders>
              <w:top w:val="nil"/>
              <w:left w:val="nil"/>
              <w:bottom w:val="nil"/>
              <w:right w:val="nil"/>
            </w:tcBorders>
            <w:shd w:val="clear" w:color="auto" w:fill="auto"/>
            <w:noWrap/>
            <w:vAlign w:val="bottom"/>
            <w:hideMark/>
          </w:tcPr>
          <w:p w14:paraId="358A229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3AD3C744" w14:textId="77777777" w:rsidTr="006C68C4">
        <w:trPr>
          <w:trHeight w:val="290"/>
        </w:trPr>
        <w:tc>
          <w:tcPr>
            <w:tcW w:w="1984" w:type="dxa"/>
            <w:tcBorders>
              <w:top w:val="nil"/>
              <w:left w:val="nil"/>
              <w:bottom w:val="nil"/>
              <w:right w:val="nil"/>
            </w:tcBorders>
            <w:shd w:val="clear" w:color="auto" w:fill="auto"/>
            <w:noWrap/>
            <w:vAlign w:val="bottom"/>
          </w:tcPr>
          <w:p w14:paraId="7AE0D38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E1EDDC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Uric acid blood level</w:t>
            </w:r>
          </w:p>
        </w:tc>
        <w:tc>
          <w:tcPr>
            <w:tcW w:w="1423" w:type="dxa"/>
            <w:tcBorders>
              <w:top w:val="nil"/>
              <w:left w:val="nil"/>
              <w:bottom w:val="nil"/>
              <w:right w:val="nil"/>
            </w:tcBorders>
            <w:shd w:val="clear" w:color="auto" w:fill="auto"/>
            <w:noWrap/>
            <w:vAlign w:val="bottom"/>
            <w:hideMark/>
          </w:tcPr>
          <w:p w14:paraId="212F9E2C"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6237A69" w14:textId="77777777" w:rsidTr="006C68C4">
        <w:trPr>
          <w:trHeight w:val="290"/>
        </w:trPr>
        <w:tc>
          <w:tcPr>
            <w:tcW w:w="1984" w:type="dxa"/>
            <w:tcBorders>
              <w:top w:val="nil"/>
              <w:left w:val="nil"/>
              <w:bottom w:val="nil"/>
              <w:right w:val="nil"/>
            </w:tcBorders>
            <w:shd w:val="clear" w:color="auto" w:fill="auto"/>
            <w:noWrap/>
            <w:vAlign w:val="bottom"/>
          </w:tcPr>
          <w:p w14:paraId="699047E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F235EB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Urine Biochemistry</w:t>
            </w:r>
          </w:p>
        </w:tc>
        <w:tc>
          <w:tcPr>
            <w:tcW w:w="1423" w:type="dxa"/>
            <w:tcBorders>
              <w:top w:val="nil"/>
              <w:left w:val="nil"/>
              <w:bottom w:val="nil"/>
              <w:right w:val="nil"/>
            </w:tcBorders>
            <w:shd w:val="clear" w:color="auto" w:fill="auto"/>
            <w:noWrap/>
            <w:vAlign w:val="bottom"/>
            <w:hideMark/>
          </w:tcPr>
          <w:p w14:paraId="6AF50DE8"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3F20C736" w14:textId="77777777" w:rsidTr="006C68C4">
        <w:trPr>
          <w:trHeight w:val="290"/>
        </w:trPr>
        <w:tc>
          <w:tcPr>
            <w:tcW w:w="1984" w:type="dxa"/>
            <w:tcBorders>
              <w:top w:val="nil"/>
              <w:left w:val="nil"/>
              <w:bottom w:val="nil"/>
              <w:right w:val="nil"/>
            </w:tcBorders>
            <w:shd w:val="clear" w:color="auto" w:fill="auto"/>
            <w:noWrap/>
            <w:vAlign w:val="bottom"/>
          </w:tcPr>
          <w:p w14:paraId="2A1BF52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D99697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Urine dipstick for pH</w:t>
            </w:r>
          </w:p>
        </w:tc>
        <w:tc>
          <w:tcPr>
            <w:tcW w:w="1423" w:type="dxa"/>
            <w:tcBorders>
              <w:top w:val="nil"/>
              <w:left w:val="nil"/>
              <w:bottom w:val="nil"/>
              <w:right w:val="nil"/>
            </w:tcBorders>
            <w:shd w:val="clear" w:color="auto" w:fill="auto"/>
            <w:noWrap/>
            <w:vAlign w:val="bottom"/>
            <w:hideMark/>
          </w:tcPr>
          <w:p w14:paraId="516F8A7D"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3.34936947</w:t>
            </w:r>
          </w:p>
        </w:tc>
      </w:tr>
      <w:tr w:rsidR="002A0F5D" w:rsidRPr="006C68C4" w14:paraId="5F97DB8B" w14:textId="77777777" w:rsidTr="006C68C4">
        <w:trPr>
          <w:trHeight w:val="290"/>
        </w:trPr>
        <w:tc>
          <w:tcPr>
            <w:tcW w:w="1984" w:type="dxa"/>
            <w:tcBorders>
              <w:top w:val="nil"/>
              <w:left w:val="nil"/>
              <w:bottom w:val="nil"/>
              <w:right w:val="nil"/>
            </w:tcBorders>
            <w:shd w:val="clear" w:color="auto" w:fill="auto"/>
            <w:noWrap/>
            <w:vAlign w:val="bottom"/>
          </w:tcPr>
          <w:p w14:paraId="6787286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724C8D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Urine microalbumin</w:t>
            </w:r>
          </w:p>
        </w:tc>
        <w:tc>
          <w:tcPr>
            <w:tcW w:w="1423" w:type="dxa"/>
            <w:tcBorders>
              <w:top w:val="nil"/>
              <w:left w:val="nil"/>
              <w:bottom w:val="nil"/>
              <w:right w:val="nil"/>
            </w:tcBorders>
            <w:shd w:val="clear" w:color="auto" w:fill="auto"/>
            <w:noWrap/>
            <w:vAlign w:val="bottom"/>
            <w:hideMark/>
          </w:tcPr>
          <w:p w14:paraId="69398B0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76C7369C" w14:textId="77777777" w:rsidTr="006C68C4">
        <w:trPr>
          <w:trHeight w:val="290"/>
        </w:trPr>
        <w:tc>
          <w:tcPr>
            <w:tcW w:w="1984" w:type="dxa"/>
            <w:tcBorders>
              <w:top w:val="nil"/>
              <w:left w:val="nil"/>
              <w:bottom w:val="nil"/>
              <w:right w:val="nil"/>
            </w:tcBorders>
            <w:shd w:val="clear" w:color="auto" w:fill="auto"/>
            <w:noWrap/>
            <w:vAlign w:val="bottom"/>
          </w:tcPr>
          <w:p w14:paraId="5FCE465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76CCE6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Very low density lipoprotein</w:t>
            </w:r>
          </w:p>
        </w:tc>
        <w:tc>
          <w:tcPr>
            <w:tcW w:w="1423" w:type="dxa"/>
            <w:tcBorders>
              <w:top w:val="nil"/>
              <w:left w:val="nil"/>
              <w:bottom w:val="nil"/>
              <w:right w:val="nil"/>
            </w:tcBorders>
            <w:shd w:val="clear" w:color="auto" w:fill="auto"/>
            <w:noWrap/>
            <w:vAlign w:val="bottom"/>
            <w:hideMark/>
          </w:tcPr>
          <w:p w14:paraId="7436D646"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9683845" w14:textId="77777777" w:rsidTr="006C68C4">
        <w:trPr>
          <w:trHeight w:val="290"/>
        </w:trPr>
        <w:tc>
          <w:tcPr>
            <w:tcW w:w="1984" w:type="dxa"/>
            <w:tcBorders>
              <w:top w:val="nil"/>
              <w:left w:val="nil"/>
              <w:bottom w:val="nil"/>
              <w:right w:val="nil"/>
            </w:tcBorders>
            <w:shd w:val="clear" w:color="auto" w:fill="auto"/>
            <w:noWrap/>
            <w:vAlign w:val="bottom"/>
          </w:tcPr>
          <w:p w14:paraId="5386F03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AB9427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Vital Capacity</w:t>
            </w:r>
          </w:p>
        </w:tc>
        <w:tc>
          <w:tcPr>
            <w:tcW w:w="1423" w:type="dxa"/>
            <w:tcBorders>
              <w:top w:val="nil"/>
              <w:left w:val="nil"/>
              <w:bottom w:val="nil"/>
              <w:right w:val="nil"/>
            </w:tcBorders>
            <w:shd w:val="clear" w:color="auto" w:fill="auto"/>
            <w:noWrap/>
            <w:vAlign w:val="bottom"/>
            <w:hideMark/>
          </w:tcPr>
          <w:p w14:paraId="3037D80D"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92.36837655</w:t>
            </w:r>
          </w:p>
        </w:tc>
      </w:tr>
      <w:tr w:rsidR="002A0F5D" w:rsidRPr="006C68C4" w14:paraId="3D003FBF" w14:textId="77777777" w:rsidTr="006C68C4">
        <w:trPr>
          <w:trHeight w:val="290"/>
        </w:trPr>
        <w:tc>
          <w:tcPr>
            <w:tcW w:w="1984" w:type="dxa"/>
            <w:tcBorders>
              <w:top w:val="nil"/>
              <w:left w:val="nil"/>
              <w:bottom w:val="nil"/>
              <w:right w:val="nil"/>
            </w:tcBorders>
            <w:shd w:val="clear" w:color="auto" w:fill="auto"/>
            <w:noWrap/>
            <w:vAlign w:val="bottom"/>
          </w:tcPr>
          <w:p w14:paraId="5E43AF3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5A4DBD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White blood count</w:t>
            </w:r>
          </w:p>
        </w:tc>
        <w:tc>
          <w:tcPr>
            <w:tcW w:w="1423" w:type="dxa"/>
            <w:tcBorders>
              <w:top w:val="nil"/>
              <w:left w:val="nil"/>
              <w:bottom w:val="nil"/>
              <w:right w:val="nil"/>
            </w:tcBorders>
            <w:shd w:val="clear" w:color="auto" w:fill="auto"/>
            <w:noWrap/>
            <w:vAlign w:val="bottom"/>
            <w:hideMark/>
          </w:tcPr>
          <w:p w14:paraId="0093B12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4519756A" w14:textId="77777777" w:rsidTr="006C68C4">
        <w:trPr>
          <w:trHeight w:val="290"/>
        </w:trPr>
        <w:tc>
          <w:tcPr>
            <w:tcW w:w="1984" w:type="dxa"/>
            <w:tcBorders>
              <w:top w:val="nil"/>
              <w:left w:val="nil"/>
              <w:bottom w:val="nil"/>
              <w:right w:val="nil"/>
            </w:tcBorders>
            <w:shd w:val="clear" w:color="auto" w:fill="auto"/>
            <w:noWrap/>
            <w:vAlign w:val="bottom"/>
          </w:tcPr>
          <w:p w14:paraId="4D9A51A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43BAC7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B12 &amp; Folate level</w:t>
            </w:r>
          </w:p>
        </w:tc>
        <w:tc>
          <w:tcPr>
            <w:tcW w:w="1423" w:type="dxa"/>
            <w:tcBorders>
              <w:top w:val="nil"/>
              <w:left w:val="nil"/>
              <w:bottom w:val="nil"/>
              <w:right w:val="nil"/>
            </w:tcBorders>
            <w:shd w:val="clear" w:color="auto" w:fill="auto"/>
            <w:noWrap/>
            <w:vAlign w:val="bottom"/>
            <w:hideMark/>
          </w:tcPr>
          <w:p w14:paraId="7053420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78D9FD60" w14:textId="77777777" w:rsidTr="006C68C4">
        <w:trPr>
          <w:trHeight w:val="290"/>
        </w:trPr>
        <w:tc>
          <w:tcPr>
            <w:tcW w:w="1984" w:type="dxa"/>
            <w:tcBorders>
              <w:top w:val="nil"/>
              <w:left w:val="nil"/>
              <w:bottom w:val="nil"/>
              <w:right w:val="nil"/>
            </w:tcBorders>
            <w:shd w:val="clear" w:color="auto" w:fill="auto"/>
            <w:noWrap/>
            <w:vAlign w:val="bottom"/>
          </w:tcPr>
          <w:p w14:paraId="7CBA400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037CC5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Chlamydia</w:t>
            </w:r>
          </w:p>
        </w:tc>
        <w:tc>
          <w:tcPr>
            <w:tcW w:w="1423" w:type="dxa"/>
            <w:tcBorders>
              <w:top w:val="nil"/>
              <w:left w:val="nil"/>
              <w:bottom w:val="nil"/>
              <w:right w:val="nil"/>
            </w:tcBorders>
            <w:shd w:val="clear" w:color="auto" w:fill="auto"/>
            <w:noWrap/>
            <w:vAlign w:val="bottom"/>
            <w:hideMark/>
          </w:tcPr>
          <w:p w14:paraId="47A750F7"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8.526874649</w:t>
            </w:r>
          </w:p>
        </w:tc>
      </w:tr>
      <w:tr w:rsidR="002A0F5D" w:rsidRPr="006C68C4" w14:paraId="08ECEDA5" w14:textId="77777777" w:rsidTr="006C68C4">
        <w:trPr>
          <w:trHeight w:val="290"/>
        </w:trPr>
        <w:tc>
          <w:tcPr>
            <w:tcW w:w="1984" w:type="dxa"/>
            <w:tcBorders>
              <w:top w:val="nil"/>
              <w:left w:val="nil"/>
              <w:bottom w:val="nil"/>
              <w:right w:val="nil"/>
            </w:tcBorders>
            <w:shd w:val="clear" w:color="auto" w:fill="auto"/>
            <w:noWrap/>
            <w:vAlign w:val="bottom"/>
          </w:tcPr>
          <w:p w14:paraId="5DDA506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B4C258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Clotting tests</w:t>
            </w:r>
          </w:p>
        </w:tc>
        <w:tc>
          <w:tcPr>
            <w:tcW w:w="1423" w:type="dxa"/>
            <w:tcBorders>
              <w:top w:val="nil"/>
              <w:left w:val="nil"/>
              <w:bottom w:val="nil"/>
              <w:right w:val="nil"/>
            </w:tcBorders>
            <w:shd w:val="clear" w:color="auto" w:fill="auto"/>
            <w:noWrap/>
            <w:vAlign w:val="bottom"/>
            <w:hideMark/>
          </w:tcPr>
          <w:p w14:paraId="5347EA1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24F484BE" w14:textId="77777777" w:rsidTr="006C68C4">
        <w:trPr>
          <w:trHeight w:val="290"/>
        </w:trPr>
        <w:tc>
          <w:tcPr>
            <w:tcW w:w="1984" w:type="dxa"/>
            <w:tcBorders>
              <w:top w:val="nil"/>
              <w:left w:val="nil"/>
              <w:bottom w:val="nil"/>
              <w:right w:val="nil"/>
            </w:tcBorders>
            <w:shd w:val="clear" w:color="auto" w:fill="auto"/>
            <w:noWrap/>
            <w:vAlign w:val="bottom"/>
          </w:tcPr>
          <w:p w14:paraId="046592A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7B7137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Endoscopy</w:t>
            </w:r>
          </w:p>
        </w:tc>
        <w:tc>
          <w:tcPr>
            <w:tcW w:w="1423" w:type="dxa"/>
            <w:tcBorders>
              <w:top w:val="nil"/>
              <w:left w:val="nil"/>
              <w:bottom w:val="nil"/>
              <w:right w:val="nil"/>
            </w:tcBorders>
            <w:shd w:val="clear" w:color="auto" w:fill="auto"/>
            <w:noWrap/>
            <w:vAlign w:val="bottom"/>
            <w:hideMark/>
          </w:tcPr>
          <w:p w14:paraId="5572821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557.8982619</w:t>
            </w:r>
          </w:p>
        </w:tc>
      </w:tr>
      <w:tr w:rsidR="002A0F5D" w:rsidRPr="006C68C4" w14:paraId="2E3A53A7" w14:textId="77777777" w:rsidTr="006C68C4">
        <w:trPr>
          <w:trHeight w:val="290"/>
        </w:trPr>
        <w:tc>
          <w:tcPr>
            <w:tcW w:w="1984" w:type="dxa"/>
            <w:tcBorders>
              <w:top w:val="nil"/>
              <w:left w:val="nil"/>
              <w:bottom w:val="nil"/>
              <w:right w:val="nil"/>
            </w:tcBorders>
            <w:shd w:val="clear" w:color="auto" w:fill="auto"/>
            <w:noWrap/>
            <w:vAlign w:val="bottom"/>
          </w:tcPr>
          <w:p w14:paraId="53953A3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EE693D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Faecal Occult Blood</w:t>
            </w:r>
          </w:p>
        </w:tc>
        <w:tc>
          <w:tcPr>
            <w:tcW w:w="1423" w:type="dxa"/>
            <w:tcBorders>
              <w:top w:val="nil"/>
              <w:left w:val="nil"/>
              <w:bottom w:val="nil"/>
              <w:right w:val="nil"/>
            </w:tcBorders>
            <w:shd w:val="clear" w:color="auto" w:fill="auto"/>
            <w:noWrap/>
            <w:vAlign w:val="bottom"/>
            <w:hideMark/>
          </w:tcPr>
          <w:p w14:paraId="0EC171E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7.607083198</w:t>
            </w:r>
          </w:p>
        </w:tc>
      </w:tr>
      <w:tr w:rsidR="002A0F5D" w:rsidRPr="006C68C4" w14:paraId="0C340889" w14:textId="77777777" w:rsidTr="006C68C4">
        <w:trPr>
          <w:trHeight w:val="290"/>
        </w:trPr>
        <w:tc>
          <w:tcPr>
            <w:tcW w:w="1984" w:type="dxa"/>
            <w:tcBorders>
              <w:top w:val="nil"/>
              <w:left w:val="nil"/>
              <w:bottom w:val="nil"/>
              <w:right w:val="nil"/>
            </w:tcBorders>
            <w:shd w:val="clear" w:color="auto" w:fill="auto"/>
            <w:noWrap/>
            <w:vAlign w:val="bottom"/>
          </w:tcPr>
          <w:p w14:paraId="0EA7E6C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A4CB06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Full blood count</w:t>
            </w:r>
          </w:p>
        </w:tc>
        <w:tc>
          <w:tcPr>
            <w:tcW w:w="1423" w:type="dxa"/>
            <w:tcBorders>
              <w:top w:val="nil"/>
              <w:left w:val="nil"/>
              <w:bottom w:val="nil"/>
              <w:right w:val="nil"/>
            </w:tcBorders>
            <w:shd w:val="clear" w:color="auto" w:fill="auto"/>
            <w:noWrap/>
            <w:vAlign w:val="bottom"/>
            <w:hideMark/>
          </w:tcPr>
          <w:p w14:paraId="4B18A9B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5947B9AC" w14:textId="77777777" w:rsidTr="006C68C4">
        <w:trPr>
          <w:trHeight w:val="290"/>
        </w:trPr>
        <w:tc>
          <w:tcPr>
            <w:tcW w:w="1984" w:type="dxa"/>
            <w:tcBorders>
              <w:top w:val="nil"/>
              <w:left w:val="nil"/>
              <w:bottom w:val="nil"/>
              <w:right w:val="nil"/>
            </w:tcBorders>
            <w:shd w:val="clear" w:color="auto" w:fill="auto"/>
            <w:noWrap/>
            <w:vAlign w:val="bottom"/>
          </w:tcPr>
          <w:p w14:paraId="4338199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A3A2A3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Iron studies</w:t>
            </w:r>
          </w:p>
        </w:tc>
        <w:tc>
          <w:tcPr>
            <w:tcW w:w="1423" w:type="dxa"/>
            <w:tcBorders>
              <w:top w:val="nil"/>
              <w:left w:val="nil"/>
              <w:bottom w:val="nil"/>
              <w:right w:val="nil"/>
            </w:tcBorders>
            <w:shd w:val="clear" w:color="auto" w:fill="auto"/>
            <w:noWrap/>
            <w:vAlign w:val="bottom"/>
            <w:hideMark/>
          </w:tcPr>
          <w:p w14:paraId="0473607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14055F7F" w14:textId="77777777" w:rsidTr="006C68C4">
        <w:trPr>
          <w:trHeight w:val="290"/>
        </w:trPr>
        <w:tc>
          <w:tcPr>
            <w:tcW w:w="1984" w:type="dxa"/>
            <w:tcBorders>
              <w:top w:val="nil"/>
              <w:left w:val="nil"/>
              <w:bottom w:val="nil"/>
              <w:right w:val="nil"/>
            </w:tcBorders>
            <w:shd w:val="clear" w:color="auto" w:fill="auto"/>
            <w:noWrap/>
            <w:vAlign w:val="bottom"/>
          </w:tcPr>
          <w:p w14:paraId="2FAAE78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A81236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Liver Function tests</w:t>
            </w:r>
          </w:p>
        </w:tc>
        <w:tc>
          <w:tcPr>
            <w:tcW w:w="1423" w:type="dxa"/>
            <w:tcBorders>
              <w:top w:val="nil"/>
              <w:left w:val="nil"/>
              <w:bottom w:val="nil"/>
              <w:right w:val="nil"/>
            </w:tcBorders>
            <w:shd w:val="clear" w:color="auto" w:fill="auto"/>
            <w:noWrap/>
            <w:vAlign w:val="bottom"/>
            <w:hideMark/>
          </w:tcPr>
          <w:p w14:paraId="5737D57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2F296E88" w14:textId="77777777" w:rsidTr="006C68C4">
        <w:trPr>
          <w:trHeight w:val="290"/>
        </w:trPr>
        <w:tc>
          <w:tcPr>
            <w:tcW w:w="1984" w:type="dxa"/>
            <w:tcBorders>
              <w:top w:val="nil"/>
              <w:left w:val="nil"/>
              <w:bottom w:val="nil"/>
              <w:right w:val="nil"/>
            </w:tcBorders>
            <w:shd w:val="clear" w:color="auto" w:fill="auto"/>
            <w:noWrap/>
            <w:vAlign w:val="bottom"/>
          </w:tcPr>
          <w:p w14:paraId="2D2D4B2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DA7E91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Serology</w:t>
            </w:r>
          </w:p>
        </w:tc>
        <w:tc>
          <w:tcPr>
            <w:tcW w:w="1423" w:type="dxa"/>
            <w:tcBorders>
              <w:top w:val="nil"/>
              <w:left w:val="nil"/>
              <w:bottom w:val="nil"/>
              <w:right w:val="nil"/>
            </w:tcBorders>
            <w:shd w:val="clear" w:color="auto" w:fill="auto"/>
            <w:noWrap/>
            <w:vAlign w:val="bottom"/>
            <w:hideMark/>
          </w:tcPr>
          <w:p w14:paraId="6DA6B2E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72FEE1A5" w14:textId="77777777" w:rsidTr="006C68C4">
        <w:trPr>
          <w:trHeight w:val="290"/>
        </w:trPr>
        <w:tc>
          <w:tcPr>
            <w:tcW w:w="1984" w:type="dxa"/>
            <w:tcBorders>
              <w:top w:val="nil"/>
              <w:left w:val="nil"/>
              <w:bottom w:val="nil"/>
              <w:right w:val="nil"/>
            </w:tcBorders>
            <w:shd w:val="clear" w:color="auto" w:fill="auto"/>
            <w:noWrap/>
            <w:vAlign w:val="bottom"/>
          </w:tcPr>
          <w:p w14:paraId="6382169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0A8BD9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Stool culture</w:t>
            </w:r>
          </w:p>
        </w:tc>
        <w:tc>
          <w:tcPr>
            <w:tcW w:w="1423" w:type="dxa"/>
            <w:tcBorders>
              <w:top w:val="nil"/>
              <w:left w:val="nil"/>
              <w:bottom w:val="nil"/>
              <w:right w:val="nil"/>
            </w:tcBorders>
            <w:shd w:val="clear" w:color="auto" w:fill="auto"/>
            <w:noWrap/>
            <w:vAlign w:val="bottom"/>
            <w:hideMark/>
          </w:tcPr>
          <w:p w14:paraId="347E7943"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8.526874649</w:t>
            </w:r>
          </w:p>
        </w:tc>
      </w:tr>
      <w:tr w:rsidR="002A0F5D" w:rsidRPr="006C68C4" w14:paraId="73CA99D6" w14:textId="77777777" w:rsidTr="006C68C4">
        <w:trPr>
          <w:trHeight w:val="290"/>
        </w:trPr>
        <w:tc>
          <w:tcPr>
            <w:tcW w:w="1984" w:type="dxa"/>
            <w:tcBorders>
              <w:top w:val="nil"/>
              <w:left w:val="nil"/>
              <w:bottom w:val="nil"/>
              <w:right w:val="nil"/>
            </w:tcBorders>
            <w:shd w:val="clear" w:color="auto" w:fill="auto"/>
            <w:noWrap/>
            <w:vAlign w:val="bottom"/>
          </w:tcPr>
          <w:p w14:paraId="37235CC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2AAC5B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Abdominal ultra-sound</w:t>
            </w:r>
          </w:p>
        </w:tc>
        <w:tc>
          <w:tcPr>
            <w:tcW w:w="1423" w:type="dxa"/>
            <w:tcBorders>
              <w:top w:val="nil"/>
              <w:left w:val="nil"/>
              <w:bottom w:val="nil"/>
              <w:right w:val="nil"/>
            </w:tcBorders>
            <w:shd w:val="clear" w:color="auto" w:fill="auto"/>
            <w:noWrap/>
            <w:vAlign w:val="bottom"/>
            <w:hideMark/>
          </w:tcPr>
          <w:p w14:paraId="4C6FB048"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155.341697</w:t>
            </w:r>
          </w:p>
        </w:tc>
      </w:tr>
      <w:tr w:rsidR="002A0F5D" w:rsidRPr="006C68C4" w14:paraId="16A459AA" w14:textId="77777777" w:rsidTr="006C68C4">
        <w:trPr>
          <w:trHeight w:val="290"/>
        </w:trPr>
        <w:tc>
          <w:tcPr>
            <w:tcW w:w="1984" w:type="dxa"/>
            <w:tcBorders>
              <w:top w:val="nil"/>
              <w:left w:val="nil"/>
              <w:bottom w:val="nil"/>
              <w:right w:val="nil"/>
            </w:tcBorders>
            <w:shd w:val="clear" w:color="auto" w:fill="auto"/>
            <w:noWrap/>
            <w:vAlign w:val="bottom"/>
          </w:tcPr>
          <w:p w14:paraId="3E7CA53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EDB468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Pelvic ultra-sound</w:t>
            </w:r>
          </w:p>
        </w:tc>
        <w:tc>
          <w:tcPr>
            <w:tcW w:w="1423" w:type="dxa"/>
            <w:tcBorders>
              <w:top w:val="nil"/>
              <w:left w:val="nil"/>
              <w:bottom w:val="nil"/>
              <w:right w:val="nil"/>
            </w:tcBorders>
            <w:shd w:val="clear" w:color="auto" w:fill="auto"/>
            <w:noWrap/>
            <w:vAlign w:val="bottom"/>
            <w:hideMark/>
          </w:tcPr>
          <w:p w14:paraId="4D2EC76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71.91448084</w:t>
            </w:r>
          </w:p>
        </w:tc>
      </w:tr>
      <w:tr w:rsidR="002A0F5D" w:rsidRPr="006C68C4" w14:paraId="6E460406" w14:textId="77777777" w:rsidTr="006C68C4">
        <w:trPr>
          <w:trHeight w:val="290"/>
        </w:trPr>
        <w:tc>
          <w:tcPr>
            <w:tcW w:w="1984" w:type="dxa"/>
            <w:tcBorders>
              <w:top w:val="nil"/>
              <w:left w:val="nil"/>
              <w:bottom w:val="nil"/>
              <w:right w:val="nil"/>
            </w:tcBorders>
            <w:shd w:val="clear" w:color="auto" w:fill="auto"/>
            <w:noWrap/>
            <w:vAlign w:val="bottom"/>
          </w:tcPr>
          <w:p w14:paraId="3A109EC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AA8383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Urea and Electrolytes</w:t>
            </w:r>
          </w:p>
        </w:tc>
        <w:tc>
          <w:tcPr>
            <w:tcW w:w="1423" w:type="dxa"/>
            <w:tcBorders>
              <w:top w:val="nil"/>
              <w:left w:val="nil"/>
              <w:bottom w:val="nil"/>
              <w:right w:val="nil"/>
            </w:tcBorders>
            <w:shd w:val="clear" w:color="auto" w:fill="auto"/>
            <w:noWrap/>
            <w:vAlign w:val="bottom"/>
            <w:hideMark/>
          </w:tcPr>
          <w:p w14:paraId="1280B254"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25CFBC08" w14:textId="77777777" w:rsidTr="006C68C4">
        <w:trPr>
          <w:trHeight w:val="290"/>
        </w:trPr>
        <w:tc>
          <w:tcPr>
            <w:tcW w:w="1984" w:type="dxa"/>
            <w:tcBorders>
              <w:top w:val="nil"/>
              <w:left w:val="nil"/>
              <w:bottom w:val="nil"/>
              <w:right w:val="nil"/>
            </w:tcBorders>
            <w:shd w:val="clear" w:color="auto" w:fill="auto"/>
            <w:noWrap/>
            <w:vAlign w:val="bottom"/>
          </w:tcPr>
          <w:p w14:paraId="0F154D4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F4229E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Urine test</w:t>
            </w:r>
          </w:p>
        </w:tc>
        <w:tc>
          <w:tcPr>
            <w:tcW w:w="1423" w:type="dxa"/>
            <w:tcBorders>
              <w:top w:val="nil"/>
              <w:left w:val="nil"/>
              <w:bottom w:val="nil"/>
              <w:right w:val="nil"/>
            </w:tcBorders>
            <w:shd w:val="clear" w:color="auto" w:fill="auto"/>
            <w:noWrap/>
            <w:vAlign w:val="bottom"/>
            <w:hideMark/>
          </w:tcPr>
          <w:p w14:paraId="684E7AF3"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40DD9FE7" w14:textId="77777777" w:rsidTr="006C68C4">
        <w:trPr>
          <w:trHeight w:val="290"/>
        </w:trPr>
        <w:tc>
          <w:tcPr>
            <w:tcW w:w="1984" w:type="dxa"/>
            <w:tcBorders>
              <w:top w:val="nil"/>
              <w:left w:val="nil"/>
              <w:bottom w:val="nil"/>
              <w:right w:val="nil"/>
            </w:tcBorders>
            <w:shd w:val="clear" w:color="auto" w:fill="auto"/>
            <w:noWrap/>
            <w:vAlign w:val="bottom"/>
          </w:tcPr>
          <w:p w14:paraId="2D6D4D2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534DD1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Other Diagnostic Imaging</w:t>
            </w:r>
          </w:p>
        </w:tc>
        <w:tc>
          <w:tcPr>
            <w:tcW w:w="1423" w:type="dxa"/>
            <w:tcBorders>
              <w:top w:val="nil"/>
              <w:left w:val="nil"/>
              <w:bottom w:val="nil"/>
              <w:right w:val="nil"/>
            </w:tcBorders>
            <w:shd w:val="clear" w:color="auto" w:fill="auto"/>
            <w:noWrap/>
            <w:vAlign w:val="bottom"/>
            <w:hideMark/>
          </w:tcPr>
          <w:p w14:paraId="681320C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41.41087722</w:t>
            </w:r>
          </w:p>
        </w:tc>
      </w:tr>
      <w:tr w:rsidR="002A0F5D" w:rsidRPr="006C68C4" w14:paraId="564DB2FE" w14:textId="77777777" w:rsidTr="006C68C4">
        <w:trPr>
          <w:trHeight w:val="290"/>
        </w:trPr>
        <w:tc>
          <w:tcPr>
            <w:tcW w:w="1984" w:type="dxa"/>
            <w:tcBorders>
              <w:top w:val="nil"/>
              <w:left w:val="nil"/>
              <w:bottom w:val="nil"/>
              <w:right w:val="nil"/>
            </w:tcBorders>
            <w:shd w:val="clear" w:color="auto" w:fill="auto"/>
            <w:noWrap/>
            <w:vAlign w:val="bottom"/>
          </w:tcPr>
          <w:p w14:paraId="114C357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3AADF5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Ankle X-ray</w:t>
            </w:r>
          </w:p>
        </w:tc>
        <w:tc>
          <w:tcPr>
            <w:tcW w:w="1423" w:type="dxa"/>
            <w:tcBorders>
              <w:top w:val="nil"/>
              <w:left w:val="nil"/>
              <w:bottom w:val="nil"/>
              <w:right w:val="nil"/>
            </w:tcBorders>
            <w:shd w:val="clear" w:color="auto" w:fill="auto"/>
            <w:noWrap/>
            <w:vAlign w:val="bottom"/>
            <w:hideMark/>
          </w:tcPr>
          <w:p w14:paraId="3D468AF5"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41.41087722</w:t>
            </w:r>
          </w:p>
        </w:tc>
      </w:tr>
      <w:tr w:rsidR="002A0F5D" w:rsidRPr="006C68C4" w14:paraId="6CFCC7B9" w14:textId="77777777" w:rsidTr="006C68C4">
        <w:trPr>
          <w:trHeight w:val="290"/>
        </w:trPr>
        <w:tc>
          <w:tcPr>
            <w:tcW w:w="1984" w:type="dxa"/>
            <w:tcBorders>
              <w:top w:val="nil"/>
              <w:left w:val="nil"/>
              <w:bottom w:val="nil"/>
              <w:right w:val="nil"/>
            </w:tcBorders>
            <w:shd w:val="clear" w:color="auto" w:fill="auto"/>
            <w:noWrap/>
            <w:vAlign w:val="bottom"/>
          </w:tcPr>
          <w:p w14:paraId="7DD899E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994443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Pelvis X-ray</w:t>
            </w:r>
          </w:p>
        </w:tc>
        <w:tc>
          <w:tcPr>
            <w:tcW w:w="1423" w:type="dxa"/>
            <w:tcBorders>
              <w:top w:val="nil"/>
              <w:left w:val="nil"/>
              <w:bottom w:val="nil"/>
              <w:right w:val="nil"/>
            </w:tcBorders>
            <w:shd w:val="clear" w:color="auto" w:fill="auto"/>
            <w:noWrap/>
            <w:vAlign w:val="bottom"/>
            <w:hideMark/>
          </w:tcPr>
          <w:p w14:paraId="480B1A4D"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41.41087722</w:t>
            </w:r>
          </w:p>
        </w:tc>
      </w:tr>
      <w:tr w:rsidR="002A0F5D" w:rsidRPr="006C68C4" w14:paraId="753437EB" w14:textId="77777777" w:rsidTr="006C68C4">
        <w:trPr>
          <w:trHeight w:val="290"/>
        </w:trPr>
        <w:tc>
          <w:tcPr>
            <w:tcW w:w="1984" w:type="dxa"/>
            <w:tcBorders>
              <w:top w:val="nil"/>
              <w:left w:val="nil"/>
              <w:bottom w:val="nil"/>
              <w:right w:val="nil"/>
            </w:tcBorders>
            <w:shd w:val="clear" w:color="auto" w:fill="auto"/>
            <w:noWrap/>
            <w:vAlign w:val="bottom"/>
          </w:tcPr>
          <w:p w14:paraId="3886F68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CAD39E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Urinalysis – Glucose</w:t>
            </w:r>
          </w:p>
        </w:tc>
        <w:tc>
          <w:tcPr>
            <w:tcW w:w="1423" w:type="dxa"/>
            <w:tcBorders>
              <w:top w:val="nil"/>
              <w:left w:val="nil"/>
              <w:bottom w:val="nil"/>
              <w:right w:val="nil"/>
            </w:tcBorders>
            <w:shd w:val="clear" w:color="auto" w:fill="auto"/>
            <w:noWrap/>
            <w:vAlign w:val="bottom"/>
            <w:hideMark/>
          </w:tcPr>
          <w:p w14:paraId="0C92C24A"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64B85A6C" w14:textId="77777777" w:rsidTr="006C68C4">
        <w:trPr>
          <w:trHeight w:val="290"/>
        </w:trPr>
        <w:tc>
          <w:tcPr>
            <w:tcW w:w="1984" w:type="dxa"/>
            <w:tcBorders>
              <w:top w:val="nil"/>
              <w:left w:val="nil"/>
              <w:bottom w:val="nil"/>
              <w:right w:val="nil"/>
            </w:tcBorders>
            <w:shd w:val="clear" w:color="auto" w:fill="auto"/>
            <w:noWrap/>
            <w:vAlign w:val="bottom"/>
          </w:tcPr>
          <w:p w14:paraId="6F52248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D517B4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Urinalysis – Protein</w:t>
            </w:r>
          </w:p>
        </w:tc>
        <w:tc>
          <w:tcPr>
            <w:tcW w:w="1423" w:type="dxa"/>
            <w:tcBorders>
              <w:top w:val="nil"/>
              <w:left w:val="nil"/>
              <w:bottom w:val="nil"/>
              <w:right w:val="nil"/>
            </w:tcBorders>
            <w:shd w:val="clear" w:color="auto" w:fill="auto"/>
            <w:noWrap/>
            <w:vAlign w:val="bottom"/>
            <w:hideMark/>
          </w:tcPr>
          <w:p w14:paraId="79F26FCF"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28554328" w14:textId="77777777" w:rsidTr="006C68C4">
        <w:trPr>
          <w:trHeight w:val="290"/>
        </w:trPr>
        <w:tc>
          <w:tcPr>
            <w:tcW w:w="1984" w:type="dxa"/>
            <w:tcBorders>
              <w:top w:val="nil"/>
              <w:left w:val="nil"/>
              <w:bottom w:val="nil"/>
              <w:right w:val="nil"/>
            </w:tcBorders>
            <w:shd w:val="clear" w:color="auto" w:fill="auto"/>
            <w:noWrap/>
            <w:vAlign w:val="bottom"/>
          </w:tcPr>
          <w:p w14:paraId="0F71D5C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D21EB8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Colonoscopy</w:t>
            </w:r>
          </w:p>
        </w:tc>
        <w:tc>
          <w:tcPr>
            <w:tcW w:w="1423" w:type="dxa"/>
            <w:tcBorders>
              <w:top w:val="nil"/>
              <w:left w:val="nil"/>
              <w:bottom w:val="nil"/>
              <w:right w:val="nil"/>
            </w:tcBorders>
            <w:shd w:val="clear" w:color="auto" w:fill="auto"/>
            <w:noWrap/>
            <w:vAlign w:val="bottom"/>
            <w:hideMark/>
          </w:tcPr>
          <w:p w14:paraId="3955B6DE"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380.1029497</w:t>
            </w:r>
          </w:p>
        </w:tc>
      </w:tr>
      <w:tr w:rsidR="002A0F5D" w:rsidRPr="006C68C4" w14:paraId="2D4BDB97" w14:textId="77777777" w:rsidTr="006C68C4">
        <w:trPr>
          <w:trHeight w:val="290"/>
        </w:trPr>
        <w:tc>
          <w:tcPr>
            <w:tcW w:w="1984" w:type="dxa"/>
            <w:tcBorders>
              <w:top w:val="nil"/>
              <w:left w:val="nil"/>
              <w:bottom w:val="nil"/>
              <w:right w:val="nil"/>
            </w:tcBorders>
            <w:shd w:val="clear" w:color="auto" w:fill="auto"/>
            <w:noWrap/>
            <w:vAlign w:val="bottom"/>
          </w:tcPr>
          <w:p w14:paraId="69FE2D9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727244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Sigmoidoscopy</w:t>
            </w:r>
          </w:p>
        </w:tc>
        <w:tc>
          <w:tcPr>
            <w:tcW w:w="1423" w:type="dxa"/>
            <w:tcBorders>
              <w:top w:val="nil"/>
              <w:left w:val="nil"/>
              <w:bottom w:val="nil"/>
              <w:right w:val="nil"/>
            </w:tcBorders>
            <w:shd w:val="clear" w:color="auto" w:fill="auto"/>
            <w:noWrap/>
            <w:vAlign w:val="bottom"/>
            <w:hideMark/>
          </w:tcPr>
          <w:p w14:paraId="13A7F417"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380.1029497</w:t>
            </w:r>
          </w:p>
        </w:tc>
      </w:tr>
      <w:tr w:rsidR="002A0F5D" w:rsidRPr="006C68C4" w14:paraId="59702B0B" w14:textId="77777777" w:rsidTr="006C68C4">
        <w:trPr>
          <w:trHeight w:val="290"/>
        </w:trPr>
        <w:tc>
          <w:tcPr>
            <w:tcW w:w="1984" w:type="dxa"/>
            <w:tcBorders>
              <w:top w:val="nil"/>
              <w:left w:val="nil"/>
              <w:bottom w:val="nil"/>
              <w:right w:val="nil"/>
            </w:tcBorders>
            <w:shd w:val="clear" w:color="auto" w:fill="auto"/>
            <w:noWrap/>
            <w:vAlign w:val="bottom"/>
          </w:tcPr>
          <w:p w14:paraId="5234036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0734E3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CAT scan</w:t>
            </w:r>
          </w:p>
        </w:tc>
        <w:tc>
          <w:tcPr>
            <w:tcW w:w="1423" w:type="dxa"/>
            <w:tcBorders>
              <w:top w:val="nil"/>
              <w:left w:val="nil"/>
              <w:bottom w:val="nil"/>
              <w:right w:val="nil"/>
            </w:tcBorders>
            <w:shd w:val="clear" w:color="auto" w:fill="auto"/>
            <w:noWrap/>
            <w:vAlign w:val="bottom"/>
            <w:hideMark/>
          </w:tcPr>
          <w:p w14:paraId="528BD4D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90.11481754</w:t>
            </w:r>
          </w:p>
        </w:tc>
      </w:tr>
      <w:tr w:rsidR="002A0F5D" w:rsidRPr="006C68C4" w14:paraId="610E2977" w14:textId="77777777" w:rsidTr="006C68C4">
        <w:trPr>
          <w:trHeight w:val="290"/>
        </w:trPr>
        <w:tc>
          <w:tcPr>
            <w:tcW w:w="1984" w:type="dxa"/>
            <w:tcBorders>
              <w:top w:val="nil"/>
              <w:left w:val="nil"/>
              <w:bottom w:val="nil"/>
              <w:right w:val="nil"/>
            </w:tcBorders>
            <w:shd w:val="clear" w:color="auto" w:fill="auto"/>
            <w:noWrap/>
            <w:vAlign w:val="bottom"/>
          </w:tcPr>
          <w:p w14:paraId="3F302C0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615B2A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RBC red blood cell size</w:t>
            </w:r>
          </w:p>
        </w:tc>
        <w:tc>
          <w:tcPr>
            <w:tcW w:w="1423" w:type="dxa"/>
            <w:tcBorders>
              <w:top w:val="nil"/>
              <w:left w:val="nil"/>
              <w:bottom w:val="nil"/>
              <w:right w:val="nil"/>
            </w:tcBorders>
            <w:shd w:val="clear" w:color="auto" w:fill="auto"/>
            <w:noWrap/>
            <w:vAlign w:val="bottom"/>
            <w:hideMark/>
          </w:tcPr>
          <w:p w14:paraId="79738DA7"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2E33612B" w14:textId="77777777" w:rsidTr="006C68C4">
        <w:trPr>
          <w:trHeight w:val="290"/>
        </w:trPr>
        <w:tc>
          <w:tcPr>
            <w:tcW w:w="1984" w:type="dxa"/>
            <w:tcBorders>
              <w:top w:val="nil"/>
              <w:left w:val="nil"/>
              <w:bottom w:val="nil"/>
              <w:right w:val="nil"/>
            </w:tcBorders>
            <w:shd w:val="clear" w:color="auto" w:fill="auto"/>
            <w:noWrap/>
            <w:vAlign w:val="bottom"/>
          </w:tcPr>
          <w:p w14:paraId="7759A65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54FA8A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Differential white cell count</w:t>
            </w:r>
          </w:p>
        </w:tc>
        <w:tc>
          <w:tcPr>
            <w:tcW w:w="1423" w:type="dxa"/>
            <w:tcBorders>
              <w:top w:val="nil"/>
              <w:left w:val="nil"/>
              <w:bottom w:val="nil"/>
              <w:right w:val="nil"/>
            </w:tcBorders>
            <w:shd w:val="clear" w:color="auto" w:fill="auto"/>
            <w:noWrap/>
            <w:vAlign w:val="bottom"/>
            <w:hideMark/>
          </w:tcPr>
          <w:p w14:paraId="1C06067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4FB837EF" w14:textId="77777777" w:rsidTr="006C68C4">
        <w:trPr>
          <w:trHeight w:val="290"/>
        </w:trPr>
        <w:tc>
          <w:tcPr>
            <w:tcW w:w="1984" w:type="dxa"/>
            <w:tcBorders>
              <w:top w:val="nil"/>
              <w:left w:val="nil"/>
              <w:bottom w:val="nil"/>
              <w:right w:val="nil"/>
            </w:tcBorders>
            <w:shd w:val="clear" w:color="auto" w:fill="auto"/>
            <w:noWrap/>
            <w:vAlign w:val="bottom"/>
          </w:tcPr>
          <w:p w14:paraId="0423893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253A73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Chemical function tests</w:t>
            </w:r>
          </w:p>
        </w:tc>
        <w:tc>
          <w:tcPr>
            <w:tcW w:w="1423" w:type="dxa"/>
            <w:tcBorders>
              <w:top w:val="nil"/>
              <w:left w:val="nil"/>
              <w:bottom w:val="nil"/>
              <w:right w:val="nil"/>
            </w:tcBorders>
            <w:shd w:val="clear" w:color="auto" w:fill="auto"/>
            <w:noWrap/>
            <w:vAlign w:val="bottom"/>
            <w:hideMark/>
          </w:tcPr>
          <w:p w14:paraId="3E43F26E"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37938A51" w14:textId="77777777" w:rsidTr="006C68C4">
        <w:trPr>
          <w:trHeight w:val="290"/>
        </w:trPr>
        <w:tc>
          <w:tcPr>
            <w:tcW w:w="1984" w:type="dxa"/>
            <w:tcBorders>
              <w:top w:val="nil"/>
              <w:left w:val="nil"/>
              <w:bottom w:val="nil"/>
              <w:right w:val="nil"/>
            </w:tcBorders>
            <w:shd w:val="clear" w:color="auto" w:fill="auto"/>
            <w:noWrap/>
            <w:vAlign w:val="bottom"/>
          </w:tcPr>
          <w:p w14:paraId="69469AB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4AA8F4F"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Examination of faeces</w:t>
            </w:r>
          </w:p>
        </w:tc>
        <w:tc>
          <w:tcPr>
            <w:tcW w:w="1423" w:type="dxa"/>
            <w:tcBorders>
              <w:top w:val="nil"/>
              <w:left w:val="nil"/>
              <w:bottom w:val="nil"/>
              <w:right w:val="nil"/>
            </w:tcBorders>
            <w:shd w:val="clear" w:color="auto" w:fill="auto"/>
            <w:noWrap/>
            <w:vAlign w:val="bottom"/>
            <w:hideMark/>
          </w:tcPr>
          <w:p w14:paraId="2E48BD5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8.526874649</w:t>
            </w:r>
          </w:p>
        </w:tc>
      </w:tr>
      <w:tr w:rsidR="002A0F5D" w:rsidRPr="006C68C4" w14:paraId="09EA9B95" w14:textId="77777777" w:rsidTr="006C68C4">
        <w:trPr>
          <w:trHeight w:val="290"/>
        </w:trPr>
        <w:tc>
          <w:tcPr>
            <w:tcW w:w="1984" w:type="dxa"/>
            <w:tcBorders>
              <w:top w:val="nil"/>
              <w:left w:val="nil"/>
              <w:bottom w:val="nil"/>
              <w:right w:val="nil"/>
            </w:tcBorders>
            <w:shd w:val="clear" w:color="auto" w:fill="auto"/>
            <w:noWrap/>
            <w:vAlign w:val="bottom"/>
          </w:tcPr>
          <w:p w14:paraId="322E209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EA6030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Infectious titres and antibodies</w:t>
            </w:r>
          </w:p>
        </w:tc>
        <w:tc>
          <w:tcPr>
            <w:tcW w:w="1423" w:type="dxa"/>
            <w:tcBorders>
              <w:top w:val="nil"/>
              <w:left w:val="nil"/>
              <w:bottom w:val="nil"/>
              <w:right w:val="nil"/>
            </w:tcBorders>
            <w:shd w:val="clear" w:color="auto" w:fill="auto"/>
            <w:noWrap/>
            <w:vAlign w:val="bottom"/>
            <w:hideMark/>
          </w:tcPr>
          <w:p w14:paraId="31CFBF4C"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8.526874649</w:t>
            </w:r>
          </w:p>
        </w:tc>
      </w:tr>
      <w:tr w:rsidR="002A0F5D" w:rsidRPr="006C68C4" w14:paraId="0078E29B" w14:textId="77777777" w:rsidTr="006C68C4">
        <w:trPr>
          <w:trHeight w:val="290"/>
        </w:trPr>
        <w:tc>
          <w:tcPr>
            <w:tcW w:w="1984" w:type="dxa"/>
            <w:tcBorders>
              <w:top w:val="nil"/>
              <w:left w:val="nil"/>
              <w:bottom w:val="nil"/>
              <w:right w:val="nil"/>
            </w:tcBorders>
            <w:shd w:val="clear" w:color="auto" w:fill="auto"/>
            <w:noWrap/>
            <w:vAlign w:val="bottom"/>
          </w:tcPr>
          <w:p w14:paraId="085F55D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4C6D8B4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Anti smooth muscle autoantibodies</w:t>
            </w:r>
          </w:p>
        </w:tc>
        <w:tc>
          <w:tcPr>
            <w:tcW w:w="1423" w:type="dxa"/>
            <w:tcBorders>
              <w:top w:val="nil"/>
              <w:left w:val="nil"/>
              <w:bottom w:val="nil"/>
              <w:right w:val="nil"/>
            </w:tcBorders>
            <w:shd w:val="clear" w:color="auto" w:fill="auto"/>
            <w:noWrap/>
            <w:vAlign w:val="bottom"/>
            <w:hideMark/>
          </w:tcPr>
          <w:p w14:paraId="2184D8A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7.607083198</w:t>
            </w:r>
          </w:p>
        </w:tc>
      </w:tr>
      <w:tr w:rsidR="002A0F5D" w:rsidRPr="006C68C4" w14:paraId="2917281B" w14:textId="77777777" w:rsidTr="006C68C4">
        <w:trPr>
          <w:trHeight w:val="290"/>
        </w:trPr>
        <w:tc>
          <w:tcPr>
            <w:tcW w:w="1984" w:type="dxa"/>
            <w:tcBorders>
              <w:top w:val="nil"/>
              <w:left w:val="nil"/>
              <w:bottom w:val="nil"/>
              <w:right w:val="nil"/>
            </w:tcBorders>
            <w:shd w:val="clear" w:color="auto" w:fill="auto"/>
            <w:noWrap/>
            <w:vAlign w:val="bottom"/>
          </w:tcPr>
          <w:p w14:paraId="3899F68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594597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General ultra sound scan</w:t>
            </w:r>
          </w:p>
        </w:tc>
        <w:tc>
          <w:tcPr>
            <w:tcW w:w="1423" w:type="dxa"/>
            <w:tcBorders>
              <w:top w:val="nil"/>
              <w:left w:val="nil"/>
              <w:bottom w:val="nil"/>
              <w:right w:val="nil"/>
            </w:tcBorders>
            <w:shd w:val="clear" w:color="auto" w:fill="auto"/>
            <w:noWrap/>
            <w:vAlign w:val="bottom"/>
            <w:hideMark/>
          </w:tcPr>
          <w:p w14:paraId="2737F74E"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58.09754709</w:t>
            </w:r>
          </w:p>
        </w:tc>
      </w:tr>
      <w:tr w:rsidR="002A0F5D" w:rsidRPr="006C68C4" w14:paraId="71855822" w14:textId="77777777" w:rsidTr="006C68C4">
        <w:trPr>
          <w:trHeight w:val="290"/>
        </w:trPr>
        <w:tc>
          <w:tcPr>
            <w:tcW w:w="1984" w:type="dxa"/>
            <w:tcBorders>
              <w:top w:val="nil"/>
              <w:left w:val="nil"/>
              <w:bottom w:val="nil"/>
              <w:right w:val="nil"/>
            </w:tcBorders>
            <w:shd w:val="clear" w:color="auto" w:fill="auto"/>
            <w:noWrap/>
            <w:vAlign w:val="bottom"/>
          </w:tcPr>
          <w:p w14:paraId="786A533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20698A1"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Abdominal Xray</w:t>
            </w:r>
          </w:p>
        </w:tc>
        <w:tc>
          <w:tcPr>
            <w:tcW w:w="1423" w:type="dxa"/>
            <w:tcBorders>
              <w:top w:val="nil"/>
              <w:left w:val="nil"/>
              <w:bottom w:val="nil"/>
              <w:right w:val="nil"/>
            </w:tcBorders>
            <w:shd w:val="clear" w:color="auto" w:fill="auto"/>
            <w:noWrap/>
            <w:vAlign w:val="bottom"/>
            <w:hideMark/>
          </w:tcPr>
          <w:p w14:paraId="721A2EE1"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41.41087722</w:t>
            </w:r>
          </w:p>
        </w:tc>
      </w:tr>
      <w:tr w:rsidR="002A0F5D" w:rsidRPr="006C68C4" w14:paraId="3190A0F7" w14:textId="77777777" w:rsidTr="006C68C4">
        <w:trPr>
          <w:trHeight w:val="290"/>
        </w:trPr>
        <w:tc>
          <w:tcPr>
            <w:tcW w:w="1984" w:type="dxa"/>
            <w:tcBorders>
              <w:top w:val="nil"/>
              <w:left w:val="nil"/>
              <w:bottom w:val="nil"/>
              <w:right w:val="nil"/>
            </w:tcBorders>
            <w:shd w:val="clear" w:color="auto" w:fill="auto"/>
            <w:noWrap/>
            <w:vAlign w:val="bottom"/>
          </w:tcPr>
          <w:p w14:paraId="23930DD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B876DF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Ambulatory blood pressure</w:t>
            </w:r>
          </w:p>
        </w:tc>
        <w:tc>
          <w:tcPr>
            <w:tcW w:w="1423" w:type="dxa"/>
            <w:tcBorders>
              <w:top w:val="nil"/>
              <w:left w:val="nil"/>
              <w:bottom w:val="nil"/>
              <w:right w:val="nil"/>
            </w:tcBorders>
            <w:shd w:val="clear" w:color="auto" w:fill="auto"/>
            <w:noWrap/>
            <w:vAlign w:val="bottom"/>
            <w:hideMark/>
          </w:tcPr>
          <w:p w14:paraId="75935E2B"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3.34936947</w:t>
            </w:r>
          </w:p>
        </w:tc>
      </w:tr>
      <w:tr w:rsidR="002A0F5D" w:rsidRPr="006C68C4" w14:paraId="1C491A42" w14:textId="77777777" w:rsidTr="006C68C4">
        <w:trPr>
          <w:trHeight w:val="290"/>
        </w:trPr>
        <w:tc>
          <w:tcPr>
            <w:tcW w:w="1984" w:type="dxa"/>
            <w:tcBorders>
              <w:top w:val="nil"/>
              <w:left w:val="nil"/>
              <w:bottom w:val="nil"/>
              <w:right w:val="nil"/>
            </w:tcBorders>
            <w:shd w:val="clear" w:color="auto" w:fill="auto"/>
            <w:noWrap/>
            <w:vAlign w:val="bottom"/>
          </w:tcPr>
          <w:p w14:paraId="147BFBA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7370DF1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Urine dipstick for glucose</w:t>
            </w:r>
          </w:p>
        </w:tc>
        <w:tc>
          <w:tcPr>
            <w:tcW w:w="1423" w:type="dxa"/>
            <w:tcBorders>
              <w:top w:val="nil"/>
              <w:left w:val="nil"/>
              <w:bottom w:val="nil"/>
              <w:right w:val="nil"/>
            </w:tcBorders>
            <w:shd w:val="clear" w:color="auto" w:fill="auto"/>
            <w:noWrap/>
            <w:vAlign w:val="bottom"/>
            <w:hideMark/>
          </w:tcPr>
          <w:p w14:paraId="4C2AAD5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D654FC0" w14:textId="77777777" w:rsidTr="006C68C4">
        <w:trPr>
          <w:trHeight w:val="290"/>
        </w:trPr>
        <w:tc>
          <w:tcPr>
            <w:tcW w:w="1984" w:type="dxa"/>
            <w:tcBorders>
              <w:top w:val="nil"/>
              <w:left w:val="nil"/>
              <w:bottom w:val="nil"/>
              <w:right w:val="nil"/>
            </w:tcBorders>
            <w:shd w:val="clear" w:color="auto" w:fill="auto"/>
            <w:noWrap/>
            <w:vAlign w:val="bottom"/>
          </w:tcPr>
          <w:p w14:paraId="3B81112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617C8B7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Urine dipstick for protein</w:t>
            </w:r>
          </w:p>
        </w:tc>
        <w:tc>
          <w:tcPr>
            <w:tcW w:w="1423" w:type="dxa"/>
            <w:tcBorders>
              <w:top w:val="nil"/>
              <w:left w:val="nil"/>
              <w:bottom w:val="nil"/>
              <w:right w:val="nil"/>
            </w:tcBorders>
            <w:shd w:val="clear" w:color="auto" w:fill="auto"/>
            <w:noWrap/>
            <w:vAlign w:val="bottom"/>
            <w:hideMark/>
          </w:tcPr>
          <w:p w14:paraId="020037B2"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4D304F6F" w14:textId="77777777" w:rsidTr="006C68C4">
        <w:trPr>
          <w:trHeight w:val="290"/>
        </w:trPr>
        <w:tc>
          <w:tcPr>
            <w:tcW w:w="1984" w:type="dxa"/>
            <w:tcBorders>
              <w:top w:val="nil"/>
              <w:left w:val="nil"/>
              <w:bottom w:val="nil"/>
              <w:right w:val="nil"/>
            </w:tcBorders>
            <w:shd w:val="clear" w:color="auto" w:fill="auto"/>
            <w:noWrap/>
            <w:vAlign w:val="bottom"/>
          </w:tcPr>
          <w:p w14:paraId="12B1596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38BFE7C3"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Urine dipstick for ketones</w:t>
            </w:r>
          </w:p>
        </w:tc>
        <w:tc>
          <w:tcPr>
            <w:tcW w:w="1423" w:type="dxa"/>
            <w:tcBorders>
              <w:top w:val="nil"/>
              <w:left w:val="nil"/>
              <w:bottom w:val="nil"/>
              <w:right w:val="nil"/>
            </w:tcBorders>
            <w:shd w:val="clear" w:color="auto" w:fill="auto"/>
            <w:noWrap/>
            <w:vAlign w:val="bottom"/>
            <w:hideMark/>
          </w:tcPr>
          <w:p w14:paraId="352AFCC8"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5DED7436" w14:textId="77777777" w:rsidTr="006C68C4">
        <w:trPr>
          <w:trHeight w:val="290"/>
        </w:trPr>
        <w:tc>
          <w:tcPr>
            <w:tcW w:w="1984" w:type="dxa"/>
            <w:tcBorders>
              <w:top w:val="nil"/>
              <w:left w:val="nil"/>
              <w:bottom w:val="nil"/>
              <w:right w:val="nil"/>
            </w:tcBorders>
            <w:shd w:val="clear" w:color="auto" w:fill="auto"/>
            <w:noWrap/>
            <w:vAlign w:val="bottom"/>
          </w:tcPr>
          <w:p w14:paraId="516439C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D0A5D9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Urine dipstick for blood</w:t>
            </w:r>
          </w:p>
        </w:tc>
        <w:tc>
          <w:tcPr>
            <w:tcW w:w="1423" w:type="dxa"/>
            <w:tcBorders>
              <w:top w:val="nil"/>
              <w:left w:val="nil"/>
              <w:bottom w:val="nil"/>
              <w:right w:val="nil"/>
            </w:tcBorders>
            <w:shd w:val="clear" w:color="auto" w:fill="auto"/>
            <w:noWrap/>
            <w:vAlign w:val="bottom"/>
            <w:hideMark/>
          </w:tcPr>
          <w:p w14:paraId="61B45353"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6367ECEE" w14:textId="77777777" w:rsidTr="006C68C4">
        <w:trPr>
          <w:trHeight w:val="290"/>
        </w:trPr>
        <w:tc>
          <w:tcPr>
            <w:tcW w:w="1984" w:type="dxa"/>
            <w:tcBorders>
              <w:top w:val="nil"/>
              <w:left w:val="nil"/>
              <w:bottom w:val="nil"/>
              <w:right w:val="nil"/>
            </w:tcBorders>
            <w:shd w:val="clear" w:color="auto" w:fill="auto"/>
            <w:noWrap/>
            <w:vAlign w:val="bottom"/>
          </w:tcPr>
          <w:p w14:paraId="79902C6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B03939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Urine Dipstick for Nitrites</w:t>
            </w:r>
          </w:p>
        </w:tc>
        <w:tc>
          <w:tcPr>
            <w:tcW w:w="1423" w:type="dxa"/>
            <w:tcBorders>
              <w:top w:val="nil"/>
              <w:left w:val="nil"/>
              <w:bottom w:val="nil"/>
              <w:right w:val="nil"/>
            </w:tcBorders>
            <w:shd w:val="clear" w:color="auto" w:fill="auto"/>
            <w:noWrap/>
            <w:vAlign w:val="bottom"/>
            <w:hideMark/>
          </w:tcPr>
          <w:p w14:paraId="43425948"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799DBD78" w14:textId="77777777" w:rsidTr="006C68C4">
        <w:trPr>
          <w:trHeight w:val="290"/>
        </w:trPr>
        <w:tc>
          <w:tcPr>
            <w:tcW w:w="1984" w:type="dxa"/>
            <w:tcBorders>
              <w:top w:val="nil"/>
              <w:left w:val="nil"/>
              <w:bottom w:val="nil"/>
              <w:right w:val="nil"/>
            </w:tcBorders>
            <w:shd w:val="clear" w:color="auto" w:fill="auto"/>
            <w:noWrap/>
            <w:vAlign w:val="bottom"/>
          </w:tcPr>
          <w:p w14:paraId="24F9552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C43B7B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Urine Leucocytes</w:t>
            </w:r>
          </w:p>
        </w:tc>
        <w:tc>
          <w:tcPr>
            <w:tcW w:w="1423" w:type="dxa"/>
            <w:tcBorders>
              <w:top w:val="nil"/>
              <w:left w:val="nil"/>
              <w:bottom w:val="nil"/>
              <w:right w:val="nil"/>
            </w:tcBorders>
            <w:shd w:val="clear" w:color="auto" w:fill="auto"/>
            <w:noWrap/>
            <w:vAlign w:val="bottom"/>
            <w:hideMark/>
          </w:tcPr>
          <w:p w14:paraId="1CEADFF0"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3A06693C" w14:textId="77777777" w:rsidTr="006C68C4">
        <w:trPr>
          <w:trHeight w:val="290"/>
        </w:trPr>
        <w:tc>
          <w:tcPr>
            <w:tcW w:w="1984" w:type="dxa"/>
            <w:tcBorders>
              <w:top w:val="nil"/>
              <w:left w:val="nil"/>
              <w:bottom w:val="nil"/>
              <w:right w:val="nil"/>
            </w:tcBorders>
            <w:shd w:val="clear" w:color="auto" w:fill="auto"/>
            <w:noWrap/>
            <w:vAlign w:val="bottom"/>
          </w:tcPr>
          <w:p w14:paraId="337AA92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3B7B05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Biochemical Screening Tests</w:t>
            </w:r>
          </w:p>
        </w:tc>
        <w:tc>
          <w:tcPr>
            <w:tcW w:w="1423" w:type="dxa"/>
            <w:tcBorders>
              <w:top w:val="nil"/>
              <w:left w:val="nil"/>
              <w:bottom w:val="nil"/>
              <w:right w:val="nil"/>
            </w:tcBorders>
            <w:shd w:val="clear" w:color="auto" w:fill="auto"/>
            <w:noWrap/>
            <w:vAlign w:val="bottom"/>
            <w:hideMark/>
          </w:tcPr>
          <w:p w14:paraId="38F56A93"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1.546069975</w:t>
            </w:r>
          </w:p>
        </w:tc>
      </w:tr>
      <w:tr w:rsidR="002A0F5D" w:rsidRPr="006C68C4" w14:paraId="7A7C93D5" w14:textId="77777777" w:rsidTr="006C68C4">
        <w:trPr>
          <w:trHeight w:val="290"/>
        </w:trPr>
        <w:tc>
          <w:tcPr>
            <w:tcW w:w="1984" w:type="dxa"/>
            <w:tcBorders>
              <w:top w:val="nil"/>
              <w:left w:val="nil"/>
              <w:bottom w:val="nil"/>
              <w:right w:val="nil"/>
            </w:tcBorders>
            <w:shd w:val="clear" w:color="auto" w:fill="auto"/>
            <w:noWrap/>
            <w:vAlign w:val="bottom"/>
          </w:tcPr>
          <w:p w14:paraId="230008DA"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36055C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Haematology Screening Tests</w:t>
            </w:r>
          </w:p>
        </w:tc>
        <w:tc>
          <w:tcPr>
            <w:tcW w:w="1423" w:type="dxa"/>
            <w:tcBorders>
              <w:top w:val="nil"/>
              <w:left w:val="nil"/>
              <w:bottom w:val="nil"/>
              <w:right w:val="nil"/>
            </w:tcBorders>
            <w:shd w:val="clear" w:color="auto" w:fill="auto"/>
            <w:noWrap/>
            <w:vAlign w:val="bottom"/>
            <w:hideMark/>
          </w:tcPr>
          <w:p w14:paraId="31C8AC09" w14:textId="77777777" w:rsidR="002A0F5D" w:rsidRPr="006C68C4" w:rsidRDefault="002A0F5D" w:rsidP="00BA04E9">
            <w:pPr>
              <w:spacing w:after="0" w:line="240" w:lineRule="auto"/>
              <w:jc w:val="right"/>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2.960773453</w:t>
            </w:r>
          </w:p>
        </w:tc>
      </w:tr>
      <w:tr w:rsidR="002A0F5D" w:rsidRPr="006C68C4" w14:paraId="4BEE222C" w14:textId="77777777" w:rsidTr="006C68C4">
        <w:trPr>
          <w:trHeight w:val="290"/>
        </w:trPr>
        <w:tc>
          <w:tcPr>
            <w:tcW w:w="1984" w:type="dxa"/>
            <w:tcBorders>
              <w:top w:val="nil"/>
              <w:left w:val="nil"/>
              <w:bottom w:val="nil"/>
              <w:right w:val="nil"/>
            </w:tcBorders>
            <w:shd w:val="clear" w:color="auto" w:fill="auto"/>
            <w:noWrap/>
            <w:vAlign w:val="bottom"/>
            <w:hideMark/>
          </w:tcPr>
          <w:p w14:paraId="184045EC"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Drug</w:t>
            </w:r>
          </w:p>
        </w:tc>
        <w:tc>
          <w:tcPr>
            <w:tcW w:w="5388" w:type="dxa"/>
            <w:tcBorders>
              <w:top w:val="nil"/>
              <w:left w:val="nil"/>
              <w:bottom w:val="nil"/>
              <w:right w:val="nil"/>
            </w:tcBorders>
            <w:shd w:val="clear" w:color="auto" w:fill="auto"/>
            <w:noWrap/>
            <w:vAlign w:val="bottom"/>
            <w:hideMark/>
          </w:tcPr>
          <w:p w14:paraId="74C725C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adalimumab</w:t>
            </w:r>
          </w:p>
        </w:tc>
        <w:tc>
          <w:tcPr>
            <w:tcW w:w="1423" w:type="dxa"/>
            <w:tcBorders>
              <w:top w:val="nil"/>
              <w:left w:val="nil"/>
              <w:bottom w:val="nil"/>
              <w:right w:val="nil"/>
            </w:tcBorders>
            <w:shd w:val="clear" w:color="auto" w:fill="auto"/>
            <w:noWrap/>
            <w:hideMark/>
          </w:tcPr>
          <w:p w14:paraId="17023D16" w14:textId="77777777" w:rsidR="002A0F5D" w:rsidRPr="006C68C4" w:rsidRDefault="002A0F5D" w:rsidP="00BA04E9">
            <w:pPr>
              <w:spacing w:after="0" w:line="240" w:lineRule="auto"/>
              <w:jc w:val="center"/>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400.18</w:t>
            </w:r>
          </w:p>
        </w:tc>
      </w:tr>
      <w:tr w:rsidR="002A0F5D" w:rsidRPr="006C68C4" w14:paraId="4E44F5AC" w14:textId="77777777" w:rsidTr="006C68C4">
        <w:trPr>
          <w:trHeight w:val="290"/>
        </w:trPr>
        <w:tc>
          <w:tcPr>
            <w:tcW w:w="1984" w:type="dxa"/>
            <w:tcBorders>
              <w:top w:val="nil"/>
              <w:left w:val="nil"/>
              <w:bottom w:val="nil"/>
              <w:right w:val="nil"/>
            </w:tcBorders>
            <w:shd w:val="clear" w:color="auto" w:fill="auto"/>
            <w:noWrap/>
            <w:vAlign w:val="bottom"/>
          </w:tcPr>
          <w:p w14:paraId="09A1E02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22202C47"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golimumab</w:t>
            </w:r>
          </w:p>
        </w:tc>
        <w:tc>
          <w:tcPr>
            <w:tcW w:w="1423" w:type="dxa"/>
            <w:tcBorders>
              <w:top w:val="nil"/>
              <w:left w:val="nil"/>
              <w:bottom w:val="nil"/>
              <w:right w:val="nil"/>
            </w:tcBorders>
            <w:shd w:val="clear" w:color="auto" w:fill="auto"/>
            <w:noWrap/>
            <w:hideMark/>
          </w:tcPr>
          <w:p w14:paraId="474F74E9" w14:textId="77777777" w:rsidR="002A0F5D" w:rsidRPr="006C68C4" w:rsidRDefault="002A0F5D" w:rsidP="00BA04E9">
            <w:pPr>
              <w:spacing w:after="0" w:line="240" w:lineRule="auto"/>
              <w:jc w:val="center"/>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1648.82</w:t>
            </w:r>
          </w:p>
        </w:tc>
      </w:tr>
      <w:tr w:rsidR="002A0F5D" w:rsidRPr="006C68C4" w14:paraId="3C3410E0" w14:textId="77777777" w:rsidTr="006C68C4">
        <w:trPr>
          <w:trHeight w:val="290"/>
        </w:trPr>
        <w:tc>
          <w:tcPr>
            <w:tcW w:w="1984" w:type="dxa"/>
            <w:tcBorders>
              <w:top w:val="nil"/>
              <w:left w:val="nil"/>
              <w:bottom w:val="nil"/>
              <w:right w:val="nil"/>
            </w:tcBorders>
            <w:shd w:val="clear" w:color="auto" w:fill="auto"/>
            <w:noWrap/>
            <w:vAlign w:val="bottom"/>
          </w:tcPr>
          <w:p w14:paraId="469197F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5A7F6EFD"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Infliximab</w:t>
            </w:r>
          </w:p>
        </w:tc>
        <w:tc>
          <w:tcPr>
            <w:tcW w:w="1423" w:type="dxa"/>
            <w:tcBorders>
              <w:top w:val="nil"/>
              <w:left w:val="nil"/>
              <w:bottom w:val="nil"/>
              <w:right w:val="nil"/>
            </w:tcBorders>
            <w:shd w:val="clear" w:color="auto" w:fill="auto"/>
            <w:noWrap/>
            <w:hideMark/>
          </w:tcPr>
          <w:p w14:paraId="65D1C9B5" w14:textId="77777777" w:rsidR="002A0F5D" w:rsidRPr="006C68C4" w:rsidRDefault="002A0F5D" w:rsidP="00BA04E9">
            <w:pPr>
              <w:spacing w:after="0" w:line="240" w:lineRule="auto"/>
              <w:jc w:val="center"/>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498.28</w:t>
            </w:r>
          </w:p>
        </w:tc>
      </w:tr>
      <w:tr w:rsidR="002A0F5D" w:rsidRPr="006C68C4" w14:paraId="628396D3" w14:textId="77777777" w:rsidTr="006C68C4">
        <w:trPr>
          <w:trHeight w:val="290"/>
        </w:trPr>
        <w:tc>
          <w:tcPr>
            <w:tcW w:w="1984" w:type="dxa"/>
            <w:tcBorders>
              <w:top w:val="nil"/>
              <w:left w:val="nil"/>
              <w:bottom w:val="nil"/>
              <w:right w:val="nil"/>
            </w:tcBorders>
            <w:shd w:val="clear" w:color="auto" w:fill="auto"/>
            <w:noWrap/>
            <w:vAlign w:val="bottom"/>
          </w:tcPr>
          <w:p w14:paraId="34783F5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422978B"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Ustekinumab</w:t>
            </w:r>
          </w:p>
        </w:tc>
        <w:tc>
          <w:tcPr>
            <w:tcW w:w="1423" w:type="dxa"/>
            <w:tcBorders>
              <w:top w:val="nil"/>
              <w:left w:val="nil"/>
              <w:bottom w:val="nil"/>
              <w:right w:val="nil"/>
            </w:tcBorders>
            <w:shd w:val="clear" w:color="auto" w:fill="auto"/>
            <w:noWrap/>
            <w:hideMark/>
          </w:tcPr>
          <w:p w14:paraId="3E1C660B" w14:textId="77777777" w:rsidR="002A0F5D" w:rsidRPr="006C68C4" w:rsidRDefault="002A0F5D" w:rsidP="00BA04E9">
            <w:pPr>
              <w:spacing w:after="0" w:line="240" w:lineRule="auto"/>
              <w:jc w:val="center"/>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1,510.60</w:t>
            </w:r>
          </w:p>
        </w:tc>
      </w:tr>
      <w:tr w:rsidR="002A0F5D" w:rsidRPr="006C68C4" w14:paraId="4CF4088F" w14:textId="77777777" w:rsidTr="006C68C4">
        <w:trPr>
          <w:trHeight w:val="290"/>
        </w:trPr>
        <w:tc>
          <w:tcPr>
            <w:tcW w:w="1984" w:type="dxa"/>
            <w:tcBorders>
              <w:top w:val="nil"/>
              <w:left w:val="nil"/>
              <w:bottom w:val="nil"/>
              <w:right w:val="nil"/>
            </w:tcBorders>
            <w:shd w:val="clear" w:color="auto" w:fill="auto"/>
            <w:noWrap/>
            <w:vAlign w:val="bottom"/>
          </w:tcPr>
          <w:p w14:paraId="6D3E0CE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0818AC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Filgotinib</w:t>
            </w:r>
          </w:p>
        </w:tc>
        <w:tc>
          <w:tcPr>
            <w:tcW w:w="1423" w:type="dxa"/>
            <w:tcBorders>
              <w:top w:val="nil"/>
              <w:left w:val="nil"/>
              <w:bottom w:val="nil"/>
              <w:right w:val="nil"/>
            </w:tcBorders>
            <w:shd w:val="clear" w:color="auto" w:fill="auto"/>
            <w:noWrap/>
            <w:hideMark/>
          </w:tcPr>
          <w:p w14:paraId="04B5C931" w14:textId="77777777" w:rsidR="002A0F5D" w:rsidRPr="006C68C4" w:rsidRDefault="002A0F5D" w:rsidP="00BA04E9">
            <w:pPr>
              <w:spacing w:after="0" w:line="240" w:lineRule="auto"/>
              <w:jc w:val="center"/>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572.28</w:t>
            </w:r>
          </w:p>
        </w:tc>
      </w:tr>
      <w:tr w:rsidR="002A0F5D" w:rsidRPr="006C68C4" w14:paraId="444ED5DC" w14:textId="77777777" w:rsidTr="006C68C4">
        <w:trPr>
          <w:trHeight w:val="290"/>
        </w:trPr>
        <w:tc>
          <w:tcPr>
            <w:tcW w:w="1984" w:type="dxa"/>
            <w:tcBorders>
              <w:top w:val="nil"/>
              <w:left w:val="nil"/>
              <w:bottom w:val="nil"/>
              <w:right w:val="nil"/>
            </w:tcBorders>
            <w:shd w:val="clear" w:color="auto" w:fill="auto"/>
            <w:noWrap/>
            <w:vAlign w:val="bottom"/>
          </w:tcPr>
          <w:p w14:paraId="48F93E48"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1CD73310"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Risankizumab</w:t>
            </w:r>
          </w:p>
        </w:tc>
        <w:tc>
          <w:tcPr>
            <w:tcW w:w="1423" w:type="dxa"/>
            <w:tcBorders>
              <w:top w:val="nil"/>
              <w:left w:val="nil"/>
              <w:bottom w:val="nil"/>
              <w:right w:val="nil"/>
            </w:tcBorders>
            <w:shd w:val="clear" w:color="auto" w:fill="auto"/>
            <w:noWrap/>
            <w:hideMark/>
          </w:tcPr>
          <w:p w14:paraId="06CEBDAA" w14:textId="77777777" w:rsidR="002A0F5D" w:rsidRPr="006C68C4" w:rsidRDefault="002A0F5D" w:rsidP="00BA04E9">
            <w:pPr>
              <w:spacing w:after="0" w:line="240" w:lineRule="auto"/>
              <w:jc w:val="center"/>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3,111.85</w:t>
            </w:r>
          </w:p>
        </w:tc>
      </w:tr>
      <w:tr w:rsidR="002A0F5D" w:rsidRPr="006C68C4" w14:paraId="013F24D7" w14:textId="77777777" w:rsidTr="006C68C4">
        <w:trPr>
          <w:trHeight w:val="290"/>
        </w:trPr>
        <w:tc>
          <w:tcPr>
            <w:tcW w:w="1984" w:type="dxa"/>
            <w:tcBorders>
              <w:top w:val="nil"/>
              <w:left w:val="nil"/>
              <w:bottom w:val="nil"/>
              <w:right w:val="nil"/>
            </w:tcBorders>
            <w:shd w:val="clear" w:color="auto" w:fill="auto"/>
            <w:noWrap/>
            <w:vAlign w:val="bottom"/>
          </w:tcPr>
          <w:p w14:paraId="1F6F2E1E"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nil"/>
              <w:right w:val="nil"/>
            </w:tcBorders>
            <w:shd w:val="clear" w:color="auto" w:fill="auto"/>
            <w:noWrap/>
            <w:vAlign w:val="bottom"/>
            <w:hideMark/>
          </w:tcPr>
          <w:p w14:paraId="0748FC89"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Tofacitinib</w:t>
            </w:r>
          </w:p>
        </w:tc>
        <w:tc>
          <w:tcPr>
            <w:tcW w:w="1423" w:type="dxa"/>
            <w:tcBorders>
              <w:top w:val="nil"/>
              <w:left w:val="nil"/>
              <w:bottom w:val="nil"/>
              <w:right w:val="nil"/>
            </w:tcBorders>
            <w:shd w:val="clear" w:color="auto" w:fill="auto"/>
            <w:noWrap/>
            <w:hideMark/>
          </w:tcPr>
          <w:p w14:paraId="160CB9C3" w14:textId="77777777" w:rsidR="002A0F5D" w:rsidRPr="006C68C4" w:rsidRDefault="002A0F5D" w:rsidP="00BA04E9">
            <w:pPr>
              <w:spacing w:after="0" w:line="240" w:lineRule="auto"/>
              <w:jc w:val="center"/>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1,083.32</w:t>
            </w:r>
          </w:p>
        </w:tc>
      </w:tr>
      <w:tr w:rsidR="002A0F5D" w:rsidRPr="006C68C4" w14:paraId="2F284F41" w14:textId="77777777" w:rsidTr="00D4749F">
        <w:trPr>
          <w:trHeight w:val="290"/>
        </w:trPr>
        <w:tc>
          <w:tcPr>
            <w:tcW w:w="1984" w:type="dxa"/>
            <w:tcBorders>
              <w:top w:val="nil"/>
              <w:left w:val="nil"/>
              <w:right w:val="nil"/>
            </w:tcBorders>
            <w:shd w:val="clear" w:color="auto" w:fill="auto"/>
            <w:noWrap/>
            <w:vAlign w:val="bottom"/>
          </w:tcPr>
          <w:p w14:paraId="6E750C04"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right w:val="nil"/>
            </w:tcBorders>
            <w:shd w:val="clear" w:color="auto" w:fill="auto"/>
            <w:noWrap/>
            <w:vAlign w:val="bottom"/>
            <w:hideMark/>
          </w:tcPr>
          <w:p w14:paraId="1B5AF356"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Upadacitinib</w:t>
            </w:r>
          </w:p>
        </w:tc>
        <w:tc>
          <w:tcPr>
            <w:tcW w:w="1423" w:type="dxa"/>
            <w:tcBorders>
              <w:top w:val="nil"/>
              <w:left w:val="nil"/>
              <w:right w:val="nil"/>
            </w:tcBorders>
            <w:shd w:val="clear" w:color="auto" w:fill="auto"/>
            <w:noWrap/>
            <w:hideMark/>
          </w:tcPr>
          <w:p w14:paraId="0B35EF41" w14:textId="77777777" w:rsidR="002A0F5D" w:rsidRPr="006C68C4" w:rsidRDefault="002A0F5D" w:rsidP="00BA04E9">
            <w:pPr>
              <w:spacing w:after="0" w:line="240" w:lineRule="auto"/>
              <w:jc w:val="center"/>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747.03</w:t>
            </w:r>
          </w:p>
        </w:tc>
      </w:tr>
      <w:tr w:rsidR="002A0F5D" w:rsidRPr="006C68C4" w14:paraId="65968074" w14:textId="77777777" w:rsidTr="00D4749F">
        <w:trPr>
          <w:trHeight w:val="290"/>
        </w:trPr>
        <w:tc>
          <w:tcPr>
            <w:tcW w:w="1984" w:type="dxa"/>
            <w:tcBorders>
              <w:top w:val="nil"/>
              <w:left w:val="nil"/>
              <w:bottom w:val="single" w:sz="4" w:space="0" w:color="auto"/>
              <w:right w:val="nil"/>
            </w:tcBorders>
            <w:shd w:val="clear" w:color="auto" w:fill="auto"/>
            <w:noWrap/>
            <w:vAlign w:val="bottom"/>
          </w:tcPr>
          <w:p w14:paraId="387544C2"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p>
        </w:tc>
        <w:tc>
          <w:tcPr>
            <w:tcW w:w="5388" w:type="dxa"/>
            <w:tcBorders>
              <w:top w:val="nil"/>
              <w:left w:val="nil"/>
              <w:bottom w:val="single" w:sz="4" w:space="0" w:color="auto"/>
              <w:right w:val="nil"/>
            </w:tcBorders>
            <w:shd w:val="clear" w:color="auto" w:fill="auto"/>
            <w:noWrap/>
            <w:vAlign w:val="bottom"/>
            <w:hideMark/>
          </w:tcPr>
          <w:p w14:paraId="05DB9FA5" w14:textId="77777777" w:rsidR="002A0F5D" w:rsidRPr="006C68C4" w:rsidRDefault="002A0F5D" w:rsidP="00BA04E9">
            <w:pPr>
              <w:spacing w:after="0" w:line="240" w:lineRule="auto"/>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Vedolizumab</w:t>
            </w:r>
          </w:p>
        </w:tc>
        <w:tc>
          <w:tcPr>
            <w:tcW w:w="1423" w:type="dxa"/>
            <w:tcBorders>
              <w:top w:val="nil"/>
              <w:left w:val="nil"/>
              <w:bottom w:val="single" w:sz="4" w:space="0" w:color="auto"/>
              <w:right w:val="nil"/>
            </w:tcBorders>
            <w:shd w:val="clear" w:color="auto" w:fill="auto"/>
            <w:noWrap/>
            <w:hideMark/>
          </w:tcPr>
          <w:p w14:paraId="55883643" w14:textId="77777777" w:rsidR="002A0F5D" w:rsidRPr="006C68C4" w:rsidRDefault="002A0F5D" w:rsidP="00BA04E9">
            <w:pPr>
              <w:spacing w:after="0" w:line="240" w:lineRule="auto"/>
              <w:jc w:val="center"/>
              <w:rPr>
                <w:rFonts w:ascii="Arial" w:eastAsia="Times New Roman" w:hAnsi="Arial" w:cs="Arial"/>
                <w:color w:val="000000"/>
                <w:kern w:val="0"/>
                <w:lang w:eastAsia="ca-ES"/>
                <w14:ligatures w14:val="none"/>
              </w:rPr>
            </w:pPr>
            <w:r w:rsidRPr="006C68C4">
              <w:rPr>
                <w:rFonts w:ascii="Arial" w:eastAsia="Times New Roman" w:hAnsi="Arial" w:cs="Arial"/>
                <w:color w:val="000000"/>
                <w:kern w:val="0"/>
                <w:lang w:eastAsia="ca-ES"/>
                <w14:ligatures w14:val="none"/>
              </w:rPr>
              <w:t>1,886.36</w:t>
            </w:r>
          </w:p>
        </w:tc>
      </w:tr>
    </w:tbl>
    <w:p w14:paraId="59CAD35B" w14:textId="77777777" w:rsidR="002A0F5D" w:rsidRPr="006C68C4" w:rsidRDefault="002A0F5D" w:rsidP="002A0F5D">
      <w:pPr>
        <w:spacing w:after="120"/>
        <w:rPr>
          <w:rFonts w:ascii="Arial" w:hAnsi="Arial" w:cs="Arial"/>
          <w:b/>
          <w:bCs/>
        </w:rPr>
        <w:sectPr w:rsidR="002A0F5D" w:rsidRPr="006C68C4" w:rsidSect="002A0F5D">
          <w:pgSz w:w="11906" w:h="16838"/>
          <w:pgMar w:top="1417" w:right="1701" w:bottom="1417" w:left="1701" w:header="708" w:footer="708" w:gutter="0"/>
          <w:cols w:space="708"/>
          <w:docGrid w:linePitch="360"/>
        </w:sectPr>
      </w:pPr>
    </w:p>
    <w:p w14:paraId="551B3581" w14:textId="77777777" w:rsidR="002A0F5D" w:rsidRPr="006C68C4" w:rsidRDefault="002A0F5D" w:rsidP="002A0F5D">
      <w:pPr>
        <w:spacing w:after="120"/>
        <w:rPr>
          <w:rFonts w:ascii="Arial" w:hAnsi="Arial" w:cs="Arial"/>
          <w:b/>
          <w:bCs/>
        </w:rPr>
      </w:pPr>
      <w:r w:rsidRPr="006C68C4">
        <w:rPr>
          <w:rFonts w:ascii="Arial" w:hAnsi="Arial" w:cs="Arial"/>
          <w:b/>
          <w:bCs/>
        </w:rPr>
        <w:t>Supplementary Table 5. Study Disposition</w:t>
      </w:r>
    </w:p>
    <w:tbl>
      <w:tblPr>
        <w:tblW w:w="4980" w:type="pct"/>
        <w:jc w:val="center"/>
        <w:tblCellMar>
          <w:left w:w="0" w:type="dxa"/>
          <w:right w:w="0" w:type="dxa"/>
        </w:tblCellMar>
        <w:tblLook w:val="0000" w:firstRow="0" w:lastRow="0" w:firstColumn="0" w:lastColumn="0" w:noHBand="0" w:noVBand="0"/>
      </w:tblPr>
      <w:tblGrid>
        <w:gridCol w:w="1694"/>
        <w:gridCol w:w="1698"/>
        <w:gridCol w:w="2121"/>
        <w:gridCol w:w="1279"/>
        <w:gridCol w:w="1269"/>
        <w:gridCol w:w="1279"/>
        <w:gridCol w:w="1134"/>
        <w:gridCol w:w="1279"/>
        <w:gridCol w:w="1239"/>
        <w:gridCol w:w="77"/>
        <w:gridCol w:w="1074"/>
        <w:gridCol w:w="89"/>
        <w:gridCol w:w="1098"/>
      </w:tblGrid>
      <w:tr w:rsidR="002A0F5D" w:rsidRPr="006C68C4" w14:paraId="1F792A63" w14:textId="77777777" w:rsidTr="00BA04E9">
        <w:trPr>
          <w:cantSplit/>
          <w:tblHeader/>
          <w:jc w:val="center"/>
        </w:trPr>
        <w:tc>
          <w:tcPr>
            <w:tcW w:w="553" w:type="pct"/>
            <w:tcBorders>
              <w:top w:val="single" w:sz="6" w:space="0" w:color="000000"/>
              <w:left w:val="single" w:sz="2" w:space="0" w:color="FFFFFF"/>
              <w:bottom w:val="single" w:sz="4" w:space="0" w:color="auto"/>
              <w:right w:val="nil"/>
            </w:tcBorders>
            <w:shd w:val="clear" w:color="auto" w:fill="BBBBBB"/>
            <w:tcMar>
              <w:left w:w="60" w:type="dxa"/>
              <w:right w:w="60" w:type="dxa"/>
            </w:tcMar>
            <w:vAlign w:val="bottom"/>
          </w:tcPr>
          <w:p w14:paraId="0FE081D7" w14:textId="15221B31" w:rsidR="002A0F5D" w:rsidRPr="006C68C4" w:rsidRDefault="002A0F5D" w:rsidP="00BA04E9">
            <w:pPr>
              <w:keepNext/>
              <w:adjustRightInd w:val="0"/>
              <w:spacing w:before="60" w:after="60"/>
              <w:jc w:val="center"/>
              <w:rPr>
                <w:rFonts w:ascii="Arial" w:hAnsi="Arial" w:cs="Arial"/>
                <w:color w:val="000000"/>
                <w:sz w:val="18"/>
                <w:szCs w:val="18"/>
              </w:rPr>
            </w:pPr>
            <w:proofErr w:type="spellStart"/>
            <w:r w:rsidRPr="006C68C4">
              <w:rPr>
                <w:rFonts w:ascii="Arial" w:hAnsi="Arial" w:cs="Arial"/>
                <w:color w:val="000000"/>
                <w:sz w:val="18"/>
                <w:szCs w:val="18"/>
              </w:rPr>
              <w:t>Timeframe</w:t>
            </w:r>
            <w:proofErr w:type="spellEnd"/>
            <w:r w:rsidRPr="006C68C4">
              <w:rPr>
                <w:rFonts w:ascii="Arial" w:hAnsi="Arial" w:cs="Arial"/>
                <w:color w:val="000000"/>
                <w:sz w:val="18"/>
                <w:szCs w:val="18"/>
                <w:vertAlign w:val="superscript"/>
              </w:rPr>
              <w:t>[</w:t>
            </w:r>
            <w:r w:rsidR="000205ED">
              <w:rPr>
                <w:rFonts w:ascii="Arial" w:hAnsi="Arial" w:cs="Arial"/>
                <w:color w:val="000000"/>
                <w:sz w:val="18"/>
                <w:szCs w:val="18"/>
                <w:vertAlign w:val="superscript"/>
              </w:rPr>
              <w:t>*</w:t>
            </w:r>
            <w:r w:rsidRPr="006C68C4">
              <w:rPr>
                <w:rFonts w:ascii="Arial" w:hAnsi="Arial" w:cs="Arial"/>
                <w:color w:val="000000"/>
                <w:sz w:val="18"/>
                <w:szCs w:val="18"/>
                <w:vertAlign w:val="superscript"/>
              </w:rPr>
              <w:t>]</w:t>
            </w:r>
          </w:p>
        </w:tc>
        <w:tc>
          <w:tcPr>
            <w:tcW w:w="554" w:type="pct"/>
            <w:tcBorders>
              <w:top w:val="single" w:sz="6" w:space="0" w:color="000000"/>
              <w:left w:val="single" w:sz="2" w:space="0" w:color="FFFFFF"/>
              <w:bottom w:val="single" w:sz="4" w:space="0" w:color="auto"/>
              <w:right w:val="nil"/>
            </w:tcBorders>
            <w:shd w:val="clear" w:color="auto" w:fill="BBBBBB"/>
            <w:tcMar>
              <w:left w:w="60" w:type="dxa"/>
              <w:right w:w="60" w:type="dxa"/>
            </w:tcMar>
            <w:vAlign w:val="bottom"/>
          </w:tcPr>
          <w:p w14:paraId="32E1BEC4" w14:textId="77777777" w:rsidR="002A0F5D" w:rsidRPr="006C68C4" w:rsidRDefault="002A0F5D" w:rsidP="00BA04E9">
            <w:pPr>
              <w:keepNext/>
              <w:adjustRightInd w:val="0"/>
              <w:spacing w:before="60" w:after="60"/>
              <w:jc w:val="center"/>
              <w:rPr>
                <w:rFonts w:ascii="Arial" w:hAnsi="Arial" w:cs="Arial"/>
                <w:color w:val="000000"/>
                <w:sz w:val="18"/>
                <w:szCs w:val="18"/>
              </w:rPr>
            </w:pPr>
          </w:p>
        </w:tc>
        <w:tc>
          <w:tcPr>
            <w:tcW w:w="692" w:type="pct"/>
            <w:tcBorders>
              <w:top w:val="single" w:sz="6" w:space="0" w:color="000000"/>
              <w:left w:val="single" w:sz="2" w:space="0" w:color="FFFFFF"/>
              <w:bottom w:val="single" w:sz="4" w:space="0" w:color="auto"/>
              <w:right w:val="nil"/>
            </w:tcBorders>
            <w:shd w:val="clear" w:color="auto" w:fill="BBBBBB"/>
            <w:tcMar>
              <w:left w:w="60" w:type="dxa"/>
              <w:right w:w="60" w:type="dxa"/>
            </w:tcMar>
            <w:vAlign w:val="bottom"/>
          </w:tcPr>
          <w:p w14:paraId="19603EBF" w14:textId="77777777" w:rsidR="002A0F5D" w:rsidRPr="006C68C4" w:rsidRDefault="002A0F5D" w:rsidP="00BA04E9">
            <w:pPr>
              <w:keepNext/>
              <w:adjustRightInd w:val="0"/>
              <w:spacing w:before="60" w:after="60"/>
              <w:jc w:val="center"/>
              <w:rPr>
                <w:rFonts w:ascii="Arial" w:hAnsi="Arial" w:cs="Arial"/>
                <w:color w:val="000000"/>
                <w:sz w:val="18"/>
                <w:szCs w:val="18"/>
              </w:rPr>
            </w:pPr>
          </w:p>
        </w:tc>
        <w:tc>
          <w:tcPr>
            <w:tcW w:w="417" w:type="pct"/>
            <w:tcBorders>
              <w:top w:val="single" w:sz="6" w:space="0" w:color="000000"/>
              <w:left w:val="single" w:sz="2" w:space="0" w:color="FFFFFF"/>
              <w:bottom w:val="single" w:sz="4" w:space="0" w:color="auto"/>
              <w:right w:val="nil"/>
            </w:tcBorders>
            <w:shd w:val="clear" w:color="auto" w:fill="BBBBBB"/>
            <w:tcMar>
              <w:left w:w="60" w:type="dxa"/>
              <w:right w:w="60" w:type="dxa"/>
            </w:tcMar>
            <w:vAlign w:val="bottom"/>
          </w:tcPr>
          <w:p w14:paraId="1C53DB30"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Adalimumab</w:t>
            </w:r>
          </w:p>
        </w:tc>
        <w:tc>
          <w:tcPr>
            <w:tcW w:w="414" w:type="pct"/>
            <w:tcBorders>
              <w:top w:val="single" w:sz="6" w:space="0" w:color="000000"/>
              <w:left w:val="single" w:sz="2" w:space="0" w:color="FFFFFF"/>
              <w:bottom w:val="single" w:sz="4" w:space="0" w:color="auto"/>
              <w:right w:val="nil"/>
            </w:tcBorders>
            <w:shd w:val="clear" w:color="auto" w:fill="BBBBBB"/>
            <w:tcMar>
              <w:left w:w="60" w:type="dxa"/>
              <w:right w:w="60" w:type="dxa"/>
            </w:tcMar>
            <w:vAlign w:val="bottom"/>
          </w:tcPr>
          <w:p w14:paraId="580C83F2"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Golimumab</w:t>
            </w:r>
          </w:p>
        </w:tc>
        <w:tc>
          <w:tcPr>
            <w:tcW w:w="417" w:type="pct"/>
            <w:tcBorders>
              <w:top w:val="single" w:sz="6" w:space="0" w:color="000000"/>
              <w:left w:val="single" w:sz="2" w:space="0" w:color="FFFFFF"/>
              <w:bottom w:val="single" w:sz="4" w:space="0" w:color="auto"/>
              <w:right w:val="nil"/>
            </w:tcBorders>
            <w:shd w:val="clear" w:color="auto" w:fill="BBBBBB"/>
            <w:tcMar>
              <w:left w:w="60" w:type="dxa"/>
              <w:right w:w="60" w:type="dxa"/>
            </w:tcMar>
            <w:vAlign w:val="bottom"/>
          </w:tcPr>
          <w:p w14:paraId="732ECE00"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Infliximab</w:t>
            </w:r>
          </w:p>
        </w:tc>
        <w:tc>
          <w:tcPr>
            <w:tcW w:w="370" w:type="pct"/>
            <w:tcBorders>
              <w:top w:val="single" w:sz="6" w:space="0" w:color="000000"/>
              <w:left w:val="single" w:sz="2" w:space="0" w:color="FFFFFF"/>
              <w:bottom w:val="single" w:sz="4" w:space="0" w:color="auto"/>
              <w:right w:val="nil"/>
            </w:tcBorders>
            <w:shd w:val="clear" w:color="auto" w:fill="BBBBBB"/>
            <w:tcMar>
              <w:left w:w="60" w:type="dxa"/>
              <w:right w:w="60" w:type="dxa"/>
            </w:tcMar>
            <w:vAlign w:val="bottom"/>
          </w:tcPr>
          <w:p w14:paraId="65A1D633"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Tofacitinib</w:t>
            </w:r>
          </w:p>
        </w:tc>
        <w:tc>
          <w:tcPr>
            <w:tcW w:w="417" w:type="pct"/>
            <w:tcBorders>
              <w:top w:val="single" w:sz="6" w:space="0" w:color="000000"/>
              <w:left w:val="single" w:sz="2" w:space="0" w:color="FFFFFF"/>
              <w:bottom w:val="single" w:sz="4" w:space="0" w:color="auto"/>
              <w:right w:val="nil"/>
            </w:tcBorders>
            <w:shd w:val="clear" w:color="auto" w:fill="BBBBBB"/>
            <w:tcMar>
              <w:left w:w="60" w:type="dxa"/>
              <w:right w:w="60" w:type="dxa"/>
            </w:tcMar>
            <w:vAlign w:val="bottom"/>
          </w:tcPr>
          <w:p w14:paraId="0CA35AA4"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Upadacitinib</w:t>
            </w:r>
          </w:p>
        </w:tc>
        <w:tc>
          <w:tcPr>
            <w:tcW w:w="404" w:type="pct"/>
            <w:tcBorders>
              <w:top w:val="single" w:sz="6" w:space="0" w:color="000000"/>
              <w:left w:val="single" w:sz="2" w:space="0" w:color="FFFFFF"/>
              <w:bottom w:val="single" w:sz="4" w:space="0" w:color="auto"/>
              <w:right w:val="nil"/>
            </w:tcBorders>
            <w:shd w:val="clear" w:color="auto" w:fill="BBBBBB"/>
            <w:tcMar>
              <w:left w:w="60" w:type="dxa"/>
              <w:right w:w="60" w:type="dxa"/>
            </w:tcMar>
            <w:vAlign w:val="bottom"/>
          </w:tcPr>
          <w:p w14:paraId="71D8FF92"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Ustekinumab</w:t>
            </w:r>
          </w:p>
        </w:tc>
        <w:tc>
          <w:tcPr>
            <w:tcW w:w="375" w:type="pct"/>
            <w:gridSpan w:val="2"/>
            <w:tcBorders>
              <w:top w:val="single" w:sz="6" w:space="0" w:color="000000"/>
              <w:left w:val="single" w:sz="2" w:space="0" w:color="FFFFFF"/>
              <w:bottom w:val="single" w:sz="4" w:space="0" w:color="auto"/>
              <w:right w:val="nil"/>
            </w:tcBorders>
            <w:shd w:val="clear" w:color="auto" w:fill="BBBBBB"/>
            <w:tcMar>
              <w:left w:w="60" w:type="dxa"/>
              <w:right w:w="60" w:type="dxa"/>
            </w:tcMar>
            <w:vAlign w:val="bottom"/>
          </w:tcPr>
          <w:p w14:paraId="2CD17482"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Vedolizumab</w:t>
            </w:r>
          </w:p>
        </w:tc>
        <w:tc>
          <w:tcPr>
            <w:tcW w:w="387" w:type="pct"/>
            <w:gridSpan w:val="2"/>
            <w:tcBorders>
              <w:top w:val="single" w:sz="6" w:space="0" w:color="000000"/>
              <w:left w:val="single" w:sz="2" w:space="0" w:color="FFFFFF"/>
              <w:bottom w:val="single" w:sz="4" w:space="0" w:color="auto"/>
              <w:right w:val="single" w:sz="2" w:space="0" w:color="FFFFFF"/>
            </w:tcBorders>
            <w:shd w:val="clear" w:color="auto" w:fill="BBBBBB"/>
            <w:tcMar>
              <w:left w:w="60" w:type="dxa"/>
              <w:right w:w="60" w:type="dxa"/>
            </w:tcMar>
            <w:vAlign w:val="bottom"/>
          </w:tcPr>
          <w:p w14:paraId="7A6F6B6D"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Total</w:t>
            </w:r>
          </w:p>
        </w:tc>
      </w:tr>
      <w:tr w:rsidR="002A0F5D" w:rsidRPr="006C68C4" w14:paraId="0DB1DC08" w14:textId="77777777" w:rsidTr="00BA04E9">
        <w:trPr>
          <w:cantSplit/>
          <w:jc w:val="center"/>
        </w:trPr>
        <w:tc>
          <w:tcPr>
            <w:tcW w:w="5000" w:type="pct"/>
            <w:gridSpan w:val="13"/>
            <w:tcBorders>
              <w:top w:val="single" w:sz="4" w:space="0" w:color="auto"/>
              <w:left w:val="nil"/>
              <w:bottom w:val="single" w:sz="4" w:space="0" w:color="auto"/>
              <w:right w:val="nil"/>
            </w:tcBorders>
            <w:shd w:val="clear" w:color="auto" w:fill="FFFFFF"/>
            <w:tcMar>
              <w:left w:w="60" w:type="dxa"/>
              <w:right w:w="60" w:type="dxa"/>
            </w:tcMar>
          </w:tcPr>
          <w:p w14:paraId="065BE020" w14:textId="77777777" w:rsidR="002A0F5D" w:rsidRPr="006C68C4" w:rsidRDefault="002A0F5D" w:rsidP="00BA04E9">
            <w:pPr>
              <w:adjustRightInd w:val="0"/>
              <w:spacing w:before="60" w:after="60"/>
              <w:rPr>
                <w:rFonts w:ascii="Arial" w:hAnsi="Arial" w:cs="Arial"/>
                <w:b/>
                <w:bCs/>
                <w:color w:val="000000"/>
                <w:sz w:val="18"/>
                <w:szCs w:val="18"/>
              </w:rPr>
            </w:pPr>
            <w:r w:rsidRPr="006C68C4">
              <w:rPr>
                <w:rFonts w:ascii="Arial" w:hAnsi="Arial" w:cs="Arial"/>
                <w:b/>
                <w:bCs/>
                <w:color w:val="000000"/>
                <w:sz w:val="18"/>
                <w:szCs w:val="18"/>
              </w:rPr>
              <w:t>AT approach</w:t>
            </w:r>
          </w:p>
        </w:tc>
      </w:tr>
      <w:tr w:rsidR="002A0F5D" w:rsidRPr="006C68C4" w14:paraId="20D7B1BE" w14:textId="77777777" w:rsidTr="00BA04E9">
        <w:trPr>
          <w:cantSplit/>
          <w:jc w:val="center"/>
        </w:trPr>
        <w:tc>
          <w:tcPr>
            <w:tcW w:w="553" w:type="pct"/>
            <w:tcBorders>
              <w:top w:val="single" w:sz="4" w:space="0" w:color="auto"/>
              <w:left w:val="nil"/>
              <w:bottom w:val="nil"/>
              <w:right w:val="nil"/>
            </w:tcBorders>
            <w:shd w:val="clear" w:color="auto" w:fill="FFFFFF"/>
            <w:tcMar>
              <w:left w:w="60" w:type="dxa"/>
              <w:right w:w="60" w:type="dxa"/>
            </w:tcMar>
          </w:tcPr>
          <w:p w14:paraId="7B52DF6B"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At Index Date</w:t>
            </w:r>
          </w:p>
        </w:tc>
        <w:tc>
          <w:tcPr>
            <w:tcW w:w="554" w:type="pct"/>
            <w:tcBorders>
              <w:top w:val="single" w:sz="4" w:space="0" w:color="auto"/>
              <w:left w:val="nil"/>
              <w:bottom w:val="nil"/>
              <w:right w:val="nil"/>
            </w:tcBorders>
            <w:shd w:val="clear" w:color="auto" w:fill="FFFFFF"/>
            <w:tcMar>
              <w:left w:w="60" w:type="dxa"/>
              <w:right w:w="60" w:type="dxa"/>
            </w:tcMar>
          </w:tcPr>
          <w:p w14:paraId="3551F4C6"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N of Patients</w:t>
            </w:r>
          </w:p>
        </w:tc>
        <w:tc>
          <w:tcPr>
            <w:tcW w:w="692" w:type="pct"/>
            <w:tcBorders>
              <w:top w:val="single" w:sz="4" w:space="0" w:color="auto"/>
              <w:left w:val="nil"/>
              <w:bottom w:val="nil"/>
              <w:right w:val="nil"/>
            </w:tcBorders>
            <w:shd w:val="clear" w:color="auto" w:fill="FFFFFF"/>
            <w:tcMar>
              <w:left w:w="60" w:type="dxa"/>
              <w:right w:w="60" w:type="dxa"/>
            </w:tcMar>
          </w:tcPr>
          <w:p w14:paraId="24280ECC"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single" w:sz="4" w:space="0" w:color="auto"/>
              <w:left w:val="nil"/>
              <w:bottom w:val="nil"/>
              <w:right w:val="nil"/>
            </w:tcBorders>
            <w:shd w:val="clear" w:color="auto" w:fill="FFFFFF"/>
            <w:tcMar>
              <w:left w:w="60" w:type="dxa"/>
              <w:right w:w="60" w:type="dxa"/>
            </w:tcMar>
          </w:tcPr>
          <w:p w14:paraId="2FCC6AC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836</w:t>
            </w:r>
          </w:p>
        </w:tc>
        <w:tc>
          <w:tcPr>
            <w:tcW w:w="414" w:type="pct"/>
            <w:tcBorders>
              <w:top w:val="single" w:sz="4" w:space="0" w:color="auto"/>
              <w:left w:val="nil"/>
              <w:bottom w:val="nil"/>
              <w:right w:val="nil"/>
            </w:tcBorders>
            <w:shd w:val="clear" w:color="auto" w:fill="FFFFFF"/>
            <w:tcMar>
              <w:left w:w="60" w:type="dxa"/>
              <w:right w:w="60" w:type="dxa"/>
            </w:tcMar>
          </w:tcPr>
          <w:p w14:paraId="5029E0E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132</w:t>
            </w:r>
          </w:p>
        </w:tc>
        <w:tc>
          <w:tcPr>
            <w:tcW w:w="417" w:type="pct"/>
            <w:tcBorders>
              <w:top w:val="single" w:sz="4" w:space="0" w:color="auto"/>
              <w:left w:val="nil"/>
              <w:bottom w:val="nil"/>
              <w:right w:val="nil"/>
            </w:tcBorders>
            <w:shd w:val="clear" w:color="auto" w:fill="FFFFFF"/>
            <w:tcMar>
              <w:left w:w="60" w:type="dxa"/>
              <w:right w:w="60" w:type="dxa"/>
            </w:tcMar>
          </w:tcPr>
          <w:p w14:paraId="71A62B7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314</w:t>
            </w:r>
          </w:p>
        </w:tc>
        <w:tc>
          <w:tcPr>
            <w:tcW w:w="370" w:type="pct"/>
            <w:tcBorders>
              <w:top w:val="single" w:sz="4" w:space="0" w:color="auto"/>
              <w:left w:val="nil"/>
              <w:bottom w:val="nil"/>
              <w:right w:val="nil"/>
            </w:tcBorders>
            <w:shd w:val="clear" w:color="auto" w:fill="FFFFFF"/>
            <w:tcMar>
              <w:left w:w="60" w:type="dxa"/>
              <w:right w:w="60" w:type="dxa"/>
            </w:tcMar>
          </w:tcPr>
          <w:p w14:paraId="0EDDCEB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71</w:t>
            </w:r>
          </w:p>
        </w:tc>
        <w:tc>
          <w:tcPr>
            <w:tcW w:w="417" w:type="pct"/>
            <w:tcBorders>
              <w:top w:val="single" w:sz="4" w:space="0" w:color="auto"/>
              <w:left w:val="nil"/>
              <w:bottom w:val="nil"/>
              <w:right w:val="nil"/>
            </w:tcBorders>
            <w:shd w:val="clear" w:color="auto" w:fill="FFFFFF"/>
            <w:tcMar>
              <w:left w:w="60" w:type="dxa"/>
              <w:right w:w="60" w:type="dxa"/>
            </w:tcMar>
          </w:tcPr>
          <w:p w14:paraId="6E4F362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04" w:type="pct"/>
            <w:tcBorders>
              <w:top w:val="single" w:sz="4" w:space="0" w:color="auto"/>
              <w:left w:val="nil"/>
              <w:bottom w:val="nil"/>
              <w:right w:val="nil"/>
            </w:tcBorders>
            <w:shd w:val="clear" w:color="auto" w:fill="FFFFFF"/>
            <w:tcMar>
              <w:left w:w="60" w:type="dxa"/>
              <w:right w:w="60" w:type="dxa"/>
            </w:tcMar>
          </w:tcPr>
          <w:p w14:paraId="6FDCD4B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55</w:t>
            </w:r>
          </w:p>
        </w:tc>
        <w:tc>
          <w:tcPr>
            <w:tcW w:w="375" w:type="pct"/>
            <w:gridSpan w:val="2"/>
            <w:tcBorders>
              <w:top w:val="single" w:sz="4" w:space="0" w:color="auto"/>
              <w:left w:val="nil"/>
              <w:bottom w:val="nil"/>
              <w:right w:val="nil"/>
            </w:tcBorders>
            <w:shd w:val="clear" w:color="auto" w:fill="FFFFFF"/>
            <w:tcMar>
              <w:left w:w="60" w:type="dxa"/>
              <w:right w:w="60" w:type="dxa"/>
            </w:tcMar>
          </w:tcPr>
          <w:p w14:paraId="05DAA34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254</w:t>
            </w:r>
          </w:p>
        </w:tc>
        <w:tc>
          <w:tcPr>
            <w:tcW w:w="387" w:type="pct"/>
            <w:gridSpan w:val="2"/>
            <w:tcBorders>
              <w:top w:val="single" w:sz="4" w:space="0" w:color="auto"/>
              <w:left w:val="nil"/>
              <w:bottom w:val="nil"/>
              <w:right w:val="nil"/>
            </w:tcBorders>
            <w:shd w:val="clear" w:color="auto" w:fill="FFFFFF"/>
            <w:tcMar>
              <w:left w:w="60" w:type="dxa"/>
              <w:right w:w="60" w:type="dxa"/>
            </w:tcMar>
          </w:tcPr>
          <w:p w14:paraId="2FB72A1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1663</w:t>
            </w:r>
          </w:p>
        </w:tc>
      </w:tr>
      <w:tr w:rsidR="002A0F5D" w:rsidRPr="006C68C4" w14:paraId="243CF666"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0DCA8EA2"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2ECE90B4"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Follow up time, days</w:t>
            </w:r>
          </w:p>
        </w:tc>
        <w:tc>
          <w:tcPr>
            <w:tcW w:w="692" w:type="pct"/>
            <w:tcBorders>
              <w:top w:val="nil"/>
              <w:left w:val="nil"/>
              <w:bottom w:val="nil"/>
              <w:right w:val="nil"/>
            </w:tcBorders>
            <w:shd w:val="clear" w:color="auto" w:fill="FFFFFF"/>
            <w:tcMar>
              <w:left w:w="60" w:type="dxa"/>
              <w:right w:w="60" w:type="dxa"/>
            </w:tcMar>
          </w:tcPr>
          <w:p w14:paraId="4592178A"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Mean (SD)</w:t>
            </w:r>
          </w:p>
        </w:tc>
        <w:tc>
          <w:tcPr>
            <w:tcW w:w="417" w:type="pct"/>
            <w:tcBorders>
              <w:top w:val="nil"/>
              <w:left w:val="nil"/>
              <w:bottom w:val="nil"/>
              <w:right w:val="nil"/>
            </w:tcBorders>
            <w:shd w:val="clear" w:color="auto" w:fill="FFFFFF"/>
            <w:tcMar>
              <w:left w:w="60" w:type="dxa"/>
              <w:right w:w="60" w:type="dxa"/>
            </w:tcMar>
          </w:tcPr>
          <w:p w14:paraId="109DF44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169 (254)</w:t>
            </w:r>
          </w:p>
        </w:tc>
        <w:tc>
          <w:tcPr>
            <w:tcW w:w="414" w:type="pct"/>
            <w:tcBorders>
              <w:top w:val="nil"/>
              <w:left w:val="nil"/>
              <w:bottom w:val="nil"/>
              <w:right w:val="nil"/>
            </w:tcBorders>
            <w:shd w:val="clear" w:color="auto" w:fill="FFFFFF"/>
            <w:tcMar>
              <w:left w:w="60" w:type="dxa"/>
              <w:right w:w="60" w:type="dxa"/>
            </w:tcMar>
          </w:tcPr>
          <w:p w14:paraId="16B13E4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304 (414)</w:t>
            </w:r>
          </w:p>
        </w:tc>
        <w:tc>
          <w:tcPr>
            <w:tcW w:w="417" w:type="pct"/>
            <w:tcBorders>
              <w:top w:val="nil"/>
              <w:left w:val="nil"/>
              <w:bottom w:val="nil"/>
              <w:right w:val="nil"/>
            </w:tcBorders>
            <w:shd w:val="clear" w:color="auto" w:fill="FFFFFF"/>
            <w:tcMar>
              <w:left w:w="60" w:type="dxa"/>
              <w:right w:w="60" w:type="dxa"/>
            </w:tcMar>
          </w:tcPr>
          <w:p w14:paraId="28AE241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108 (221)</w:t>
            </w:r>
          </w:p>
        </w:tc>
        <w:tc>
          <w:tcPr>
            <w:tcW w:w="370" w:type="pct"/>
            <w:tcBorders>
              <w:top w:val="nil"/>
              <w:left w:val="nil"/>
              <w:bottom w:val="nil"/>
              <w:right w:val="nil"/>
            </w:tcBorders>
            <w:shd w:val="clear" w:color="auto" w:fill="FFFFFF"/>
            <w:tcMar>
              <w:left w:w="60" w:type="dxa"/>
              <w:right w:w="60" w:type="dxa"/>
            </w:tcMar>
          </w:tcPr>
          <w:p w14:paraId="3BAC914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142 (236)</w:t>
            </w:r>
          </w:p>
        </w:tc>
        <w:tc>
          <w:tcPr>
            <w:tcW w:w="417" w:type="pct"/>
            <w:tcBorders>
              <w:top w:val="nil"/>
              <w:left w:val="nil"/>
              <w:bottom w:val="nil"/>
              <w:right w:val="nil"/>
            </w:tcBorders>
            <w:shd w:val="clear" w:color="auto" w:fill="FFFFFF"/>
            <w:tcMar>
              <w:left w:w="60" w:type="dxa"/>
              <w:right w:w="60" w:type="dxa"/>
            </w:tcMar>
          </w:tcPr>
          <w:p w14:paraId="664F213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227 ()</w:t>
            </w:r>
          </w:p>
        </w:tc>
        <w:tc>
          <w:tcPr>
            <w:tcW w:w="404" w:type="pct"/>
            <w:tcBorders>
              <w:top w:val="nil"/>
              <w:left w:val="nil"/>
              <w:bottom w:val="nil"/>
              <w:right w:val="nil"/>
            </w:tcBorders>
            <w:shd w:val="clear" w:color="auto" w:fill="FFFFFF"/>
            <w:tcMar>
              <w:left w:w="60" w:type="dxa"/>
              <w:right w:w="60" w:type="dxa"/>
            </w:tcMar>
          </w:tcPr>
          <w:p w14:paraId="04BA50E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95 (147)</w:t>
            </w:r>
          </w:p>
        </w:tc>
        <w:tc>
          <w:tcPr>
            <w:tcW w:w="375" w:type="pct"/>
            <w:gridSpan w:val="2"/>
            <w:tcBorders>
              <w:top w:val="nil"/>
              <w:left w:val="nil"/>
              <w:bottom w:val="nil"/>
              <w:right w:val="nil"/>
            </w:tcBorders>
            <w:shd w:val="clear" w:color="auto" w:fill="FFFFFF"/>
            <w:tcMar>
              <w:left w:w="60" w:type="dxa"/>
              <w:right w:w="60" w:type="dxa"/>
            </w:tcMar>
          </w:tcPr>
          <w:p w14:paraId="7ABEE63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108 (201)</w:t>
            </w:r>
          </w:p>
        </w:tc>
        <w:tc>
          <w:tcPr>
            <w:tcW w:w="387" w:type="pct"/>
            <w:gridSpan w:val="2"/>
            <w:tcBorders>
              <w:top w:val="nil"/>
              <w:left w:val="nil"/>
              <w:bottom w:val="nil"/>
              <w:right w:val="nil"/>
            </w:tcBorders>
            <w:shd w:val="clear" w:color="auto" w:fill="FFFFFF"/>
            <w:tcMar>
              <w:left w:w="60" w:type="dxa"/>
              <w:right w:w="60" w:type="dxa"/>
            </w:tcMar>
          </w:tcPr>
          <w:p w14:paraId="0893AC1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155 (259)</w:t>
            </w:r>
          </w:p>
        </w:tc>
      </w:tr>
      <w:tr w:rsidR="002A0F5D" w:rsidRPr="006C68C4" w14:paraId="2D4FB36B"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51C561F3"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1C4B7847"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1651FCD5"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Median (Q1, Q3)</w:t>
            </w:r>
          </w:p>
        </w:tc>
        <w:tc>
          <w:tcPr>
            <w:tcW w:w="417" w:type="pct"/>
            <w:tcBorders>
              <w:top w:val="nil"/>
              <w:left w:val="nil"/>
              <w:bottom w:val="nil"/>
              <w:right w:val="nil"/>
            </w:tcBorders>
            <w:shd w:val="clear" w:color="auto" w:fill="FFFFFF"/>
            <w:tcMar>
              <w:left w:w="60" w:type="dxa"/>
              <w:right w:w="60" w:type="dxa"/>
            </w:tcMar>
          </w:tcPr>
          <w:p w14:paraId="625D445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58 (1, 270)</w:t>
            </w:r>
          </w:p>
        </w:tc>
        <w:tc>
          <w:tcPr>
            <w:tcW w:w="414" w:type="pct"/>
            <w:tcBorders>
              <w:top w:val="nil"/>
              <w:left w:val="nil"/>
              <w:bottom w:val="nil"/>
              <w:right w:val="nil"/>
            </w:tcBorders>
            <w:shd w:val="clear" w:color="auto" w:fill="FFFFFF"/>
            <w:tcMar>
              <w:left w:w="60" w:type="dxa"/>
              <w:right w:w="60" w:type="dxa"/>
            </w:tcMar>
          </w:tcPr>
          <w:p w14:paraId="2F13394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144 (13, 411)</w:t>
            </w:r>
          </w:p>
        </w:tc>
        <w:tc>
          <w:tcPr>
            <w:tcW w:w="417" w:type="pct"/>
            <w:tcBorders>
              <w:top w:val="nil"/>
              <w:left w:val="nil"/>
              <w:bottom w:val="nil"/>
              <w:right w:val="nil"/>
            </w:tcBorders>
            <w:shd w:val="clear" w:color="auto" w:fill="FFFFFF"/>
            <w:tcMar>
              <w:left w:w="60" w:type="dxa"/>
              <w:right w:w="60" w:type="dxa"/>
            </w:tcMar>
          </w:tcPr>
          <w:p w14:paraId="0F8884A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 (1, 78)</w:t>
            </w:r>
          </w:p>
        </w:tc>
        <w:tc>
          <w:tcPr>
            <w:tcW w:w="370" w:type="pct"/>
            <w:tcBorders>
              <w:top w:val="nil"/>
              <w:left w:val="nil"/>
              <w:bottom w:val="nil"/>
              <w:right w:val="nil"/>
            </w:tcBorders>
            <w:shd w:val="clear" w:color="auto" w:fill="FFFFFF"/>
            <w:tcMar>
              <w:left w:w="60" w:type="dxa"/>
              <w:right w:w="60" w:type="dxa"/>
            </w:tcMar>
          </w:tcPr>
          <w:p w14:paraId="0355AED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12 (1, 178)</w:t>
            </w:r>
          </w:p>
        </w:tc>
        <w:tc>
          <w:tcPr>
            <w:tcW w:w="417" w:type="pct"/>
            <w:tcBorders>
              <w:top w:val="nil"/>
              <w:left w:val="nil"/>
              <w:bottom w:val="nil"/>
              <w:right w:val="nil"/>
            </w:tcBorders>
            <w:shd w:val="clear" w:color="auto" w:fill="FFFFFF"/>
            <w:tcMar>
              <w:left w:w="60" w:type="dxa"/>
              <w:right w:w="60" w:type="dxa"/>
            </w:tcMar>
          </w:tcPr>
          <w:p w14:paraId="092071F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227 (227, 227)</w:t>
            </w:r>
          </w:p>
        </w:tc>
        <w:tc>
          <w:tcPr>
            <w:tcW w:w="404" w:type="pct"/>
            <w:tcBorders>
              <w:top w:val="nil"/>
              <w:left w:val="nil"/>
              <w:bottom w:val="nil"/>
              <w:right w:val="nil"/>
            </w:tcBorders>
            <w:shd w:val="clear" w:color="auto" w:fill="FFFFFF"/>
            <w:tcMar>
              <w:left w:w="60" w:type="dxa"/>
              <w:right w:w="60" w:type="dxa"/>
            </w:tcMar>
          </w:tcPr>
          <w:p w14:paraId="3CC051F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 (1, 176)</w:t>
            </w:r>
          </w:p>
        </w:tc>
        <w:tc>
          <w:tcPr>
            <w:tcW w:w="375" w:type="pct"/>
            <w:gridSpan w:val="2"/>
            <w:tcBorders>
              <w:top w:val="nil"/>
              <w:left w:val="nil"/>
              <w:bottom w:val="nil"/>
              <w:right w:val="nil"/>
            </w:tcBorders>
            <w:shd w:val="clear" w:color="auto" w:fill="FFFFFF"/>
            <w:tcMar>
              <w:left w:w="60" w:type="dxa"/>
              <w:right w:w="60" w:type="dxa"/>
            </w:tcMar>
          </w:tcPr>
          <w:p w14:paraId="39145C2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 (1, 114)</w:t>
            </w:r>
          </w:p>
        </w:tc>
        <w:tc>
          <w:tcPr>
            <w:tcW w:w="387" w:type="pct"/>
            <w:gridSpan w:val="2"/>
            <w:tcBorders>
              <w:top w:val="nil"/>
              <w:left w:val="nil"/>
              <w:bottom w:val="nil"/>
              <w:right w:val="nil"/>
            </w:tcBorders>
            <w:shd w:val="clear" w:color="auto" w:fill="FFFFFF"/>
            <w:tcMar>
              <w:left w:w="60" w:type="dxa"/>
              <w:right w:w="60" w:type="dxa"/>
            </w:tcMar>
          </w:tcPr>
          <w:p w14:paraId="5D1FF03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30 (1, 222)</w:t>
            </w:r>
          </w:p>
        </w:tc>
      </w:tr>
      <w:tr w:rsidR="002A0F5D" w:rsidRPr="006C68C4" w14:paraId="1A452E6D"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65A2DB3F"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From initiation to maintenance date</w:t>
            </w:r>
          </w:p>
        </w:tc>
        <w:tc>
          <w:tcPr>
            <w:tcW w:w="554" w:type="pct"/>
            <w:tcBorders>
              <w:top w:val="nil"/>
              <w:left w:val="nil"/>
              <w:bottom w:val="nil"/>
              <w:right w:val="nil"/>
            </w:tcBorders>
            <w:shd w:val="clear" w:color="auto" w:fill="FFFFFF"/>
            <w:tcMar>
              <w:left w:w="60" w:type="dxa"/>
              <w:right w:w="60" w:type="dxa"/>
            </w:tcMar>
          </w:tcPr>
          <w:p w14:paraId="33C1F5C0"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In Study</w:t>
            </w:r>
          </w:p>
        </w:tc>
        <w:tc>
          <w:tcPr>
            <w:tcW w:w="692" w:type="pct"/>
            <w:tcBorders>
              <w:top w:val="nil"/>
              <w:left w:val="nil"/>
              <w:bottom w:val="nil"/>
              <w:right w:val="nil"/>
            </w:tcBorders>
            <w:shd w:val="clear" w:color="auto" w:fill="FFFFFF"/>
            <w:tcMar>
              <w:left w:w="60" w:type="dxa"/>
              <w:right w:w="60" w:type="dxa"/>
            </w:tcMar>
          </w:tcPr>
          <w:p w14:paraId="32FD95E0"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nil"/>
              <w:left w:val="nil"/>
              <w:bottom w:val="nil"/>
              <w:right w:val="nil"/>
            </w:tcBorders>
            <w:shd w:val="clear" w:color="auto" w:fill="FFFFFF"/>
            <w:tcMar>
              <w:left w:w="60" w:type="dxa"/>
              <w:right w:w="60" w:type="dxa"/>
            </w:tcMar>
          </w:tcPr>
          <w:p w14:paraId="456B850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494 (59.09%)</w:t>
            </w:r>
          </w:p>
        </w:tc>
        <w:tc>
          <w:tcPr>
            <w:tcW w:w="414" w:type="pct"/>
            <w:tcBorders>
              <w:top w:val="nil"/>
              <w:left w:val="nil"/>
              <w:bottom w:val="nil"/>
              <w:right w:val="nil"/>
            </w:tcBorders>
            <w:shd w:val="clear" w:color="auto" w:fill="FFFFFF"/>
            <w:tcMar>
              <w:left w:w="60" w:type="dxa"/>
              <w:right w:w="60" w:type="dxa"/>
            </w:tcMar>
          </w:tcPr>
          <w:p w14:paraId="48DAF81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98 (74.24%)</w:t>
            </w:r>
          </w:p>
        </w:tc>
        <w:tc>
          <w:tcPr>
            <w:tcW w:w="417" w:type="pct"/>
            <w:tcBorders>
              <w:top w:val="nil"/>
              <w:left w:val="nil"/>
              <w:bottom w:val="nil"/>
              <w:right w:val="nil"/>
            </w:tcBorders>
            <w:shd w:val="clear" w:color="auto" w:fill="FFFFFF"/>
            <w:tcMar>
              <w:left w:w="60" w:type="dxa"/>
              <w:right w:w="60" w:type="dxa"/>
            </w:tcMar>
          </w:tcPr>
          <w:p w14:paraId="136B898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100 (31.85%)</w:t>
            </w:r>
          </w:p>
        </w:tc>
        <w:tc>
          <w:tcPr>
            <w:tcW w:w="370" w:type="pct"/>
            <w:tcBorders>
              <w:top w:val="nil"/>
              <w:left w:val="nil"/>
              <w:bottom w:val="nil"/>
              <w:right w:val="nil"/>
            </w:tcBorders>
            <w:shd w:val="clear" w:color="auto" w:fill="FFFFFF"/>
            <w:tcMar>
              <w:left w:w="60" w:type="dxa"/>
              <w:right w:w="60" w:type="dxa"/>
            </w:tcMar>
          </w:tcPr>
          <w:p w14:paraId="1F88DD3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30 (42.25%)</w:t>
            </w:r>
          </w:p>
        </w:tc>
        <w:tc>
          <w:tcPr>
            <w:tcW w:w="417" w:type="pct"/>
            <w:tcBorders>
              <w:top w:val="nil"/>
              <w:left w:val="nil"/>
              <w:bottom w:val="nil"/>
              <w:right w:val="nil"/>
            </w:tcBorders>
            <w:shd w:val="clear" w:color="auto" w:fill="FFFFFF"/>
            <w:tcMar>
              <w:left w:w="60" w:type="dxa"/>
              <w:right w:w="60" w:type="dxa"/>
            </w:tcMar>
          </w:tcPr>
          <w:p w14:paraId="609B252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 (100%)</w:t>
            </w:r>
          </w:p>
        </w:tc>
        <w:tc>
          <w:tcPr>
            <w:tcW w:w="404" w:type="pct"/>
            <w:tcBorders>
              <w:top w:val="nil"/>
              <w:left w:val="nil"/>
              <w:bottom w:val="nil"/>
              <w:right w:val="nil"/>
            </w:tcBorders>
            <w:shd w:val="clear" w:color="auto" w:fill="FFFFFF"/>
            <w:tcMar>
              <w:left w:w="60" w:type="dxa"/>
              <w:right w:w="60" w:type="dxa"/>
            </w:tcMar>
          </w:tcPr>
          <w:p w14:paraId="3AEE10E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19 (34.55%)</w:t>
            </w:r>
          </w:p>
        </w:tc>
        <w:tc>
          <w:tcPr>
            <w:tcW w:w="375" w:type="pct"/>
            <w:gridSpan w:val="2"/>
            <w:tcBorders>
              <w:top w:val="nil"/>
              <w:left w:val="nil"/>
              <w:bottom w:val="nil"/>
              <w:right w:val="nil"/>
            </w:tcBorders>
            <w:shd w:val="clear" w:color="auto" w:fill="FFFFFF"/>
            <w:tcMar>
              <w:left w:w="60" w:type="dxa"/>
              <w:right w:w="60" w:type="dxa"/>
            </w:tcMar>
          </w:tcPr>
          <w:p w14:paraId="5A0B5AC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96 (37.8%)</w:t>
            </w:r>
          </w:p>
        </w:tc>
        <w:tc>
          <w:tcPr>
            <w:tcW w:w="387" w:type="pct"/>
            <w:gridSpan w:val="2"/>
            <w:tcBorders>
              <w:top w:val="nil"/>
              <w:left w:val="nil"/>
              <w:bottom w:val="nil"/>
              <w:right w:val="nil"/>
            </w:tcBorders>
            <w:shd w:val="clear" w:color="auto" w:fill="FFFFFF"/>
            <w:tcMar>
              <w:left w:w="60" w:type="dxa"/>
              <w:right w:w="60" w:type="dxa"/>
            </w:tcMar>
          </w:tcPr>
          <w:p w14:paraId="00A6CE4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838 (50.39%)</w:t>
            </w:r>
          </w:p>
        </w:tc>
      </w:tr>
      <w:tr w:rsidR="002A0F5D" w:rsidRPr="006C68C4" w14:paraId="22670AB3"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6B12C5E4"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4A3EAD4F"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Study discontinued, n (%)</w:t>
            </w:r>
          </w:p>
        </w:tc>
        <w:tc>
          <w:tcPr>
            <w:tcW w:w="692" w:type="pct"/>
            <w:tcBorders>
              <w:top w:val="nil"/>
              <w:left w:val="nil"/>
              <w:bottom w:val="nil"/>
              <w:right w:val="nil"/>
            </w:tcBorders>
            <w:shd w:val="clear" w:color="auto" w:fill="FFFFFF"/>
            <w:tcMar>
              <w:left w:w="60" w:type="dxa"/>
              <w:right w:w="60" w:type="dxa"/>
            </w:tcMar>
          </w:tcPr>
          <w:p w14:paraId="618B7A1A"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nil"/>
              <w:left w:val="nil"/>
              <w:bottom w:val="nil"/>
              <w:right w:val="nil"/>
            </w:tcBorders>
            <w:shd w:val="clear" w:color="auto" w:fill="FFFFFF"/>
            <w:tcMar>
              <w:left w:w="60" w:type="dxa"/>
              <w:right w:w="60" w:type="dxa"/>
            </w:tcMar>
          </w:tcPr>
          <w:p w14:paraId="3ED81F7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342 (40.91%)</w:t>
            </w:r>
          </w:p>
        </w:tc>
        <w:tc>
          <w:tcPr>
            <w:tcW w:w="414" w:type="pct"/>
            <w:tcBorders>
              <w:top w:val="nil"/>
              <w:left w:val="nil"/>
              <w:bottom w:val="nil"/>
              <w:right w:val="nil"/>
            </w:tcBorders>
            <w:shd w:val="clear" w:color="auto" w:fill="FFFFFF"/>
            <w:tcMar>
              <w:left w:w="60" w:type="dxa"/>
              <w:right w:w="60" w:type="dxa"/>
            </w:tcMar>
          </w:tcPr>
          <w:p w14:paraId="043B36C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34 (25.76%)</w:t>
            </w:r>
          </w:p>
        </w:tc>
        <w:tc>
          <w:tcPr>
            <w:tcW w:w="417" w:type="pct"/>
            <w:tcBorders>
              <w:top w:val="nil"/>
              <w:left w:val="nil"/>
              <w:bottom w:val="nil"/>
              <w:right w:val="nil"/>
            </w:tcBorders>
            <w:shd w:val="clear" w:color="auto" w:fill="FFFFFF"/>
            <w:tcMar>
              <w:left w:w="60" w:type="dxa"/>
              <w:right w:w="60" w:type="dxa"/>
            </w:tcMar>
          </w:tcPr>
          <w:p w14:paraId="6EB0318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214 (68.15%)</w:t>
            </w:r>
          </w:p>
        </w:tc>
        <w:tc>
          <w:tcPr>
            <w:tcW w:w="370" w:type="pct"/>
            <w:tcBorders>
              <w:top w:val="nil"/>
              <w:left w:val="nil"/>
              <w:bottom w:val="nil"/>
              <w:right w:val="nil"/>
            </w:tcBorders>
            <w:shd w:val="clear" w:color="auto" w:fill="FFFFFF"/>
            <w:tcMar>
              <w:left w:w="60" w:type="dxa"/>
              <w:right w:w="60" w:type="dxa"/>
            </w:tcMar>
          </w:tcPr>
          <w:p w14:paraId="7868D05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41 (57.75%)</w:t>
            </w:r>
          </w:p>
        </w:tc>
        <w:tc>
          <w:tcPr>
            <w:tcW w:w="417" w:type="pct"/>
            <w:tcBorders>
              <w:top w:val="nil"/>
              <w:left w:val="nil"/>
              <w:bottom w:val="nil"/>
              <w:right w:val="nil"/>
            </w:tcBorders>
            <w:shd w:val="clear" w:color="auto" w:fill="FFFFFF"/>
            <w:tcMar>
              <w:left w:w="60" w:type="dxa"/>
              <w:right w:w="60" w:type="dxa"/>
            </w:tcMar>
          </w:tcPr>
          <w:p w14:paraId="680DCB1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(0%)</w:t>
            </w:r>
          </w:p>
        </w:tc>
        <w:tc>
          <w:tcPr>
            <w:tcW w:w="404" w:type="pct"/>
            <w:tcBorders>
              <w:top w:val="nil"/>
              <w:left w:val="nil"/>
              <w:bottom w:val="nil"/>
              <w:right w:val="nil"/>
            </w:tcBorders>
            <w:shd w:val="clear" w:color="auto" w:fill="FFFFFF"/>
            <w:tcMar>
              <w:left w:w="60" w:type="dxa"/>
              <w:right w:w="60" w:type="dxa"/>
            </w:tcMar>
          </w:tcPr>
          <w:p w14:paraId="7435D6D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36 (65.45%)</w:t>
            </w:r>
          </w:p>
        </w:tc>
        <w:tc>
          <w:tcPr>
            <w:tcW w:w="375" w:type="pct"/>
            <w:gridSpan w:val="2"/>
            <w:tcBorders>
              <w:top w:val="nil"/>
              <w:left w:val="nil"/>
              <w:bottom w:val="nil"/>
              <w:right w:val="nil"/>
            </w:tcBorders>
            <w:shd w:val="clear" w:color="auto" w:fill="FFFFFF"/>
            <w:tcMar>
              <w:left w:w="60" w:type="dxa"/>
              <w:right w:w="60" w:type="dxa"/>
            </w:tcMar>
          </w:tcPr>
          <w:p w14:paraId="50802F5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158 (62.2%)</w:t>
            </w:r>
          </w:p>
        </w:tc>
        <w:tc>
          <w:tcPr>
            <w:tcW w:w="387" w:type="pct"/>
            <w:gridSpan w:val="2"/>
            <w:tcBorders>
              <w:top w:val="nil"/>
              <w:left w:val="nil"/>
              <w:bottom w:val="nil"/>
              <w:right w:val="nil"/>
            </w:tcBorders>
            <w:shd w:val="clear" w:color="auto" w:fill="FFFFFF"/>
            <w:tcMar>
              <w:left w:w="60" w:type="dxa"/>
              <w:right w:w="60" w:type="dxa"/>
            </w:tcMar>
          </w:tcPr>
          <w:p w14:paraId="60A483F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825 (49.61%)</w:t>
            </w:r>
          </w:p>
        </w:tc>
      </w:tr>
      <w:tr w:rsidR="002A0F5D" w:rsidRPr="006C68C4" w14:paraId="7E040814"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66122D72"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626665FF"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0D63E3F2"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Drug Switch</w:t>
            </w:r>
          </w:p>
        </w:tc>
        <w:tc>
          <w:tcPr>
            <w:tcW w:w="417" w:type="pct"/>
            <w:tcBorders>
              <w:top w:val="nil"/>
              <w:left w:val="nil"/>
              <w:bottom w:val="nil"/>
              <w:right w:val="nil"/>
            </w:tcBorders>
            <w:shd w:val="clear" w:color="auto" w:fill="FFFFFF"/>
            <w:tcMar>
              <w:left w:w="60" w:type="dxa"/>
              <w:right w:w="60" w:type="dxa"/>
            </w:tcMar>
          </w:tcPr>
          <w:p w14:paraId="4C2C7B8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414" w:type="pct"/>
            <w:tcBorders>
              <w:top w:val="nil"/>
              <w:left w:val="nil"/>
              <w:bottom w:val="nil"/>
              <w:right w:val="nil"/>
            </w:tcBorders>
            <w:shd w:val="clear" w:color="auto" w:fill="FFFFFF"/>
            <w:tcMar>
              <w:left w:w="60" w:type="dxa"/>
              <w:right w:w="60" w:type="dxa"/>
            </w:tcMar>
          </w:tcPr>
          <w:p w14:paraId="618ACD5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417" w:type="pct"/>
            <w:tcBorders>
              <w:top w:val="nil"/>
              <w:left w:val="nil"/>
              <w:bottom w:val="nil"/>
              <w:right w:val="nil"/>
            </w:tcBorders>
            <w:shd w:val="clear" w:color="auto" w:fill="FFFFFF"/>
            <w:tcMar>
              <w:left w:w="60" w:type="dxa"/>
              <w:right w:w="60" w:type="dxa"/>
            </w:tcMar>
          </w:tcPr>
          <w:p w14:paraId="24F5704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w:t>
            </w:r>
          </w:p>
        </w:tc>
        <w:tc>
          <w:tcPr>
            <w:tcW w:w="370" w:type="pct"/>
            <w:tcBorders>
              <w:top w:val="nil"/>
              <w:left w:val="nil"/>
              <w:bottom w:val="nil"/>
              <w:right w:val="nil"/>
            </w:tcBorders>
            <w:shd w:val="clear" w:color="auto" w:fill="FFFFFF"/>
            <w:tcMar>
              <w:left w:w="60" w:type="dxa"/>
              <w:right w:w="60" w:type="dxa"/>
            </w:tcMar>
          </w:tcPr>
          <w:p w14:paraId="76E0570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417" w:type="pct"/>
            <w:tcBorders>
              <w:top w:val="nil"/>
              <w:left w:val="nil"/>
              <w:bottom w:val="nil"/>
              <w:right w:val="nil"/>
            </w:tcBorders>
            <w:shd w:val="clear" w:color="auto" w:fill="FFFFFF"/>
            <w:tcMar>
              <w:left w:w="60" w:type="dxa"/>
              <w:right w:w="60" w:type="dxa"/>
            </w:tcMar>
          </w:tcPr>
          <w:p w14:paraId="1777E3E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6D6F545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375" w:type="pct"/>
            <w:gridSpan w:val="2"/>
            <w:tcBorders>
              <w:top w:val="nil"/>
              <w:left w:val="nil"/>
              <w:bottom w:val="nil"/>
              <w:right w:val="nil"/>
            </w:tcBorders>
            <w:shd w:val="clear" w:color="auto" w:fill="FFFFFF"/>
            <w:tcMar>
              <w:left w:w="60" w:type="dxa"/>
              <w:right w:w="60" w:type="dxa"/>
            </w:tcMar>
          </w:tcPr>
          <w:p w14:paraId="63042AC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w:t>
            </w:r>
          </w:p>
        </w:tc>
        <w:tc>
          <w:tcPr>
            <w:tcW w:w="387" w:type="pct"/>
            <w:gridSpan w:val="2"/>
            <w:tcBorders>
              <w:top w:val="nil"/>
              <w:left w:val="nil"/>
              <w:bottom w:val="nil"/>
              <w:right w:val="nil"/>
            </w:tcBorders>
            <w:shd w:val="clear" w:color="auto" w:fill="FFFFFF"/>
            <w:tcMar>
              <w:left w:w="60" w:type="dxa"/>
              <w:right w:w="60" w:type="dxa"/>
            </w:tcMar>
          </w:tcPr>
          <w:p w14:paraId="31EA211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w:t>
            </w:r>
          </w:p>
        </w:tc>
      </w:tr>
      <w:tr w:rsidR="002A0F5D" w:rsidRPr="006C68C4" w14:paraId="302E8D67"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7BB6E537"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32847C39"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1F9E5952"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therapy</w:t>
            </w:r>
          </w:p>
        </w:tc>
        <w:tc>
          <w:tcPr>
            <w:tcW w:w="417" w:type="pct"/>
            <w:tcBorders>
              <w:top w:val="nil"/>
              <w:left w:val="nil"/>
              <w:bottom w:val="nil"/>
              <w:right w:val="nil"/>
            </w:tcBorders>
            <w:shd w:val="clear" w:color="auto" w:fill="FFFFFF"/>
            <w:tcMar>
              <w:left w:w="60" w:type="dxa"/>
              <w:right w:w="60" w:type="dxa"/>
            </w:tcMar>
          </w:tcPr>
          <w:p w14:paraId="18D564A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166</w:t>
            </w:r>
          </w:p>
        </w:tc>
        <w:tc>
          <w:tcPr>
            <w:tcW w:w="414" w:type="pct"/>
            <w:tcBorders>
              <w:top w:val="nil"/>
              <w:left w:val="nil"/>
              <w:bottom w:val="nil"/>
              <w:right w:val="nil"/>
            </w:tcBorders>
            <w:shd w:val="clear" w:color="auto" w:fill="FFFFFF"/>
            <w:tcMar>
              <w:left w:w="60" w:type="dxa"/>
              <w:right w:w="60" w:type="dxa"/>
            </w:tcMar>
          </w:tcPr>
          <w:p w14:paraId="4D820CB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18</w:t>
            </w:r>
          </w:p>
        </w:tc>
        <w:tc>
          <w:tcPr>
            <w:tcW w:w="417" w:type="pct"/>
            <w:tcBorders>
              <w:top w:val="nil"/>
              <w:left w:val="nil"/>
              <w:bottom w:val="nil"/>
              <w:right w:val="nil"/>
            </w:tcBorders>
            <w:shd w:val="clear" w:color="auto" w:fill="FFFFFF"/>
            <w:tcMar>
              <w:left w:w="60" w:type="dxa"/>
              <w:right w:w="60" w:type="dxa"/>
            </w:tcMar>
          </w:tcPr>
          <w:p w14:paraId="112DAF7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86</w:t>
            </w:r>
          </w:p>
        </w:tc>
        <w:tc>
          <w:tcPr>
            <w:tcW w:w="370" w:type="pct"/>
            <w:tcBorders>
              <w:top w:val="nil"/>
              <w:left w:val="nil"/>
              <w:bottom w:val="nil"/>
              <w:right w:val="nil"/>
            </w:tcBorders>
            <w:shd w:val="clear" w:color="auto" w:fill="FFFFFF"/>
            <w:tcMar>
              <w:left w:w="60" w:type="dxa"/>
              <w:right w:w="60" w:type="dxa"/>
            </w:tcMar>
          </w:tcPr>
          <w:p w14:paraId="20B1B89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w:t>
            </w:r>
          </w:p>
        </w:tc>
        <w:tc>
          <w:tcPr>
            <w:tcW w:w="417" w:type="pct"/>
            <w:tcBorders>
              <w:top w:val="nil"/>
              <w:left w:val="nil"/>
              <w:bottom w:val="nil"/>
              <w:right w:val="nil"/>
            </w:tcBorders>
            <w:shd w:val="clear" w:color="auto" w:fill="FFFFFF"/>
            <w:tcMar>
              <w:left w:w="60" w:type="dxa"/>
              <w:right w:w="60" w:type="dxa"/>
            </w:tcMar>
          </w:tcPr>
          <w:p w14:paraId="5D03F19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7B59160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18</w:t>
            </w:r>
          </w:p>
        </w:tc>
        <w:tc>
          <w:tcPr>
            <w:tcW w:w="375" w:type="pct"/>
            <w:gridSpan w:val="2"/>
            <w:tcBorders>
              <w:top w:val="nil"/>
              <w:left w:val="nil"/>
              <w:bottom w:val="nil"/>
              <w:right w:val="nil"/>
            </w:tcBorders>
            <w:shd w:val="clear" w:color="auto" w:fill="FFFFFF"/>
            <w:tcMar>
              <w:left w:w="60" w:type="dxa"/>
              <w:right w:w="60" w:type="dxa"/>
            </w:tcMar>
          </w:tcPr>
          <w:p w14:paraId="23AF36B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70</w:t>
            </w:r>
          </w:p>
        </w:tc>
        <w:tc>
          <w:tcPr>
            <w:tcW w:w="387" w:type="pct"/>
            <w:gridSpan w:val="2"/>
            <w:tcBorders>
              <w:top w:val="nil"/>
              <w:left w:val="nil"/>
              <w:bottom w:val="nil"/>
              <w:right w:val="nil"/>
            </w:tcBorders>
            <w:shd w:val="clear" w:color="auto" w:fill="FFFFFF"/>
            <w:tcMar>
              <w:left w:w="60" w:type="dxa"/>
              <w:right w:w="60" w:type="dxa"/>
            </w:tcMar>
          </w:tcPr>
          <w:p w14:paraId="13D3674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375</w:t>
            </w:r>
          </w:p>
        </w:tc>
      </w:tr>
      <w:tr w:rsidR="002A0F5D" w:rsidRPr="006C68C4" w14:paraId="198A4BB5"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04F36424"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085563A4"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4EDC44A6"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follow-up</w:t>
            </w:r>
          </w:p>
        </w:tc>
        <w:tc>
          <w:tcPr>
            <w:tcW w:w="417" w:type="pct"/>
            <w:tcBorders>
              <w:top w:val="nil"/>
              <w:left w:val="nil"/>
              <w:bottom w:val="nil"/>
              <w:right w:val="nil"/>
            </w:tcBorders>
            <w:shd w:val="clear" w:color="auto" w:fill="FFFFFF"/>
            <w:tcMar>
              <w:left w:w="60" w:type="dxa"/>
              <w:right w:w="60" w:type="dxa"/>
            </w:tcMar>
          </w:tcPr>
          <w:p w14:paraId="7342656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174</w:t>
            </w:r>
          </w:p>
        </w:tc>
        <w:tc>
          <w:tcPr>
            <w:tcW w:w="414" w:type="pct"/>
            <w:tcBorders>
              <w:top w:val="nil"/>
              <w:left w:val="nil"/>
              <w:bottom w:val="nil"/>
              <w:right w:val="nil"/>
            </w:tcBorders>
            <w:shd w:val="clear" w:color="auto" w:fill="FFFFFF"/>
            <w:tcMar>
              <w:left w:w="60" w:type="dxa"/>
              <w:right w:w="60" w:type="dxa"/>
            </w:tcMar>
          </w:tcPr>
          <w:p w14:paraId="5538023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14</w:t>
            </w:r>
          </w:p>
        </w:tc>
        <w:tc>
          <w:tcPr>
            <w:tcW w:w="417" w:type="pct"/>
            <w:tcBorders>
              <w:top w:val="nil"/>
              <w:left w:val="nil"/>
              <w:bottom w:val="nil"/>
              <w:right w:val="nil"/>
            </w:tcBorders>
            <w:shd w:val="clear" w:color="auto" w:fill="FFFFFF"/>
            <w:tcMar>
              <w:left w:w="60" w:type="dxa"/>
              <w:right w:w="60" w:type="dxa"/>
            </w:tcMar>
          </w:tcPr>
          <w:p w14:paraId="60BAF3C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125</w:t>
            </w:r>
          </w:p>
        </w:tc>
        <w:tc>
          <w:tcPr>
            <w:tcW w:w="370" w:type="pct"/>
            <w:tcBorders>
              <w:top w:val="nil"/>
              <w:left w:val="nil"/>
              <w:bottom w:val="nil"/>
              <w:right w:val="nil"/>
            </w:tcBorders>
            <w:shd w:val="clear" w:color="auto" w:fill="FFFFFF"/>
            <w:tcMar>
              <w:left w:w="60" w:type="dxa"/>
              <w:right w:w="60" w:type="dxa"/>
            </w:tcMar>
          </w:tcPr>
          <w:p w14:paraId="7F27827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22</w:t>
            </w:r>
          </w:p>
        </w:tc>
        <w:tc>
          <w:tcPr>
            <w:tcW w:w="417" w:type="pct"/>
            <w:tcBorders>
              <w:top w:val="nil"/>
              <w:left w:val="nil"/>
              <w:bottom w:val="nil"/>
              <w:right w:val="nil"/>
            </w:tcBorders>
            <w:shd w:val="clear" w:color="auto" w:fill="FFFFFF"/>
            <w:tcMar>
              <w:left w:w="60" w:type="dxa"/>
              <w:right w:w="60" w:type="dxa"/>
            </w:tcMar>
          </w:tcPr>
          <w:p w14:paraId="29C519A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0974D57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w:t>
            </w:r>
          </w:p>
        </w:tc>
        <w:tc>
          <w:tcPr>
            <w:tcW w:w="375" w:type="pct"/>
            <w:gridSpan w:val="2"/>
            <w:tcBorders>
              <w:top w:val="nil"/>
              <w:left w:val="nil"/>
              <w:bottom w:val="nil"/>
              <w:right w:val="nil"/>
            </w:tcBorders>
            <w:shd w:val="clear" w:color="auto" w:fill="FFFFFF"/>
            <w:tcMar>
              <w:left w:w="60" w:type="dxa"/>
              <w:right w:w="60" w:type="dxa"/>
            </w:tcMar>
          </w:tcPr>
          <w:p w14:paraId="622EBF0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83</w:t>
            </w:r>
          </w:p>
        </w:tc>
        <w:tc>
          <w:tcPr>
            <w:tcW w:w="387" w:type="pct"/>
            <w:gridSpan w:val="2"/>
            <w:tcBorders>
              <w:top w:val="nil"/>
              <w:left w:val="nil"/>
              <w:bottom w:val="nil"/>
              <w:right w:val="nil"/>
            </w:tcBorders>
            <w:shd w:val="clear" w:color="auto" w:fill="FFFFFF"/>
            <w:tcMar>
              <w:left w:w="60" w:type="dxa"/>
              <w:right w:w="60" w:type="dxa"/>
            </w:tcMar>
          </w:tcPr>
          <w:p w14:paraId="3663463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434</w:t>
            </w:r>
          </w:p>
        </w:tc>
      </w:tr>
      <w:tr w:rsidR="002A0F5D" w:rsidRPr="006C68C4" w14:paraId="5BDEBA88"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69872569"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00B31201"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70C65035" w14:textId="148796C1"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 xml:space="preserve">End of Data </w:t>
            </w:r>
            <w:proofErr w:type="spellStart"/>
            <w:r w:rsidRPr="006C68C4">
              <w:rPr>
                <w:rFonts w:ascii="Arial" w:hAnsi="Arial" w:cs="Arial"/>
                <w:color w:val="000000"/>
                <w:sz w:val="18"/>
                <w:szCs w:val="18"/>
              </w:rPr>
              <w:t>Availability</w:t>
            </w:r>
            <w:proofErr w:type="spellEnd"/>
            <w:r w:rsidR="000205ED">
              <w:rPr>
                <w:rFonts w:ascii="Arial" w:hAnsi="Arial" w:cs="Arial"/>
                <w:color w:val="000000"/>
                <w:sz w:val="18"/>
                <w:szCs w:val="18"/>
                <w:vertAlign w:val="superscript"/>
              </w:rPr>
              <w:t>[‡]</w:t>
            </w:r>
          </w:p>
        </w:tc>
        <w:tc>
          <w:tcPr>
            <w:tcW w:w="417" w:type="pct"/>
            <w:tcBorders>
              <w:top w:val="nil"/>
              <w:left w:val="nil"/>
              <w:bottom w:val="nil"/>
              <w:right w:val="nil"/>
            </w:tcBorders>
            <w:shd w:val="clear" w:color="auto" w:fill="FFFFFF"/>
            <w:tcMar>
              <w:left w:w="60" w:type="dxa"/>
              <w:right w:w="60" w:type="dxa"/>
            </w:tcMar>
          </w:tcPr>
          <w:p w14:paraId="02FFE2A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4" w:type="pct"/>
            <w:tcBorders>
              <w:top w:val="nil"/>
              <w:left w:val="nil"/>
              <w:bottom w:val="nil"/>
              <w:right w:val="nil"/>
            </w:tcBorders>
            <w:shd w:val="clear" w:color="auto" w:fill="FFFFFF"/>
            <w:tcMar>
              <w:left w:w="60" w:type="dxa"/>
              <w:right w:w="60" w:type="dxa"/>
            </w:tcMar>
          </w:tcPr>
          <w:p w14:paraId="2DA757D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07E2BDC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tcBorders>
              <w:top w:val="nil"/>
              <w:left w:val="nil"/>
              <w:bottom w:val="nil"/>
              <w:right w:val="nil"/>
            </w:tcBorders>
            <w:shd w:val="clear" w:color="auto" w:fill="FFFFFF"/>
            <w:tcMar>
              <w:left w:w="60" w:type="dxa"/>
              <w:right w:w="60" w:type="dxa"/>
            </w:tcMar>
          </w:tcPr>
          <w:p w14:paraId="2096B1B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502C851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56FA5B0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5D832B0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87" w:type="pct"/>
            <w:gridSpan w:val="2"/>
            <w:tcBorders>
              <w:top w:val="nil"/>
              <w:left w:val="nil"/>
              <w:bottom w:val="nil"/>
              <w:right w:val="nil"/>
            </w:tcBorders>
            <w:shd w:val="clear" w:color="auto" w:fill="FFFFFF"/>
            <w:tcMar>
              <w:left w:w="60" w:type="dxa"/>
              <w:right w:w="60" w:type="dxa"/>
            </w:tcMar>
          </w:tcPr>
          <w:p w14:paraId="0C16A5A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r>
      <w:tr w:rsidR="002A0F5D" w:rsidRPr="006C68C4" w14:paraId="5B547B52"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0AA6E7B3"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6 months after Maintenance Date</w:t>
            </w:r>
          </w:p>
        </w:tc>
        <w:tc>
          <w:tcPr>
            <w:tcW w:w="554" w:type="pct"/>
            <w:tcBorders>
              <w:top w:val="nil"/>
              <w:left w:val="nil"/>
              <w:bottom w:val="nil"/>
              <w:right w:val="nil"/>
            </w:tcBorders>
            <w:shd w:val="clear" w:color="auto" w:fill="FFFFFF"/>
            <w:tcMar>
              <w:left w:w="60" w:type="dxa"/>
              <w:right w:w="60" w:type="dxa"/>
            </w:tcMar>
          </w:tcPr>
          <w:p w14:paraId="40136DE8"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In Study</w:t>
            </w:r>
          </w:p>
        </w:tc>
        <w:tc>
          <w:tcPr>
            <w:tcW w:w="692" w:type="pct"/>
            <w:tcBorders>
              <w:top w:val="nil"/>
              <w:left w:val="nil"/>
              <w:bottom w:val="nil"/>
              <w:right w:val="nil"/>
            </w:tcBorders>
            <w:shd w:val="clear" w:color="auto" w:fill="FFFFFF"/>
            <w:tcMar>
              <w:left w:w="60" w:type="dxa"/>
              <w:right w:w="60" w:type="dxa"/>
            </w:tcMar>
          </w:tcPr>
          <w:p w14:paraId="446C39BE"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nil"/>
              <w:left w:val="nil"/>
              <w:bottom w:val="nil"/>
              <w:right w:val="nil"/>
            </w:tcBorders>
            <w:shd w:val="clear" w:color="auto" w:fill="FFFFFF"/>
            <w:tcMar>
              <w:left w:w="60" w:type="dxa"/>
              <w:right w:w="60" w:type="dxa"/>
            </w:tcMar>
          </w:tcPr>
          <w:p w14:paraId="06F00D6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254 (51.42%)</w:t>
            </w:r>
          </w:p>
        </w:tc>
        <w:tc>
          <w:tcPr>
            <w:tcW w:w="414" w:type="pct"/>
            <w:tcBorders>
              <w:top w:val="nil"/>
              <w:left w:val="nil"/>
              <w:bottom w:val="nil"/>
              <w:right w:val="nil"/>
            </w:tcBorders>
            <w:shd w:val="clear" w:color="auto" w:fill="FFFFFF"/>
            <w:tcMar>
              <w:left w:w="60" w:type="dxa"/>
              <w:right w:w="60" w:type="dxa"/>
            </w:tcMar>
          </w:tcPr>
          <w:p w14:paraId="423F316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58 (59.18%)</w:t>
            </w:r>
          </w:p>
        </w:tc>
        <w:tc>
          <w:tcPr>
            <w:tcW w:w="417" w:type="pct"/>
            <w:tcBorders>
              <w:top w:val="nil"/>
              <w:left w:val="nil"/>
              <w:bottom w:val="nil"/>
              <w:right w:val="nil"/>
            </w:tcBorders>
            <w:shd w:val="clear" w:color="auto" w:fill="FFFFFF"/>
            <w:tcMar>
              <w:left w:w="60" w:type="dxa"/>
              <w:right w:w="60" w:type="dxa"/>
            </w:tcMar>
          </w:tcPr>
          <w:p w14:paraId="0D567E4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57 (57%)</w:t>
            </w:r>
          </w:p>
        </w:tc>
        <w:tc>
          <w:tcPr>
            <w:tcW w:w="370" w:type="pct"/>
            <w:tcBorders>
              <w:top w:val="nil"/>
              <w:left w:val="nil"/>
              <w:bottom w:val="nil"/>
              <w:right w:val="nil"/>
            </w:tcBorders>
            <w:shd w:val="clear" w:color="auto" w:fill="FFFFFF"/>
            <w:tcMar>
              <w:left w:w="60" w:type="dxa"/>
              <w:right w:w="60" w:type="dxa"/>
            </w:tcMar>
          </w:tcPr>
          <w:p w14:paraId="4A3839E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14 (46.67%)</w:t>
            </w:r>
          </w:p>
        </w:tc>
        <w:tc>
          <w:tcPr>
            <w:tcW w:w="417" w:type="pct"/>
            <w:tcBorders>
              <w:top w:val="nil"/>
              <w:left w:val="nil"/>
              <w:bottom w:val="nil"/>
              <w:right w:val="nil"/>
            </w:tcBorders>
            <w:shd w:val="clear" w:color="auto" w:fill="FFFFFF"/>
            <w:tcMar>
              <w:left w:w="60" w:type="dxa"/>
              <w:right w:w="60" w:type="dxa"/>
            </w:tcMar>
          </w:tcPr>
          <w:p w14:paraId="6A12E66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(0%)</w:t>
            </w:r>
          </w:p>
        </w:tc>
        <w:tc>
          <w:tcPr>
            <w:tcW w:w="404" w:type="pct"/>
            <w:tcBorders>
              <w:top w:val="nil"/>
              <w:left w:val="nil"/>
              <w:bottom w:val="nil"/>
              <w:right w:val="nil"/>
            </w:tcBorders>
            <w:shd w:val="clear" w:color="auto" w:fill="FFFFFF"/>
            <w:tcMar>
              <w:left w:w="60" w:type="dxa"/>
              <w:right w:w="60" w:type="dxa"/>
            </w:tcMar>
          </w:tcPr>
          <w:p w14:paraId="721EDFA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 (47.37%)</w:t>
            </w:r>
          </w:p>
        </w:tc>
        <w:tc>
          <w:tcPr>
            <w:tcW w:w="375" w:type="pct"/>
            <w:gridSpan w:val="2"/>
            <w:tcBorders>
              <w:top w:val="nil"/>
              <w:left w:val="nil"/>
              <w:bottom w:val="nil"/>
              <w:right w:val="nil"/>
            </w:tcBorders>
            <w:shd w:val="clear" w:color="auto" w:fill="FFFFFF"/>
            <w:tcMar>
              <w:left w:w="60" w:type="dxa"/>
              <w:right w:w="60" w:type="dxa"/>
            </w:tcMar>
          </w:tcPr>
          <w:p w14:paraId="2577E84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43 (44.79%)</w:t>
            </w:r>
          </w:p>
        </w:tc>
        <w:tc>
          <w:tcPr>
            <w:tcW w:w="387" w:type="pct"/>
            <w:gridSpan w:val="2"/>
            <w:tcBorders>
              <w:top w:val="nil"/>
              <w:left w:val="nil"/>
              <w:bottom w:val="nil"/>
              <w:right w:val="nil"/>
            </w:tcBorders>
            <w:shd w:val="clear" w:color="auto" w:fill="FFFFFF"/>
            <w:tcMar>
              <w:left w:w="60" w:type="dxa"/>
              <w:right w:w="60" w:type="dxa"/>
            </w:tcMar>
          </w:tcPr>
          <w:p w14:paraId="041601E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435 (51.91%)</w:t>
            </w:r>
          </w:p>
        </w:tc>
      </w:tr>
      <w:tr w:rsidR="002A0F5D" w:rsidRPr="006C68C4" w14:paraId="6AA7AB4D"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530BE8A8"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0AE95624"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Study discontinued, n (%)</w:t>
            </w:r>
          </w:p>
        </w:tc>
        <w:tc>
          <w:tcPr>
            <w:tcW w:w="692" w:type="pct"/>
            <w:tcBorders>
              <w:top w:val="nil"/>
              <w:left w:val="nil"/>
              <w:bottom w:val="nil"/>
              <w:right w:val="nil"/>
            </w:tcBorders>
            <w:shd w:val="clear" w:color="auto" w:fill="FFFFFF"/>
            <w:tcMar>
              <w:left w:w="60" w:type="dxa"/>
              <w:right w:w="60" w:type="dxa"/>
            </w:tcMar>
          </w:tcPr>
          <w:p w14:paraId="349A6624"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nil"/>
              <w:left w:val="nil"/>
              <w:bottom w:val="nil"/>
              <w:right w:val="nil"/>
            </w:tcBorders>
            <w:shd w:val="clear" w:color="auto" w:fill="FFFFFF"/>
            <w:tcMar>
              <w:left w:w="60" w:type="dxa"/>
              <w:right w:w="60" w:type="dxa"/>
            </w:tcMar>
          </w:tcPr>
          <w:p w14:paraId="224D3C5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240 (48.58%)</w:t>
            </w:r>
          </w:p>
        </w:tc>
        <w:tc>
          <w:tcPr>
            <w:tcW w:w="414" w:type="pct"/>
            <w:tcBorders>
              <w:top w:val="nil"/>
              <w:left w:val="nil"/>
              <w:bottom w:val="nil"/>
              <w:right w:val="nil"/>
            </w:tcBorders>
            <w:shd w:val="clear" w:color="auto" w:fill="FFFFFF"/>
            <w:tcMar>
              <w:left w:w="60" w:type="dxa"/>
              <w:right w:w="60" w:type="dxa"/>
            </w:tcMar>
          </w:tcPr>
          <w:p w14:paraId="081161A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40 (40.82%)</w:t>
            </w:r>
          </w:p>
        </w:tc>
        <w:tc>
          <w:tcPr>
            <w:tcW w:w="417" w:type="pct"/>
            <w:tcBorders>
              <w:top w:val="nil"/>
              <w:left w:val="nil"/>
              <w:bottom w:val="nil"/>
              <w:right w:val="nil"/>
            </w:tcBorders>
            <w:shd w:val="clear" w:color="auto" w:fill="FFFFFF"/>
            <w:tcMar>
              <w:left w:w="60" w:type="dxa"/>
              <w:right w:w="60" w:type="dxa"/>
            </w:tcMar>
          </w:tcPr>
          <w:p w14:paraId="1DDB068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43 (43%)</w:t>
            </w:r>
          </w:p>
        </w:tc>
        <w:tc>
          <w:tcPr>
            <w:tcW w:w="370" w:type="pct"/>
            <w:tcBorders>
              <w:top w:val="nil"/>
              <w:left w:val="nil"/>
              <w:bottom w:val="nil"/>
              <w:right w:val="nil"/>
            </w:tcBorders>
            <w:shd w:val="clear" w:color="auto" w:fill="FFFFFF"/>
            <w:tcMar>
              <w:left w:w="60" w:type="dxa"/>
              <w:right w:w="60" w:type="dxa"/>
            </w:tcMar>
          </w:tcPr>
          <w:p w14:paraId="7697176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 (53.33%)</w:t>
            </w:r>
          </w:p>
        </w:tc>
        <w:tc>
          <w:tcPr>
            <w:tcW w:w="417" w:type="pct"/>
            <w:tcBorders>
              <w:top w:val="nil"/>
              <w:left w:val="nil"/>
              <w:bottom w:val="nil"/>
              <w:right w:val="nil"/>
            </w:tcBorders>
            <w:shd w:val="clear" w:color="auto" w:fill="FFFFFF"/>
            <w:tcMar>
              <w:left w:w="60" w:type="dxa"/>
              <w:right w:w="60" w:type="dxa"/>
            </w:tcMar>
          </w:tcPr>
          <w:p w14:paraId="1D68BB0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 (100%)</w:t>
            </w:r>
          </w:p>
        </w:tc>
        <w:tc>
          <w:tcPr>
            <w:tcW w:w="404" w:type="pct"/>
            <w:tcBorders>
              <w:top w:val="nil"/>
              <w:left w:val="nil"/>
              <w:bottom w:val="nil"/>
              <w:right w:val="nil"/>
            </w:tcBorders>
            <w:shd w:val="clear" w:color="auto" w:fill="FFFFFF"/>
            <w:tcMar>
              <w:left w:w="60" w:type="dxa"/>
              <w:right w:w="60" w:type="dxa"/>
            </w:tcMar>
          </w:tcPr>
          <w:p w14:paraId="55DAFC6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 (52.63%)</w:t>
            </w:r>
          </w:p>
        </w:tc>
        <w:tc>
          <w:tcPr>
            <w:tcW w:w="375" w:type="pct"/>
            <w:gridSpan w:val="2"/>
            <w:tcBorders>
              <w:top w:val="nil"/>
              <w:left w:val="nil"/>
              <w:bottom w:val="nil"/>
              <w:right w:val="nil"/>
            </w:tcBorders>
            <w:shd w:val="clear" w:color="auto" w:fill="FFFFFF"/>
            <w:tcMar>
              <w:left w:w="60" w:type="dxa"/>
              <w:right w:w="60" w:type="dxa"/>
            </w:tcMar>
          </w:tcPr>
          <w:p w14:paraId="4D1158C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53 (55.21%)</w:t>
            </w:r>
          </w:p>
        </w:tc>
        <w:tc>
          <w:tcPr>
            <w:tcW w:w="387" w:type="pct"/>
            <w:gridSpan w:val="2"/>
            <w:tcBorders>
              <w:top w:val="nil"/>
              <w:left w:val="nil"/>
              <w:bottom w:val="nil"/>
              <w:right w:val="nil"/>
            </w:tcBorders>
            <w:shd w:val="clear" w:color="auto" w:fill="FFFFFF"/>
            <w:tcMar>
              <w:left w:w="60" w:type="dxa"/>
              <w:right w:w="60" w:type="dxa"/>
            </w:tcMar>
          </w:tcPr>
          <w:p w14:paraId="2D888D7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403 (48.09%)</w:t>
            </w:r>
          </w:p>
        </w:tc>
      </w:tr>
      <w:tr w:rsidR="002A0F5D" w:rsidRPr="006C68C4" w14:paraId="5F674F3C"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3D639518"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305B97AE"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44D6BF82"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Drug Switch</w:t>
            </w:r>
          </w:p>
        </w:tc>
        <w:tc>
          <w:tcPr>
            <w:tcW w:w="417" w:type="pct"/>
            <w:tcBorders>
              <w:top w:val="nil"/>
              <w:left w:val="nil"/>
              <w:bottom w:val="nil"/>
              <w:right w:val="nil"/>
            </w:tcBorders>
            <w:shd w:val="clear" w:color="auto" w:fill="FFFFFF"/>
            <w:tcMar>
              <w:left w:w="60" w:type="dxa"/>
              <w:right w:w="60" w:type="dxa"/>
            </w:tcMar>
          </w:tcPr>
          <w:p w14:paraId="7D7DBB2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w:t>
            </w:r>
          </w:p>
        </w:tc>
        <w:tc>
          <w:tcPr>
            <w:tcW w:w="414" w:type="pct"/>
            <w:tcBorders>
              <w:top w:val="nil"/>
              <w:left w:val="nil"/>
              <w:bottom w:val="nil"/>
              <w:right w:val="nil"/>
            </w:tcBorders>
            <w:shd w:val="clear" w:color="auto" w:fill="FFFFFF"/>
            <w:tcMar>
              <w:left w:w="60" w:type="dxa"/>
              <w:right w:w="60" w:type="dxa"/>
            </w:tcMar>
          </w:tcPr>
          <w:p w14:paraId="5B81108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w:t>
            </w:r>
          </w:p>
        </w:tc>
        <w:tc>
          <w:tcPr>
            <w:tcW w:w="417" w:type="pct"/>
            <w:tcBorders>
              <w:top w:val="nil"/>
              <w:left w:val="nil"/>
              <w:bottom w:val="nil"/>
              <w:right w:val="nil"/>
            </w:tcBorders>
            <w:shd w:val="clear" w:color="auto" w:fill="FFFFFF"/>
            <w:tcMar>
              <w:left w:w="60" w:type="dxa"/>
              <w:right w:w="60" w:type="dxa"/>
            </w:tcMar>
          </w:tcPr>
          <w:p w14:paraId="016494D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w:t>
            </w:r>
          </w:p>
        </w:tc>
        <w:tc>
          <w:tcPr>
            <w:tcW w:w="370" w:type="pct"/>
            <w:tcBorders>
              <w:top w:val="nil"/>
              <w:left w:val="nil"/>
              <w:bottom w:val="nil"/>
              <w:right w:val="nil"/>
            </w:tcBorders>
            <w:shd w:val="clear" w:color="auto" w:fill="FFFFFF"/>
            <w:tcMar>
              <w:left w:w="60" w:type="dxa"/>
              <w:right w:w="60" w:type="dxa"/>
            </w:tcMar>
          </w:tcPr>
          <w:p w14:paraId="0AADD41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17" w:type="pct"/>
            <w:tcBorders>
              <w:top w:val="nil"/>
              <w:left w:val="nil"/>
              <w:bottom w:val="nil"/>
              <w:right w:val="nil"/>
            </w:tcBorders>
            <w:shd w:val="clear" w:color="auto" w:fill="FFFFFF"/>
            <w:tcMar>
              <w:left w:w="60" w:type="dxa"/>
              <w:right w:w="60" w:type="dxa"/>
            </w:tcMar>
          </w:tcPr>
          <w:p w14:paraId="49AF539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6626EB9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375" w:type="pct"/>
            <w:gridSpan w:val="2"/>
            <w:tcBorders>
              <w:top w:val="nil"/>
              <w:left w:val="nil"/>
              <w:bottom w:val="nil"/>
              <w:right w:val="nil"/>
            </w:tcBorders>
            <w:shd w:val="clear" w:color="auto" w:fill="FFFFFF"/>
            <w:tcMar>
              <w:left w:w="60" w:type="dxa"/>
              <w:right w:w="60" w:type="dxa"/>
            </w:tcMar>
          </w:tcPr>
          <w:p w14:paraId="7E29ABB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387" w:type="pct"/>
            <w:gridSpan w:val="2"/>
            <w:tcBorders>
              <w:top w:val="nil"/>
              <w:left w:val="nil"/>
              <w:bottom w:val="nil"/>
              <w:right w:val="nil"/>
            </w:tcBorders>
            <w:shd w:val="clear" w:color="auto" w:fill="FFFFFF"/>
            <w:tcMar>
              <w:left w:w="60" w:type="dxa"/>
              <w:right w:w="60" w:type="dxa"/>
            </w:tcMar>
          </w:tcPr>
          <w:p w14:paraId="1FAD88D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30</w:t>
            </w:r>
          </w:p>
        </w:tc>
      </w:tr>
      <w:tr w:rsidR="002A0F5D" w:rsidRPr="006C68C4" w14:paraId="52C0DFB5"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1957944E"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4FE13034"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0D0319C1"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therapy</w:t>
            </w:r>
          </w:p>
        </w:tc>
        <w:tc>
          <w:tcPr>
            <w:tcW w:w="417" w:type="pct"/>
            <w:tcBorders>
              <w:top w:val="nil"/>
              <w:left w:val="nil"/>
              <w:bottom w:val="nil"/>
              <w:right w:val="nil"/>
            </w:tcBorders>
            <w:shd w:val="clear" w:color="auto" w:fill="FFFFFF"/>
            <w:tcMar>
              <w:left w:w="60" w:type="dxa"/>
              <w:right w:w="60" w:type="dxa"/>
            </w:tcMar>
          </w:tcPr>
          <w:p w14:paraId="4AFFB2F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123</w:t>
            </w:r>
          </w:p>
        </w:tc>
        <w:tc>
          <w:tcPr>
            <w:tcW w:w="414" w:type="pct"/>
            <w:tcBorders>
              <w:top w:val="nil"/>
              <w:left w:val="nil"/>
              <w:bottom w:val="nil"/>
              <w:right w:val="nil"/>
            </w:tcBorders>
            <w:shd w:val="clear" w:color="auto" w:fill="FFFFFF"/>
            <w:tcMar>
              <w:left w:w="60" w:type="dxa"/>
              <w:right w:w="60" w:type="dxa"/>
            </w:tcMar>
          </w:tcPr>
          <w:p w14:paraId="4E80995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18</w:t>
            </w:r>
          </w:p>
        </w:tc>
        <w:tc>
          <w:tcPr>
            <w:tcW w:w="417" w:type="pct"/>
            <w:tcBorders>
              <w:top w:val="nil"/>
              <w:left w:val="nil"/>
              <w:bottom w:val="nil"/>
              <w:right w:val="nil"/>
            </w:tcBorders>
            <w:shd w:val="clear" w:color="auto" w:fill="FFFFFF"/>
            <w:tcMar>
              <w:left w:w="60" w:type="dxa"/>
              <w:right w:w="60" w:type="dxa"/>
            </w:tcMar>
          </w:tcPr>
          <w:p w14:paraId="3688B8D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w:t>
            </w:r>
          </w:p>
        </w:tc>
        <w:tc>
          <w:tcPr>
            <w:tcW w:w="370" w:type="pct"/>
            <w:tcBorders>
              <w:top w:val="nil"/>
              <w:left w:val="nil"/>
              <w:bottom w:val="nil"/>
              <w:right w:val="nil"/>
            </w:tcBorders>
            <w:shd w:val="clear" w:color="auto" w:fill="FFFFFF"/>
            <w:tcMar>
              <w:left w:w="60" w:type="dxa"/>
              <w:right w:w="60" w:type="dxa"/>
            </w:tcMar>
          </w:tcPr>
          <w:p w14:paraId="3627D61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w:t>
            </w:r>
          </w:p>
        </w:tc>
        <w:tc>
          <w:tcPr>
            <w:tcW w:w="417" w:type="pct"/>
            <w:tcBorders>
              <w:top w:val="nil"/>
              <w:left w:val="nil"/>
              <w:bottom w:val="nil"/>
              <w:right w:val="nil"/>
            </w:tcBorders>
            <w:shd w:val="clear" w:color="auto" w:fill="FFFFFF"/>
            <w:tcMar>
              <w:left w:w="60" w:type="dxa"/>
              <w:right w:w="60" w:type="dxa"/>
            </w:tcMar>
          </w:tcPr>
          <w:p w14:paraId="314CFCD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718D48D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w:t>
            </w:r>
          </w:p>
        </w:tc>
        <w:tc>
          <w:tcPr>
            <w:tcW w:w="375" w:type="pct"/>
            <w:gridSpan w:val="2"/>
            <w:tcBorders>
              <w:top w:val="nil"/>
              <w:left w:val="nil"/>
              <w:bottom w:val="nil"/>
              <w:right w:val="nil"/>
            </w:tcBorders>
            <w:shd w:val="clear" w:color="auto" w:fill="FFFFFF"/>
            <w:tcMar>
              <w:left w:w="60" w:type="dxa"/>
              <w:right w:w="60" w:type="dxa"/>
            </w:tcMar>
          </w:tcPr>
          <w:p w14:paraId="5430D79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22</w:t>
            </w:r>
          </w:p>
        </w:tc>
        <w:tc>
          <w:tcPr>
            <w:tcW w:w="387" w:type="pct"/>
            <w:gridSpan w:val="2"/>
            <w:tcBorders>
              <w:top w:val="nil"/>
              <w:left w:val="nil"/>
              <w:bottom w:val="nil"/>
              <w:right w:val="nil"/>
            </w:tcBorders>
            <w:shd w:val="clear" w:color="auto" w:fill="FFFFFF"/>
            <w:tcMar>
              <w:left w:w="60" w:type="dxa"/>
              <w:right w:w="60" w:type="dxa"/>
            </w:tcMar>
          </w:tcPr>
          <w:p w14:paraId="70CBBA8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188</w:t>
            </w:r>
          </w:p>
        </w:tc>
      </w:tr>
      <w:tr w:rsidR="002A0F5D" w:rsidRPr="006C68C4" w14:paraId="3EB66634"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4C5301FD"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27801B95"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78AEE058"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follow-up</w:t>
            </w:r>
          </w:p>
        </w:tc>
        <w:tc>
          <w:tcPr>
            <w:tcW w:w="417" w:type="pct"/>
            <w:tcBorders>
              <w:top w:val="nil"/>
              <w:left w:val="nil"/>
              <w:bottom w:val="nil"/>
              <w:right w:val="nil"/>
            </w:tcBorders>
            <w:shd w:val="clear" w:color="auto" w:fill="FFFFFF"/>
            <w:tcMar>
              <w:left w:w="60" w:type="dxa"/>
              <w:right w:w="60" w:type="dxa"/>
            </w:tcMar>
          </w:tcPr>
          <w:p w14:paraId="67E1792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100</w:t>
            </w:r>
          </w:p>
        </w:tc>
        <w:tc>
          <w:tcPr>
            <w:tcW w:w="414" w:type="pct"/>
            <w:tcBorders>
              <w:top w:val="nil"/>
              <w:left w:val="nil"/>
              <w:bottom w:val="nil"/>
              <w:right w:val="nil"/>
            </w:tcBorders>
            <w:shd w:val="clear" w:color="auto" w:fill="FFFFFF"/>
            <w:tcMar>
              <w:left w:w="60" w:type="dxa"/>
              <w:right w:w="60" w:type="dxa"/>
            </w:tcMar>
          </w:tcPr>
          <w:p w14:paraId="4FF2415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w:t>
            </w:r>
          </w:p>
        </w:tc>
        <w:tc>
          <w:tcPr>
            <w:tcW w:w="417" w:type="pct"/>
            <w:tcBorders>
              <w:top w:val="nil"/>
              <w:left w:val="nil"/>
              <w:bottom w:val="nil"/>
              <w:right w:val="nil"/>
            </w:tcBorders>
            <w:shd w:val="clear" w:color="auto" w:fill="FFFFFF"/>
            <w:tcMar>
              <w:left w:w="60" w:type="dxa"/>
              <w:right w:w="60" w:type="dxa"/>
            </w:tcMar>
          </w:tcPr>
          <w:p w14:paraId="1BC23EF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23</w:t>
            </w:r>
          </w:p>
        </w:tc>
        <w:tc>
          <w:tcPr>
            <w:tcW w:w="370" w:type="pct"/>
            <w:tcBorders>
              <w:top w:val="nil"/>
              <w:left w:val="nil"/>
              <w:bottom w:val="nil"/>
              <w:right w:val="nil"/>
            </w:tcBorders>
            <w:shd w:val="clear" w:color="auto" w:fill="FFFFFF"/>
            <w:tcMar>
              <w:left w:w="60" w:type="dxa"/>
              <w:right w:w="60" w:type="dxa"/>
            </w:tcMar>
          </w:tcPr>
          <w:p w14:paraId="05F73E3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11</w:t>
            </w:r>
          </w:p>
        </w:tc>
        <w:tc>
          <w:tcPr>
            <w:tcW w:w="417" w:type="pct"/>
            <w:tcBorders>
              <w:top w:val="nil"/>
              <w:left w:val="nil"/>
              <w:bottom w:val="nil"/>
              <w:right w:val="nil"/>
            </w:tcBorders>
            <w:shd w:val="clear" w:color="auto" w:fill="FFFFFF"/>
            <w:tcMar>
              <w:left w:w="60" w:type="dxa"/>
              <w:right w:w="60" w:type="dxa"/>
            </w:tcMar>
          </w:tcPr>
          <w:p w14:paraId="791A705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04" w:type="pct"/>
            <w:tcBorders>
              <w:top w:val="nil"/>
              <w:left w:val="nil"/>
              <w:bottom w:val="nil"/>
              <w:right w:val="nil"/>
            </w:tcBorders>
            <w:shd w:val="clear" w:color="auto" w:fill="FFFFFF"/>
            <w:tcMar>
              <w:left w:w="60" w:type="dxa"/>
              <w:right w:w="60" w:type="dxa"/>
            </w:tcMar>
          </w:tcPr>
          <w:p w14:paraId="0654817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w:t>
            </w:r>
          </w:p>
        </w:tc>
        <w:tc>
          <w:tcPr>
            <w:tcW w:w="375" w:type="pct"/>
            <w:gridSpan w:val="2"/>
            <w:tcBorders>
              <w:top w:val="nil"/>
              <w:left w:val="nil"/>
              <w:bottom w:val="nil"/>
              <w:right w:val="nil"/>
            </w:tcBorders>
            <w:shd w:val="clear" w:color="auto" w:fill="FFFFFF"/>
            <w:tcMar>
              <w:left w:w="60" w:type="dxa"/>
              <w:right w:w="60" w:type="dxa"/>
            </w:tcMar>
          </w:tcPr>
          <w:p w14:paraId="72F76D3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29</w:t>
            </w:r>
          </w:p>
        </w:tc>
        <w:tc>
          <w:tcPr>
            <w:tcW w:w="387" w:type="pct"/>
            <w:gridSpan w:val="2"/>
            <w:tcBorders>
              <w:top w:val="nil"/>
              <w:left w:val="nil"/>
              <w:bottom w:val="nil"/>
              <w:right w:val="nil"/>
            </w:tcBorders>
            <w:shd w:val="clear" w:color="auto" w:fill="FFFFFF"/>
            <w:tcMar>
              <w:left w:w="60" w:type="dxa"/>
              <w:right w:w="60" w:type="dxa"/>
            </w:tcMar>
          </w:tcPr>
          <w:p w14:paraId="1925157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185</w:t>
            </w:r>
          </w:p>
        </w:tc>
      </w:tr>
      <w:tr w:rsidR="002A0F5D" w:rsidRPr="006C68C4" w14:paraId="6693CE46"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767BB426"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02BB1F27"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5FA6CCB2" w14:textId="4A7C0B1A"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 xml:space="preserve">End of Data </w:t>
            </w:r>
            <w:proofErr w:type="spellStart"/>
            <w:r w:rsidRPr="006C68C4">
              <w:rPr>
                <w:rFonts w:ascii="Arial" w:hAnsi="Arial" w:cs="Arial"/>
                <w:color w:val="000000"/>
                <w:sz w:val="18"/>
                <w:szCs w:val="18"/>
              </w:rPr>
              <w:t>Availability</w:t>
            </w:r>
            <w:proofErr w:type="spellEnd"/>
            <w:r w:rsidR="000205ED">
              <w:rPr>
                <w:rFonts w:ascii="Arial" w:hAnsi="Arial" w:cs="Arial"/>
                <w:color w:val="000000"/>
                <w:sz w:val="18"/>
                <w:szCs w:val="18"/>
                <w:vertAlign w:val="superscript"/>
              </w:rPr>
              <w:t>[‡]</w:t>
            </w:r>
          </w:p>
        </w:tc>
        <w:tc>
          <w:tcPr>
            <w:tcW w:w="417" w:type="pct"/>
            <w:tcBorders>
              <w:top w:val="nil"/>
              <w:left w:val="nil"/>
              <w:bottom w:val="nil"/>
              <w:right w:val="nil"/>
            </w:tcBorders>
            <w:shd w:val="clear" w:color="auto" w:fill="FFFFFF"/>
            <w:tcMar>
              <w:left w:w="60" w:type="dxa"/>
              <w:right w:w="60" w:type="dxa"/>
            </w:tcMar>
          </w:tcPr>
          <w:p w14:paraId="1D07A4F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4" w:type="pct"/>
            <w:tcBorders>
              <w:top w:val="nil"/>
              <w:left w:val="nil"/>
              <w:bottom w:val="nil"/>
              <w:right w:val="nil"/>
            </w:tcBorders>
            <w:shd w:val="clear" w:color="auto" w:fill="FFFFFF"/>
            <w:tcMar>
              <w:left w:w="60" w:type="dxa"/>
              <w:right w:w="60" w:type="dxa"/>
            </w:tcMar>
          </w:tcPr>
          <w:p w14:paraId="4950F34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41917FD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tcBorders>
              <w:top w:val="nil"/>
              <w:left w:val="nil"/>
              <w:bottom w:val="nil"/>
              <w:right w:val="nil"/>
            </w:tcBorders>
            <w:shd w:val="clear" w:color="auto" w:fill="FFFFFF"/>
            <w:tcMar>
              <w:left w:w="60" w:type="dxa"/>
              <w:right w:w="60" w:type="dxa"/>
            </w:tcMar>
          </w:tcPr>
          <w:p w14:paraId="05E2834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5DD1D27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558308A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1EEEB83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87" w:type="pct"/>
            <w:gridSpan w:val="2"/>
            <w:tcBorders>
              <w:top w:val="nil"/>
              <w:left w:val="nil"/>
              <w:bottom w:val="nil"/>
              <w:right w:val="nil"/>
            </w:tcBorders>
            <w:shd w:val="clear" w:color="auto" w:fill="FFFFFF"/>
            <w:tcMar>
              <w:left w:w="60" w:type="dxa"/>
              <w:right w:w="60" w:type="dxa"/>
            </w:tcMar>
          </w:tcPr>
          <w:p w14:paraId="471E0AD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r>
      <w:tr w:rsidR="002A0F5D" w:rsidRPr="006C68C4" w14:paraId="20762D2E"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4F5D3549"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12 months after Maintenance Date</w:t>
            </w:r>
          </w:p>
        </w:tc>
        <w:tc>
          <w:tcPr>
            <w:tcW w:w="554" w:type="pct"/>
            <w:tcBorders>
              <w:top w:val="nil"/>
              <w:left w:val="nil"/>
              <w:bottom w:val="nil"/>
              <w:right w:val="nil"/>
            </w:tcBorders>
            <w:shd w:val="clear" w:color="auto" w:fill="FFFFFF"/>
            <w:tcMar>
              <w:left w:w="60" w:type="dxa"/>
              <w:right w:w="60" w:type="dxa"/>
            </w:tcMar>
          </w:tcPr>
          <w:p w14:paraId="45D213E6"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In Study</w:t>
            </w:r>
          </w:p>
        </w:tc>
        <w:tc>
          <w:tcPr>
            <w:tcW w:w="692" w:type="pct"/>
            <w:tcBorders>
              <w:top w:val="nil"/>
              <w:left w:val="nil"/>
              <w:bottom w:val="nil"/>
              <w:right w:val="nil"/>
            </w:tcBorders>
            <w:shd w:val="clear" w:color="auto" w:fill="FFFFFF"/>
            <w:tcMar>
              <w:left w:w="60" w:type="dxa"/>
              <w:right w:w="60" w:type="dxa"/>
            </w:tcMar>
          </w:tcPr>
          <w:p w14:paraId="27524B5A"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nil"/>
              <w:left w:val="nil"/>
              <w:bottom w:val="nil"/>
              <w:right w:val="nil"/>
            </w:tcBorders>
            <w:shd w:val="clear" w:color="auto" w:fill="FFFFFF"/>
            <w:tcMar>
              <w:left w:w="60" w:type="dxa"/>
              <w:right w:w="60" w:type="dxa"/>
            </w:tcMar>
          </w:tcPr>
          <w:p w14:paraId="1B218BA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120 (47.24%)</w:t>
            </w:r>
          </w:p>
        </w:tc>
        <w:tc>
          <w:tcPr>
            <w:tcW w:w="414" w:type="pct"/>
            <w:tcBorders>
              <w:top w:val="nil"/>
              <w:left w:val="nil"/>
              <w:bottom w:val="nil"/>
              <w:right w:val="nil"/>
            </w:tcBorders>
            <w:shd w:val="clear" w:color="auto" w:fill="FFFFFF"/>
            <w:tcMar>
              <w:left w:w="60" w:type="dxa"/>
              <w:right w:w="60" w:type="dxa"/>
            </w:tcMar>
          </w:tcPr>
          <w:p w14:paraId="70F70B8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37 (63.79%)</w:t>
            </w:r>
          </w:p>
        </w:tc>
        <w:tc>
          <w:tcPr>
            <w:tcW w:w="417" w:type="pct"/>
            <w:tcBorders>
              <w:top w:val="nil"/>
              <w:left w:val="nil"/>
              <w:bottom w:val="nil"/>
              <w:right w:val="nil"/>
            </w:tcBorders>
            <w:shd w:val="clear" w:color="auto" w:fill="FFFFFF"/>
            <w:tcMar>
              <w:left w:w="60" w:type="dxa"/>
              <w:right w:w="60" w:type="dxa"/>
            </w:tcMar>
          </w:tcPr>
          <w:p w14:paraId="508180D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31 (54.39%)</w:t>
            </w:r>
          </w:p>
        </w:tc>
        <w:tc>
          <w:tcPr>
            <w:tcW w:w="370" w:type="pct"/>
            <w:tcBorders>
              <w:top w:val="nil"/>
              <w:left w:val="nil"/>
              <w:bottom w:val="nil"/>
              <w:right w:val="nil"/>
            </w:tcBorders>
            <w:shd w:val="clear" w:color="auto" w:fill="FFFFFF"/>
            <w:tcMar>
              <w:left w:w="60" w:type="dxa"/>
              <w:right w:w="60" w:type="dxa"/>
            </w:tcMar>
          </w:tcPr>
          <w:p w14:paraId="1339D49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 (57.14%)</w:t>
            </w:r>
          </w:p>
        </w:tc>
        <w:tc>
          <w:tcPr>
            <w:tcW w:w="417" w:type="pct"/>
            <w:tcBorders>
              <w:top w:val="nil"/>
              <w:left w:val="nil"/>
              <w:bottom w:val="nil"/>
              <w:right w:val="nil"/>
            </w:tcBorders>
            <w:shd w:val="clear" w:color="auto" w:fill="FFFFFF"/>
            <w:tcMar>
              <w:left w:w="60" w:type="dxa"/>
              <w:right w:w="60" w:type="dxa"/>
            </w:tcMar>
          </w:tcPr>
          <w:p w14:paraId="2C9D55B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04" w:type="pct"/>
            <w:tcBorders>
              <w:top w:val="nil"/>
              <w:left w:val="nil"/>
              <w:bottom w:val="nil"/>
              <w:right w:val="nil"/>
            </w:tcBorders>
            <w:shd w:val="clear" w:color="auto" w:fill="FFFFFF"/>
            <w:tcMar>
              <w:left w:w="60" w:type="dxa"/>
              <w:right w:w="60" w:type="dxa"/>
            </w:tcMar>
          </w:tcPr>
          <w:p w14:paraId="2AEDEB1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 (44.44%)</w:t>
            </w:r>
          </w:p>
        </w:tc>
        <w:tc>
          <w:tcPr>
            <w:tcW w:w="375" w:type="pct"/>
            <w:gridSpan w:val="2"/>
            <w:tcBorders>
              <w:top w:val="nil"/>
              <w:left w:val="nil"/>
              <w:bottom w:val="nil"/>
              <w:right w:val="nil"/>
            </w:tcBorders>
            <w:shd w:val="clear" w:color="auto" w:fill="FFFFFF"/>
            <w:tcMar>
              <w:left w:w="60" w:type="dxa"/>
              <w:right w:w="60" w:type="dxa"/>
            </w:tcMar>
          </w:tcPr>
          <w:p w14:paraId="04602E7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27 (62.79%)</w:t>
            </w:r>
          </w:p>
        </w:tc>
        <w:tc>
          <w:tcPr>
            <w:tcW w:w="387" w:type="pct"/>
            <w:gridSpan w:val="2"/>
            <w:tcBorders>
              <w:top w:val="nil"/>
              <w:left w:val="nil"/>
              <w:bottom w:val="nil"/>
              <w:right w:val="nil"/>
            </w:tcBorders>
            <w:shd w:val="clear" w:color="auto" w:fill="FFFFFF"/>
            <w:tcMar>
              <w:left w:w="60" w:type="dxa"/>
              <w:right w:w="60" w:type="dxa"/>
            </w:tcMar>
          </w:tcPr>
          <w:p w14:paraId="78E2662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227 (52.18%)</w:t>
            </w:r>
          </w:p>
        </w:tc>
      </w:tr>
      <w:tr w:rsidR="002A0F5D" w:rsidRPr="006C68C4" w14:paraId="34140FAA"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70B001F8"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2B487324"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Study discontinued, n (%)</w:t>
            </w:r>
          </w:p>
        </w:tc>
        <w:tc>
          <w:tcPr>
            <w:tcW w:w="692" w:type="pct"/>
            <w:tcBorders>
              <w:top w:val="nil"/>
              <w:left w:val="nil"/>
              <w:bottom w:val="nil"/>
              <w:right w:val="nil"/>
            </w:tcBorders>
            <w:shd w:val="clear" w:color="auto" w:fill="FFFFFF"/>
            <w:tcMar>
              <w:left w:w="60" w:type="dxa"/>
              <w:right w:w="60" w:type="dxa"/>
            </w:tcMar>
          </w:tcPr>
          <w:p w14:paraId="15760339"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nil"/>
              <w:left w:val="nil"/>
              <w:bottom w:val="nil"/>
              <w:right w:val="nil"/>
            </w:tcBorders>
            <w:shd w:val="clear" w:color="auto" w:fill="FFFFFF"/>
            <w:tcMar>
              <w:left w:w="60" w:type="dxa"/>
              <w:right w:w="60" w:type="dxa"/>
            </w:tcMar>
          </w:tcPr>
          <w:p w14:paraId="6B665EB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134 (52.76%)</w:t>
            </w:r>
          </w:p>
        </w:tc>
        <w:tc>
          <w:tcPr>
            <w:tcW w:w="414" w:type="pct"/>
            <w:tcBorders>
              <w:top w:val="nil"/>
              <w:left w:val="nil"/>
              <w:bottom w:val="nil"/>
              <w:right w:val="nil"/>
            </w:tcBorders>
            <w:shd w:val="clear" w:color="auto" w:fill="FFFFFF"/>
            <w:tcMar>
              <w:left w:w="60" w:type="dxa"/>
              <w:right w:w="60" w:type="dxa"/>
            </w:tcMar>
          </w:tcPr>
          <w:p w14:paraId="514BCD5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21 (36.21%)</w:t>
            </w:r>
          </w:p>
        </w:tc>
        <w:tc>
          <w:tcPr>
            <w:tcW w:w="417" w:type="pct"/>
            <w:tcBorders>
              <w:top w:val="nil"/>
              <w:left w:val="nil"/>
              <w:bottom w:val="nil"/>
              <w:right w:val="nil"/>
            </w:tcBorders>
            <w:shd w:val="clear" w:color="auto" w:fill="FFFFFF"/>
            <w:tcMar>
              <w:left w:w="60" w:type="dxa"/>
              <w:right w:w="60" w:type="dxa"/>
            </w:tcMar>
          </w:tcPr>
          <w:p w14:paraId="6410A9F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26 (45.61%)</w:t>
            </w:r>
          </w:p>
        </w:tc>
        <w:tc>
          <w:tcPr>
            <w:tcW w:w="370" w:type="pct"/>
            <w:tcBorders>
              <w:top w:val="nil"/>
              <w:left w:val="nil"/>
              <w:bottom w:val="nil"/>
              <w:right w:val="nil"/>
            </w:tcBorders>
            <w:shd w:val="clear" w:color="auto" w:fill="FFFFFF"/>
            <w:tcMar>
              <w:left w:w="60" w:type="dxa"/>
              <w:right w:w="60" w:type="dxa"/>
            </w:tcMar>
          </w:tcPr>
          <w:p w14:paraId="6E55472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6 (42.86%)</w:t>
            </w:r>
          </w:p>
        </w:tc>
        <w:tc>
          <w:tcPr>
            <w:tcW w:w="417" w:type="pct"/>
            <w:tcBorders>
              <w:top w:val="nil"/>
              <w:left w:val="nil"/>
              <w:bottom w:val="nil"/>
              <w:right w:val="nil"/>
            </w:tcBorders>
            <w:shd w:val="clear" w:color="auto" w:fill="FFFFFF"/>
            <w:tcMar>
              <w:left w:w="60" w:type="dxa"/>
              <w:right w:w="60" w:type="dxa"/>
            </w:tcMar>
          </w:tcPr>
          <w:p w14:paraId="589704D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04" w:type="pct"/>
            <w:tcBorders>
              <w:top w:val="nil"/>
              <w:left w:val="nil"/>
              <w:bottom w:val="nil"/>
              <w:right w:val="nil"/>
            </w:tcBorders>
            <w:shd w:val="clear" w:color="auto" w:fill="FFFFFF"/>
            <w:tcMar>
              <w:left w:w="60" w:type="dxa"/>
              <w:right w:w="60" w:type="dxa"/>
            </w:tcMar>
          </w:tcPr>
          <w:p w14:paraId="34A0D6E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 (55.56%)</w:t>
            </w:r>
          </w:p>
        </w:tc>
        <w:tc>
          <w:tcPr>
            <w:tcW w:w="375" w:type="pct"/>
            <w:gridSpan w:val="2"/>
            <w:tcBorders>
              <w:top w:val="nil"/>
              <w:left w:val="nil"/>
              <w:bottom w:val="nil"/>
              <w:right w:val="nil"/>
            </w:tcBorders>
            <w:shd w:val="clear" w:color="auto" w:fill="FFFFFF"/>
            <w:tcMar>
              <w:left w:w="60" w:type="dxa"/>
              <w:right w:w="60" w:type="dxa"/>
            </w:tcMar>
          </w:tcPr>
          <w:p w14:paraId="196194B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 (37.21%)</w:t>
            </w:r>
          </w:p>
        </w:tc>
        <w:tc>
          <w:tcPr>
            <w:tcW w:w="387" w:type="pct"/>
            <w:gridSpan w:val="2"/>
            <w:tcBorders>
              <w:top w:val="nil"/>
              <w:left w:val="nil"/>
              <w:bottom w:val="nil"/>
              <w:right w:val="nil"/>
            </w:tcBorders>
            <w:shd w:val="clear" w:color="auto" w:fill="FFFFFF"/>
            <w:tcMar>
              <w:left w:w="60" w:type="dxa"/>
              <w:right w:w="60" w:type="dxa"/>
            </w:tcMar>
          </w:tcPr>
          <w:p w14:paraId="4F92214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208 (47.82%)</w:t>
            </w:r>
          </w:p>
        </w:tc>
      </w:tr>
      <w:tr w:rsidR="002A0F5D" w:rsidRPr="006C68C4" w14:paraId="67119542"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00A9C94C"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0C9C289A"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5DCE5411"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Drug Switch</w:t>
            </w:r>
          </w:p>
        </w:tc>
        <w:tc>
          <w:tcPr>
            <w:tcW w:w="417" w:type="pct"/>
            <w:tcBorders>
              <w:top w:val="nil"/>
              <w:left w:val="nil"/>
              <w:bottom w:val="nil"/>
              <w:right w:val="nil"/>
            </w:tcBorders>
            <w:shd w:val="clear" w:color="auto" w:fill="FFFFFF"/>
            <w:tcMar>
              <w:left w:w="60" w:type="dxa"/>
              <w:right w:w="60" w:type="dxa"/>
            </w:tcMar>
          </w:tcPr>
          <w:p w14:paraId="4F7BF76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w:t>
            </w:r>
          </w:p>
        </w:tc>
        <w:tc>
          <w:tcPr>
            <w:tcW w:w="414" w:type="pct"/>
            <w:tcBorders>
              <w:top w:val="nil"/>
              <w:left w:val="nil"/>
              <w:bottom w:val="nil"/>
              <w:right w:val="nil"/>
            </w:tcBorders>
            <w:shd w:val="clear" w:color="auto" w:fill="FFFFFF"/>
            <w:tcMar>
              <w:left w:w="60" w:type="dxa"/>
              <w:right w:w="60" w:type="dxa"/>
            </w:tcMar>
          </w:tcPr>
          <w:p w14:paraId="61CE860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417" w:type="pct"/>
            <w:tcBorders>
              <w:top w:val="nil"/>
              <w:left w:val="nil"/>
              <w:bottom w:val="nil"/>
              <w:right w:val="nil"/>
            </w:tcBorders>
            <w:shd w:val="clear" w:color="auto" w:fill="FFFFFF"/>
            <w:tcMar>
              <w:left w:w="60" w:type="dxa"/>
              <w:right w:w="60" w:type="dxa"/>
            </w:tcMar>
          </w:tcPr>
          <w:p w14:paraId="4AF7A39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tcBorders>
              <w:top w:val="nil"/>
              <w:left w:val="nil"/>
              <w:bottom w:val="nil"/>
              <w:right w:val="nil"/>
            </w:tcBorders>
            <w:shd w:val="clear" w:color="auto" w:fill="FFFFFF"/>
            <w:tcMar>
              <w:left w:w="60" w:type="dxa"/>
              <w:right w:w="60" w:type="dxa"/>
            </w:tcMar>
          </w:tcPr>
          <w:p w14:paraId="194AA4E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17" w:type="pct"/>
            <w:tcBorders>
              <w:top w:val="nil"/>
              <w:left w:val="nil"/>
              <w:bottom w:val="nil"/>
              <w:right w:val="nil"/>
            </w:tcBorders>
            <w:shd w:val="clear" w:color="auto" w:fill="FFFFFF"/>
            <w:tcMar>
              <w:left w:w="60" w:type="dxa"/>
              <w:right w:w="60" w:type="dxa"/>
            </w:tcMar>
          </w:tcPr>
          <w:p w14:paraId="5FA5FB3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7DA3C5D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0EE8FCC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87" w:type="pct"/>
            <w:gridSpan w:val="2"/>
            <w:tcBorders>
              <w:top w:val="nil"/>
              <w:left w:val="nil"/>
              <w:bottom w:val="nil"/>
              <w:right w:val="nil"/>
            </w:tcBorders>
            <w:shd w:val="clear" w:color="auto" w:fill="FFFFFF"/>
            <w:tcMar>
              <w:left w:w="60" w:type="dxa"/>
              <w:right w:w="60" w:type="dxa"/>
            </w:tcMar>
          </w:tcPr>
          <w:p w14:paraId="1B354E8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11</w:t>
            </w:r>
          </w:p>
        </w:tc>
      </w:tr>
      <w:tr w:rsidR="002A0F5D" w:rsidRPr="006C68C4" w14:paraId="729D1777"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2898027C"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6AA40C09"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326EAFEE"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therapy</w:t>
            </w:r>
          </w:p>
        </w:tc>
        <w:tc>
          <w:tcPr>
            <w:tcW w:w="417" w:type="pct"/>
            <w:tcBorders>
              <w:top w:val="nil"/>
              <w:left w:val="nil"/>
              <w:bottom w:val="nil"/>
              <w:right w:val="nil"/>
            </w:tcBorders>
            <w:shd w:val="clear" w:color="auto" w:fill="FFFFFF"/>
            <w:tcMar>
              <w:left w:w="60" w:type="dxa"/>
              <w:right w:w="60" w:type="dxa"/>
            </w:tcMar>
          </w:tcPr>
          <w:p w14:paraId="5B5FFE3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43</w:t>
            </w:r>
          </w:p>
        </w:tc>
        <w:tc>
          <w:tcPr>
            <w:tcW w:w="414" w:type="pct"/>
            <w:tcBorders>
              <w:top w:val="nil"/>
              <w:left w:val="nil"/>
              <w:bottom w:val="nil"/>
              <w:right w:val="nil"/>
            </w:tcBorders>
            <w:shd w:val="clear" w:color="auto" w:fill="FFFFFF"/>
            <w:tcMar>
              <w:left w:w="60" w:type="dxa"/>
              <w:right w:w="60" w:type="dxa"/>
            </w:tcMar>
          </w:tcPr>
          <w:p w14:paraId="0CA7C1F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w:t>
            </w:r>
          </w:p>
        </w:tc>
        <w:tc>
          <w:tcPr>
            <w:tcW w:w="417" w:type="pct"/>
            <w:tcBorders>
              <w:top w:val="nil"/>
              <w:left w:val="nil"/>
              <w:bottom w:val="nil"/>
              <w:right w:val="nil"/>
            </w:tcBorders>
            <w:shd w:val="clear" w:color="auto" w:fill="FFFFFF"/>
            <w:tcMar>
              <w:left w:w="60" w:type="dxa"/>
              <w:right w:w="60" w:type="dxa"/>
            </w:tcMar>
          </w:tcPr>
          <w:p w14:paraId="1AC91FF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370" w:type="pct"/>
            <w:tcBorders>
              <w:top w:val="nil"/>
              <w:left w:val="nil"/>
              <w:bottom w:val="nil"/>
              <w:right w:val="nil"/>
            </w:tcBorders>
            <w:shd w:val="clear" w:color="auto" w:fill="FFFFFF"/>
            <w:tcMar>
              <w:left w:w="60" w:type="dxa"/>
              <w:right w:w="60" w:type="dxa"/>
            </w:tcMar>
          </w:tcPr>
          <w:p w14:paraId="30DBE42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7ECD7AF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2BF285A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11FD6B1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87" w:type="pct"/>
            <w:gridSpan w:val="2"/>
            <w:tcBorders>
              <w:top w:val="nil"/>
              <w:left w:val="nil"/>
              <w:bottom w:val="nil"/>
              <w:right w:val="nil"/>
            </w:tcBorders>
            <w:shd w:val="clear" w:color="auto" w:fill="FFFFFF"/>
            <w:tcMar>
              <w:left w:w="60" w:type="dxa"/>
              <w:right w:w="60" w:type="dxa"/>
            </w:tcMar>
          </w:tcPr>
          <w:p w14:paraId="4202705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55</w:t>
            </w:r>
          </w:p>
        </w:tc>
      </w:tr>
      <w:tr w:rsidR="002A0F5D" w:rsidRPr="006C68C4" w14:paraId="25BCAFFC"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0F9A2A38"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28524EBB"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78A33219"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follow-up</w:t>
            </w:r>
          </w:p>
        </w:tc>
        <w:tc>
          <w:tcPr>
            <w:tcW w:w="417" w:type="pct"/>
            <w:tcBorders>
              <w:top w:val="nil"/>
              <w:left w:val="nil"/>
              <w:bottom w:val="nil"/>
              <w:right w:val="nil"/>
            </w:tcBorders>
            <w:shd w:val="clear" w:color="auto" w:fill="FFFFFF"/>
            <w:tcMar>
              <w:left w:w="60" w:type="dxa"/>
              <w:right w:w="60" w:type="dxa"/>
            </w:tcMar>
          </w:tcPr>
          <w:p w14:paraId="27C5E4F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84</w:t>
            </w:r>
          </w:p>
        </w:tc>
        <w:tc>
          <w:tcPr>
            <w:tcW w:w="414" w:type="pct"/>
            <w:tcBorders>
              <w:top w:val="nil"/>
              <w:left w:val="nil"/>
              <w:bottom w:val="nil"/>
              <w:right w:val="nil"/>
            </w:tcBorders>
            <w:shd w:val="clear" w:color="auto" w:fill="FFFFFF"/>
            <w:tcMar>
              <w:left w:w="60" w:type="dxa"/>
              <w:right w:w="60" w:type="dxa"/>
            </w:tcMar>
          </w:tcPr>
          <w:p w14:paraId="6DECAEC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w:t>
            </w:r>
          </w:p>
        </w:tc>
        <w:tc>
          <w:tcPr>
            <w:tcW w:w="417" w:type="pct"/>
            <w:tcBorders>
              <w:top w:val="nil"/>
              <w:left w:val="nil"/>
              <w:bottom w:val="nil"/>
              <w:right w:val="nil"/>
            </w:tcBorders>
            <w:shd w:val="clear" w:color="auto" w:fill="FFFFFF"/>
            <w:tcMar>
              <w:left w:w="60" w:type="dxa"/>
              <w:right w:w="60" w:type="dxa"/>
            </w:tcMar>
          </w:tcPr>
          <w:p w14:paraId="2BF97E6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24</w:t>
            </w:r>
          </w:p>
        </w:tc>
        <w:tc>
          <w:tcPr>
            <w:tcW w:w="370" w:type="pct"/>
            <w:tcBorders>
              <w:top w:val="nil"/>
              <w:left w:val="nil"/>
              <w:bottom w:val="nil"/>
              <w:right w:val="nil"/>
            </w:tcBorders>
            <w:shd w:val="clear" w:color="auto" w:fill="FFFFFF"/>
            <w:tcMar>
              <w:left w:w="60" w:type="dxa"/>
              <w:right w:w="60" w:type="dxa"/>
            </w:tcMar>
          </w:tcPr>
          <w:p w14:paraId="1D73102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w:t>
            </w:r>
          </w:p>
        </w:tc>
        <w:tc>
          <w:tcPr>
            <w:tcW w:w="417" w:type="pct"/>
            <w:tcBorders>
              <w:top w:val="nil"/>
              <w:left w:val="nil"/>
              <w:bottom w:val="nil"/>
              <w:right w:val="nil"/>
            </w:tcBorders>
            <w:shd w:val="clear" w:color="auto" w:fill="FFFFFF"/>
            <w:tcMar>
              <w:left w:w="60" w:type="dxa"/>
              <w:right w:w="60" w:type="dxa"/>
            </w:tcMar>
          </w:tcPr>
          <w:p w14:paraId="623FA71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3EFA386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w:t>
            </w:r>
          </w:p>
        </w:tc>
        <w:tc>
          <w:tcPr>
            <w:tcW w:w="375" w:type="pct"/>
            <w:gridSpan w:val="2"/>
            <w:tcBorders>
              <w:top w:val="nil"/>
              <w:left w:val="nil"/>
              <w:bottom w:val="nil"/>
              <w:right w:val="nil"/>
            </w:tcBorders>
            <w:shd w:val="clear" w:color="auto" w:fill="FFFFFF"/>
            <w:tcMar>
              <w:left w:w="60" w:type="dxa"/>
              <w:right w:w="60" w:type="dxa"/>
            </w:tcMar>
          </w:tcPr>
          <w:p w14:paraId="2051DA5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13</w:t>
            </w:r>
          </w:p>
        </w:tc>
        <w:tc>
          <w:tcPr>
            <w:tcW w:w="387" w:type="pct"/>
            <w:gridSpan w:val="2"/>
            <w:tcBorders>
              <w:top w:val="nil"/>
              <w:left w:val="nil"/>
              <w:bottom w:val="nil"/>
              <w:right w:val="nil"/>
            </w:tcBorders>
            <w:shd w:val="clear" w:color="auto" w:fill="FFFFFF"/>
            <w:tcMar>
              <w:left w:w="60" w:type="dxa"/>
              <w:right w:w="60" w:type="dxa"/>
            </w:tcMar>
          </w:tcPr>
          <w:p w14:paraId="7F316A0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141</w:t>
            </w:r>
          </w:p>
        </w:tc>
      </w:tr>
      <w:tr w:rsidR="002A0F5D" w:rsidRPr="006C68C4" w14:paraId="377807A8"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52B827B2"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7DD7A6A3"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5520A649" w14:textId="3307914D"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 xml:space="preserve">End of Data </w:t>
            </w:r>
            <w:proofErr w:type="spellStart"/>
            <w:r w:rsidRPr="006C68C4">
              <w:rPr>
                <w:rFonts w:ascii="Arial" w:hAnsi="Arial" w:cs="Arial"/>
                <w:color w:val="000000"/>
                <w:sz w:val="18"/>
                <w:szCs w:val="18"/>
              </w:rPr>
              <w:t>Availability</w:t>
            </w:r>
            <w:proofErr w:type="spellEnd"/>
            <w:r w:rsidR="000205ED">
              <w:rPr>
                <w:rFonts w:ascii="Arial" w:hAnsi="Arial" w:cs="Arial"/>
                <w:color w:val="000000"/>
                <w:sz w:val="18"/>
                <w:szCs w:val="18"/>
                <w:vertAlign w:val="superscript"/>
              </w:rPr>
              <w:t>[‡]</w:t>
            </w:r>
          </w:p>
        </w:tc>
        <w:tc>
          <w:tcPr>
            <w:tcW w:w="417" w:type="pct"/>
            <w:tcBorders>
              <w:top w:val="nil"/>
              <w:left w:val="nil"/>
              <w:bottom w:val="nil"/>
              <w:right w:val="nil"/>
            </w:tcBorders>
            <w:shd w:val="clear" w:color="auto" w:fill="FFFFFF"/>
            <w:tcMar>
              <w:left w:w="60" w:type="dxa"/>
              <w:right w:w="60" w:type="dxa"/>
            </w:tcMar>
          </w:tcPr>
          <w:p w14:paraId="60982E1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4" w:type="pct"/>
            <w:tcBorders>
              <w:top w:val="nil"/>
              <w:left w:val="nil"/>
              <w:bottom w:val="nil"/>
              <w:right w:val="nil"/>
            </w:tcBorders>
            <w:shd w:val="clear" w:color="auto" w:fill="FFFFFF"/>
            <w:tcMar>
              <w:left w:w="60" w:type="dxa"/>
              <w:right w:w="60" w:type="dxa"/>
            </w:tcMar>
          </w:tcPr>
          <w:p w14:paraId="492CED9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5BA38D6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tcBorders>
              <w:top w:val="nil"/>
              <w:left w:val="nil"/>
              <w:bottom w:val="nil"/>
              <w:right w:val="nil"/>
            </w:tcBorders>
            <w:shd w:val="clear" w:color="auto" w:fill="FFFFFF"/>
            <w:tcMar>
              <w:left w:w="60" w:type="dxa"/>
              <w:right w:w="60" w:type="dxa"/>
            </w:tcMar>
          </w:tcPr>
          <w:p w14:paraId="2C74703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0A012ED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6A6DDD0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13C5D60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87" w:type="pct"/>
            <w:gridSpan w:val="2"/>
            <w:tcBorders>
              <w:top w:val="nil"/>
              <w:left w:val="nil"/>
              <w:bottom w:val="nil"/>
              <w:right w:val="nil"/>
            </w:tcBorders>
            <w:shd w:val="clear" w:color="auto" w:fill="FFFFFF"/>
            <w:tcMar>
              <w:left w:w="60" w:type="dxa"/>
              <w:right w:w="60" w:type="dxa"/>
            </w:tcMar>
          </w:tcPr>
          <w:p w14:paraId="27B074A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r>
      <w:tr w:rsidR="002A0F5D" w:rsidRPr="006C68C4" w14:paraId="74064AF6"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12CA7B78"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18 months after Maintenance Date</w:t>
            </w:r>
          </w:p>
        </w:tc>
        <w:tc>
          <w:tcPr>
            <w:tcW w:w="554" w:type="pct"/>
            <w:tcBorders>
              <w:top w:val="nil"/>
              <w:left w:val="nil"/>
              <w:bottom w:val="nil"/>
              <w:right w:val="nil"/>
            </w:tcBorders>
            <w:shd w:val="clear" w:color="auto" w:fill="FFFFFF"/>
            <w:tcMar>
              <w:left w:w="60" w:type="dxa"/>
              <w:right w:w="60" w:type="dxa"/>
            </w:tcMar>
          </w:tcPr>
          <w:p w14:paraId="7CEF7059"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In Study</w:t>
            </w:r>
          </w:p>
        </w:tc>
        <w:tc>
          <w:tcPr>
            <w:tcW w:w="692" w:type="pct"/>
            <w:tcBorders>
              <w:top w:val="nil"/>
              <w:left w:val="nil"/>
              <w:bottom w:val="nil"/>
              <w:right w:val="nil"/>
            </w:tcBorders>
            <w:shd w:val="clear" w:color="auto" w:fill="FFFFFF"/>
            <w:tcMar>
              <w:left w:w="60" w:type="dxa"/>
              <w:right w:w="60" w:type="dxa"/>
            </w:tcMar>
          </w:tcPr>
          <w:p w14:paraId="08B60AA9"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nil"/>
              <w:left w:val="nil"/>
              <w:bottom w:val="nil"/>
              <w:right w:val="nil"/>
            </w:tcBorders>
            <w:shd w:val="clear" w:color="auto" w:fill="FFFFFF"/>
            <w:tcMar>
              <w:left w:w="60" w:type="dxa"/>
              <w:right w:w="60" w:type="dxa"/>
            </w:tcMar>
          </w:tcPr>
          <w:p w14:paraId="4AC3A07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71 (59.17%)</w:t>
            </w:r>
          </w:p>
        </w:tc>
        <w:tc>
          <w:tcPr>
            <w:tcW w:w="414" w:type="pct"/>
            <w:tcBorders>
              <w:top w:val="nil"/>
              <w:left w:val="nil"/>
              <w:bottom w:val="nil"/>
              <w:right w:val="nil"/>
            </w:tcBorders>
            <w:shd w:val="clear" w:color="auto" w:fill="FFFFFF"/>
            <w:tcMar>
              <w:left w:w="60" w:type="dxa"/>
              <w:right w:w="60" w:type="dxa"/>
            </w:tcMar>
          </w:tcPr>
          <w:p w14:paraId="4DF0532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22 (59.46%)</w:t>
            </w:r>
          </w:p>
        </w:tc>
        <w:tc>
          <w:tcPr>
            <w:tcW w:w="417" w:type="pct"/>
            <w:tcBorders>
              <w:top w:val="nil"/>
              <w:left w:val="nil"/>
              <w:bottom w:val="nil"/>
              <w:right w:val="nil"/>
            </w:tcBorders>
            <w:shd w:val="clear" w:color="auto" w:fill="FFFFFF"/>
            <w:tcMar>
              <w:left w:w="60" w:type="dxa"/>
              <w:right w:w="60" w:type="dxa"/>
            </w:tcMar>
          </w:tcPr>
          <w:p w14:paraId="17B3733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14 (45.16%)</w:t>
            </w:r>
          </w:p>
        </w:tc>
        <w:tc>
          <w:tcPr>
            <w:tcW w:w="370" w:type="pct"/>
            <w:tcBorders>
              <w:top w:val="nil"/>
              <w:left w:val="nil"/>
              <w:bottom w:val="nil"/>
              <w:right w:val="nil"/>
            </w:tcBorders>
            <w:shd w:val="clear" w:color="auto" w:fill="FFFFFF"/>
            <w:tcMar>
              <w:left w:w="60" w:type="dxa"/>
              <w:right w:w="60" w:type="dxa"/>
            </w:tcMar>
          </w:tcPr>
          <w:p w14:paraId="5A57A93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 (62.5%)</w:t>
            </w:r>
          </w:p>
        </w:tc>
        <w:tc>
          <w:tcPr>
            <w:tcW w:w="417" w:type="pct"/>
            <w:tcBorders>
              <w:top w:val="nil"/>
              <w:left w:val="nil"/>
              <w:bottom w:val="nil"/>
              <w:right w:val="nil"/>
            </w:tcBorders>
            <w:shd w:val="clear" w:color="auto" w:fill="FFFFFF"/>
            <w:tcMar>
              <w:left w:w="60" w:type="dxa"/>
              <w:right w:w="60" w:type="dxa"/>
            </w:tcMar>
          </w:tcPr>
          <w:p w14:paraId="7004AC6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04" w:type="pct"/>
            <w:tcBorders>
              <w:top w:val="nil"/>
              <w:left w:val="nil"/>
              <w:bottom w:val="nil"/>
              <w:right w:val="nil"/>
            </w:tcBorders>
            <w:shd w:val="clear" w:color="auto" w:fill="FFFFFF"/>
            <w:tcMar>
              <w:left w:w="60" w:type="dxa"/>
              <w:right w:w="60" w:type="dxa"/>
            </w:tcMar>
          </w:tcPr>
          <w:p w14:paraId="7E57C9E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(0%)</w:t>
            </w:r>
          </w:p>
        </w:tc>
        <w:tc>
          <w:tcPr>
            <w:tcW w:w="375" w:type="pct"/>
            <w:gridSpan w:val="2"/>
            <w:tcBorders>
              <w:top w:val="nil"/>
              <w:left w:val="nil"/>
              <w:bottom w:val="nil"/>
              <w:right w:val="nil"/>
            </w:tcBorders>
            <w:shd w:val="clear" w:color="auto" w:fill="FFFFFF"/>
            <w:tcMar>
              <w:left w:w="60" w:type="dxa"/>
              <w:right w:w="60" w:type="dxa"/>
            </w:tcMar>
          </w:tcPr>
          <w:p w14:paraId="08EAA4E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 (37.04%)</w:t>
            </w:r>
          </w:p>
        </w:tc>
        <w:tc>
          <w:tcPr>
            <w:tcW w:w="387" w:type="pct"/>
            <w:gridSpan w:val="2"/>
            <w:tcBorders>
              <w:top w:val="nil"/>
              <w:left w:val="nil"/>
              <w:bottom w:val="nil"/>
              <w:right w:val="nil"/>
            </w:tcBorders>
            <w:shd w:val="clear" w:color="auto" w:fill="FFFFFF"/>
            <w:tcMar>
              <w:left w:w="60" w:type="dxa"/>
              <w:right w:w="60" w:type="dxa"/>
            </w:tcMar>
          </w:tcPr>
          <w:p w14:paraId="2CC3F12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122 (53.74%)</w:t>
            </w:r>
          </w:p>
        </w:tc>
      </w:tr>
      <w:tr w:rsidR="002A0F5D" w:rsidRPr="006C68C4" w14:paraId="7B1F6E96"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3076C69D"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57AE49A1"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Study discontinued, n (%)</w:t>
            </w:r>
          </w:p>
        </w:tc>
        <w:tc>
          <w:tcPr>
            <w:tcW w:w="692" w:type="pct"/>
            <w:tcBorders>
              <w:top w:val="nil"/>
              <w:left w:val="nil"/>
              <w:bottom w:val="nil"/>
              <w:right w:val="nil"/>
            </w:tcBorders>
            <w:shd w:val="clear" w:color="auto" w:fill="FFFFFF"/>
            <w:tcMar>
              <w:left w:w="60" w:type="dxa"/>
              <w:right w:w="60" w:type="dxa"/>
            </w:tcMar>
          </w:tcPr>
          <w:p w14:paraId="544B8219"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nil"/>
              <w:left w:val="nil"/>
              <w:bottom w:val="nil"/>
              <w:right w:val="nil"/>
            </w:tcBorders>
            <w:shd w:val="clear" w:color="auto" w:fill="FFFFFF"/>
            <w:tcMar>
              <w:left w:w="60" w:type="dxa"/>
              <w:right w:w="60" w:type="dxa"/>
            </w:tcMar>
          </w:tcPr>
          <w:p w14:paraId="6FCAE66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49 (40.83%)</w:t>
            </w:r>
          </w:p>
        </w:tc>
        <w:tc>
          <w:tcPr>
            <w:tcW w:w="414" w:type="pct"/>
            <w:tcBorders>
              <w:top w:val="nil"/>
              <w:left w:val="nil"/>
              <w:bottom w:val="nil"/>
              <w:right w:val="nil"/>
            </w:tcBorders>
            <w:shd w:val="clear" w:color="auto" w:fill="FFFFFF"/>
            <w:tcMar>
              <w:left w:w="60" w:type="dxa"/>
              <w:right w:w="60" w:type="dxa"/>
            </w:tcMar>
          </w:tcPr>
          <w:p w14:paraId="55F5D7C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15 (40.54%)</w:t>
            </w:r>
          </w:p>
        </w:tc>
        <w:tc>
          <w:tcPr>
            <w:tcW w:w="417" w:type="pct"/>
            <w:tcBorders>
              <w:top w:val="nil"/>
              <w:left w:val="nil"/>
              <w:bottom w:val="nil"/>
              <w:right w:val="nil"/>
            </w:tcBorders>
            <w:shd w:val="clear" w:color="auto" w:fill="FFFFFF"/>
            <w:tcMar>
              <w:left w:w="60" w:type="dxa"/>
              <w:right w:w="60" w:type="dxa"/>
            </w:tcMar>
          </w:tcPr>
          <w:p w14:paraId="5363EFE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 (54.84%)</w:t>
            </w:r>
          </w:p>
        </w:tc>
        <w:tc>
          <w:tcPr>
            <w:tcW w:w="370" w:type="pct"/>
            <w:tcBorders>
              <w:top w:val="nil"/>
              <w:left w:val="nil"/>
              <w:bottom w:val="nil"/>
              <w:right w:val="nil"/>
            </w:tcBorders>
            <w:shd w:val="clear" w:color="auto" w:fill="FFFFFF"/>
            <w:tcMar>
              <w:left w:w="60" w:type="dxa"/>
              <w:right w:w="60" w:type="dxa"/>
            </w:tcMar>
          </w:tcPr>
          <w:p w14:paraId="3BF6EEA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 (37.5%)</w:t>
            </w:r>
          </w:p>
        </w:tc>
        <w:tc>
          <w:tcPr>
            <w:tcW w:w="417" w:type="pct"/>
            <w:tcBorders>
              <w:top w:val="nil"/>
              <w:left w:val="nil"/>
              <w:bottom w:val="nil"/>
              <w:right w:val="nil"/>
            </w:tcBorders>
            <w:shd w:val="clear" w:color="auto" w:fill="FFFFFF"/>
            <w:tcMar>
              <w:left w:w="60" w:type="dxa"/>
              <w:right w:w="60" w:type="dxa"/>
            </w:tcMar>
          </w:tcPr>
          <w:p w14:paraId="0B2F051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04" w:type="pct"/>
            <w:tcBorders>
              <w:top w:val="nil"/>
              <w:left w:val="nil"/>
              <w:bottom w:val="nil"/>
              <w:right w:val="nil"/>
            </w:tcBorders>
            <w:shd w:val="clear" w:color="auto" w:fill="FFFFFF"/>
            <w:tcMar>
              <w:left w:w="60" w:type="dxa"/>
              <w:right w:w="60" w:type="dxa"/>
            </w:tcMar>
          </w:tcPr>
          <w:p w14:paraId="25E31D9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 (100%)</w:t>
            </w:r>
          </w:p>
        </w:tc>
        <w:tc>
          <w:tcPr>
            <w:tcW w:w="375" w:type="pct"/>
            <w:gridSpan w:val="2"/>
            <w:tcBorders>
              <w:top w:val="nil"/>
              <w:left w:val="nil"/>
              <w:bottom w:val="nil"/>
              <w:right w:val="nil"/>
            </w:tcBorders>
            <w:shd w:val="clear" w:color="auto" w:fill="FFFFFF"/>
            <w:tcMar>
              <w:left w:w="60" w:type="dxa"/>
              <w:right w:w="60" w:type="dxa"/>
            </w:tcMar>
          </w:tcPr>
          <w:p w14:paraId="14F2383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 (62.96%)</w:t>
            </w:r>
          </w:p>
        </w:tc>
        <w:tc>
          <w:tcPr>
            <w:tcW w:w="387" w:type="pct"/>
            <w:gridSpan w:val="2"/>
            <w:tcBorders>
              <w:top w:val="nil"/>
              <w:left w:val="nil"/>
              <w:bottom w:val="nil"/>
              <w:right w:val="nil"/>
            </w:tcBorders>
            <w:shd w:val="clear" w:color="auto" w:fill="FFFFFF"/>
            <w:tcMar>
              <w:left w:w="60" w:type="dxa"/>
              <w:right w:w="60" w:type="dxa"/>
            </w:tcMar>
          </w:tcPr>
          <w:p w14:paraId="2B62749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105 (46.26%)</w:t>
            </w:r>
          </w:p>
        </w:tc>
      </w:tr>
      <w:tr w:rsidR="002A0F5D" w:rsidRPr="006C68C4" w14:paraId="4574EEAE"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7FE2775C"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2E0A02D4"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511B42FA"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Drug Switch</w:t>
            </w:r>
          </w:p>
        </w:tc>
        <w:tc>
          <w:tcPr>
            <w:tcW w:w="417" w:type="pct"/>
            <w:tcBorders>
              <w:top w:val="nil"/>
              <w:left w:val="nil"/>
              <w:bottom w:val="nil"/>
              <w:right w:val="nil"/>
            </w:tcBorders>
            <w:shd w:val="clear" w:color="auto" w:fill="FFFFFF"/>
            <w:tcMar>
              <w:left w:w="60" w:type="dxa"/>
              <w:right w:w="60" w:type="dxa"/>
            </w:tcMar>
          </w:tcPr>
          <w:p w14:paraId="1DE540F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14" w:type="pct"/>
            <w:tcBorders>
              <w:top w:val="nil"/>
              <w:left w:val="nil"/>
              <w:bottom w:val="nil"/>
              <w:right w:val="nil"/>
            </w:tcBorders>
            <w:shd w:val="clear" w:color="auto" w:fill="FFFFFF"/>
            <w:tcMar>
              <w:left w:w="60" w:type="dxa"/>
              <w:right w:w="60" w:type="dxa"/>
            </w:tcMar>
          </w:tcPr>
          <w:p w14:paraId="7EFB37B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069694A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tcBorders>
              <w:top w:val="nil"/>
              <w:left w:val="nil"/>
              <w:bottom w:val="nil"/>
              <w:right w:val="nil"/>
            </w:tcBorders>
            <w:shd w:val="clear" w:color="auto" w:fill="FFFFFF"/>
            <w:tcMar>
              <w:left w:w="60" w:type="dxa"/>
              <w:right w:w="60" w:type="dxa"/>
            </w:tcMar>
          </w:tcPr>
          <w:p w14:paraId="59D24EB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7423BB1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19CC788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75" w:type="pct"/>
            <w:gridSpan w:val="2"/>
            <w:tcBorders>
              <w:top w:val="nil"/>
              <w:left w:val="nil"/>
              <w:bottom w:val="nil"/>
              <w:right w:val="nil"/>
            </w:tcBorders>
            <w:shd w:val="clear" w:color="auto" w:fill="FFFFFF"/>
            <w:tcMar>
              <w:left w:w="60" w:type="dxa"/>
              <w:right w:w="60" w:type="dxa"/>
            </w:tcMar>
          </w:tcPr>
          <w:p w14:paraId="5438CEE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87" w:type="pct"/>
            <w:gridSpan w:val="2"/>
            <w:tcBorders>
              <w:top w:val="nil"/>
              <w:left w:val="nil"/>
              <w:bottom w:val="nil"/>
              <w:right w:val="nil"/>
            </w:tcBorders>
            <w:shd w:val="clear" w:color="auto" w:fill="FFFFFF"/>
            <w:tcMar>
              <w:left w:w="60" w:type="dxa"/>
              <w:right w:w="60" w:type="dxa"/>
            </w:tcMar>
          </w:tcPr>
          <w:p w14:paraId="2266311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w:t>
            </w:r>
          </w:p>
        </w:tc>
      </w:tr>
      <w:tr w:rsidR="002A0F5D" w:rsidRPr="006C68C4" w14:paraId="578974D5"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31F56812"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2EA652BB"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3DC0A1C1"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therapy</w:t>
            </w:r>
          </w:p>
        </w:tc>
        <w:tc>
          <w:tcPr>
            <w:tcW w:w="417" w:type="pct"/>
            <w:tcBorders>
              <w:top w:val="nil"/>
              <w:left w:val="nil"/>
              <w:bottom w:val="nil"/>
              <w:right w:val="nil"/>
            </w:tcBorders>
            <w:shd w:val="clear" w:color="auto" w:fill="FFFFFF"/>
            <w:tcMar>
              <w:left w:w="60" w:type="dxa"/>
              <w:right w:w="60" w:type="dxa"/>
            </w:tcMar>
          </w:tcPr>
          <w:p w14:paraId="220A507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w:t>
            </w:r>
          </w:p>
        </w:tc>
        <w:tc>
          <w:tcPr>
            <w:tcW w:w="414" w:type="pct"/>
            <w:tcBorders>
              <w:top w:val="nil"/>
              <w:left w:val="nil"/>
              <w:bottom w:val="nil"/>
              <w:right w:val="nil"/>
            </w:tcBorders>
            <w:shd w:val="clear" w:color="auto" w:fill="FFFFFF"/>
            <w:tcMar>
              <w:left w:w="60" w:type="dxa"/>
              <w:right w:w="60" w:type="dxa"/>
            </w:tcMar>
          </w:tcPr>
          <w:p w14:paraId="00BCC50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w:t>
            </w:r>
          </w:p>
        </w:tc>
        <w:tc>
          <w:tcPr>
            <w:tcW w:w="417" w:type="pct"/>
            <w:tcBorders>
              <w:top w:val="nil"/>
              <w:left w:val="nil"/>
              <w:bottom w:val="nil"/>
              <w:right w:val="nil"/>
            </w:tcBorders>
            <w:shd w:val="clear" w:color="auto" w:fill="FFFFFF"/>
            <w:tcMar>
              <w:left w:w="60" w:type="dxa"/>
              <w:right w:w="60" w:type="dxa"/>
            </w:tcMar>
          </w:tcPr>
          <w:p w14:paraId="64DFB6C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70" w:type="pct"/>
            <w:tcBorders>
              <w:top w:val="nil"/>
              <w:left w:val="nil"/>
              <w:bottom w:val="nil"/>
              <w:right w:val="nil"/>
            </w:tcBorders>
            <w:shd w:val="clear" w:color="auto" w:fill="FFFFFF"/>
            <w:tcMar>
              <w:left w:w="60" w:type="dxa"/>
              <w:right w:w="60" w:type="dxa"/>
            </w:tcMar>
          </w:tcPr>
          <w:p w14:paraId="75738ED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17" w:type="pct"/>
            <w:tcBorders>
              <w:top w:val="nil"/>
              <w:left w:val="nil"/>
              <w:bottom w:val="nil"/>
              <w:right w:val="nil"/>
            </w:tcBorders>
            <w:shd w:val="clear" w:color="auto" w:fill="FFFFFF"/>
            <w:tcMar>
              <w:left w:w="60" w:type="dxa"/>
              <w:right w:w="60" w:type="dxa"/>
            </w:tcMar>
          </w:tcPr>
          <w:p w14:paraId="6D3C9DC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497DF84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00AA373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87" w:type="pct"/>
            <w:gridSpan w:val="2"/>
            <w:tcBorders>
              <w:top w:val="nil"/>
              <w:left w:val="nil"/>
              <w:bottom w:val="nil"/>
              <w:right w:val="nil"/>
            </w:tcBorders>
            <w:shd w:val="clear" w:color="auto" w:fill="FFFFFF"/>
            <w:tcMar>
              <w:left w:w="60" w:type="dxa"/>
              <w:right w:w="60" w:type="dxa"/>
            </w:tcMar>
          </w:tcPr>
          <w:p w14:paraId="1D155C7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w:t>
            </w:r>
          </w:p>
        </w:tc>
      </w:tr>
      <w:tr w:rsidR="002A0F5D" w:rsidRPr="006C68C4" w14:paraId="307F3EFD"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4F5403C8"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6521DD21"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5F2D3425"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follow-up</w:t>
            </w:r>
          </w:p>
        </w:tc>
        <w:tc>
          <w:tcPr>
            <w:tcW w:w="417" w:type="pct"/>
            <w:tcBorders>
              <w:top w:val="nil"/>
              <w:left w:val="nil"/>
              <w:bottom w:val="nil"/>
              <w:right w:val="nil"/>
            </w:tcBorders>
            <w:shd w:val="clear" w:color="auto" w:fill="FFFFFF"/>
            <w:tcMar>
              <w:left w:w="60" w:type="dxa"/>
              <w:right w:w="60" w:type="dxa"/>
            </w:tcMar>
          </w:tcPr>
          <w:p w14:paraId="643664A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37</w:t>
            </w:r>
          </w:p>
        </w:tc>
        <w:tc>
          <w:tcPr>
            <w:tcW w:w="414" w:type="pct"/>
            <w:tcBorders>
              <w:top w:val="nil"/>
              <w:left w:val="nil"/>
              <w:bottom w:val="nil"/>
              <w:right w:val="nil"/>
            </w:tcBorders>
            <w:shd w:val="clear" w:color="auto" w:fill="FFFFFF"/>
            <w:tcMar>
              <w:left w:w="60" w:type="dxa"/>
              <w:right w:w="60" w:type="dxa"/>
            </w:tcMar>
          </w:tcPr>
          <w:p w14:paraId="15BF51A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11</w:t>
            </w:r>
          </w:p>
        </w:tc>
        <w:tc>
          <w:tcPr>
            <w:tcW w:w="417" w:type="pct"/>
            <w:tcBorders>
              <w:top w:val="nil"/>
              <w:left w:val="nil"/>
              <w:bottom w:val="nil"/>
              <w:right w:val="nil"/>
            </w:tcBorders>
            <w:shd w:val="clear" w:color="auto" w:fill="FFFFFF"/>
            <w:tcMar>
              <w:left w:w="60" w:type="dxa"/>
              <w:right w:w="60" w:type="dxa"/>
            </w:tcMar>
          </w:tcPr>
          <w:p w14:paraId="67AB387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w:t>
            </w:r>
          </w:p>
        </w:tc>
        <w:tc>
          <w:tcPr>
            <w:tcW w:w="370" w:type="pct"/>
            <w:tcBorders>
              <w:top w:val="nil"/>
              <w:left w:val="nil"/>
              <w:bottom w:val="nil"/>
              <w:right w:val="nil"/>
            </w:tcBorders>
            <w:shd w:val="clear" w:color="auto" w:fill="FFFFFF"/>
            <w:tcMar>
              <w:left w:w="60" w:type="dxa"/>
              <w:right w:w="60" w:type="dxa"/>
            </w:tcMar>
          </w:tcPr>
          <w:p w14:paraId="2EA3440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417" w:type="pct"/>
            <w:tcBorders>
              <w:top w:val="nil"/>
              <w:left w:val="nil"/>
              <w:bottom w:val="nil"/>
              <w:right w:val="nil"/>
            </w:tcBorders>
            <w:shd w:val="clear" w:color="auto" w:fill="FFFFFF"/>
            <w:tcMar>
              <w:left w:w="60" w:type="dxa"/>
              <w:right w:w="60" w:type="dxa"/>
            </w:tcMar>
          </w:tcPr>
          <w:p w14:paraId="48752C2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522C118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w:t>
            </w:r>
          </w:p>
        </w:tc>
        <w:tc>
          <w:tcPr>
            <w:tcW w:w="375" w:type="pct"/>
            <w:gridSpan w:val="2"/>
            <w:tcBorders>
              <w:top w:val="nil"/>
              <w:left w:val="nil"/>
              <w:bottom w:val="nil"/>
              <w:right w:val="nil"/>
            </w:tcBorders>
            <w:shd w:val="clear" w:color="auto" w:fill="FFFFFF"/>
            <w:tcMar>
              <w:left w:w="60" w:type="dxa"/>
              <w:right w:w="60" w:type="dxa"/>
            </w:tcMar>
          </w:tcPr>
          <w:p w14:paraId="7FA8A8A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15</w:t>
            </w:r>
          </w:p>
        </w:tc>
        <w:tc>
          <w:tcPr>
            <w:tcW w:w="387" w:type="pct"/>
            <w:gridSpan w:val="2"/>
            <w:tcBorders>
              <w:top w:val="nil"/>
              <w:left w:val="nil"/>
              <w:bottom w:val="nil"/>
              <w:right w:val="nil"/>
            </w:tcBorders>
            <w:shd w:val="clear" w:color="auto" w:fill="FFFFFF"/>
            <w:tcMar>
              <w:left w:w="60" w:type="dxa"/>
              <w:right w:w="60" w:type="dxa"/>
            </w:tcMar>
          </w:tcPr>
          <w:p w14:paraId="045AF54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84</w:t>
            </w:r>
          </w:p>
        </w:tc>
      </w:tr>
      <w:tr w:rsidR="002A0F5D" w:rsidRPr="006C68C4" w14:paraId="4513D6D7"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1CA0463B"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4BB30280"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2D73C3C4" w14:textId="67926EEA"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 xml:space="preserve">End of Data </w:t>
            </w:r>
            <w:proofErr w:type="spellStart"/>
            <w:r w:rsidRPr="006C68C4">
              <w:rPr>
                <w:rFonts w:ascii="Arial" w:hAnsi="Arial" w:cs="Arial"/>
                <w:color w:val="000000"/>
                <w:sz w:val="18"/>
                <w:szCs w:val="18"/>
              </w:rPr>
              <w:t>Availability</w:t>
            </w:r>
            <w:proofErr w:type="spellEnd"/>
            <w:r w:rsidR="000205ED">
              <w:rPr>
                <w:rFonts w:ascii="Arial" w:hAnsi="Arial" w:cs="Arial"/>
                <w:color w:val="000000"/>
                <w:sz w:val="18"/>
                <w:szCs w:val="18"/>
                <w:vertAlign w:val="superscript"/>
              </w:rPr>
              <w:t>[‡]</w:t>
            </w:r>
          </w:p>
        </w:tc>
        <w:tc>
          <w:tcPr>
            <w:tcW w:w="417" w:type="pct"/>
            <w:tcBorders>
              <w:top w:val="nil"/>
              <w:left w:val="nil"/>
              <w:bottom w:val="nil"/>
              <w:right w:val="nil"/>
            </w:tcBorders>
            <w:shd w:val="clear" w:color="auto" w:fill="FFFFFF"/>
            <w:tcMar>
              <w:left w:w="60" w:type="dxa"/>
              <w:right w:w="60" w:type="dxa"/>
            </w:tcMar>
          </w:tcPr>
          <w:p w14:paraId="4D29F2D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14" w:type="pct"/>
            <w:tcBorders>
              <w:top w:val="nil"/>
              <w:left w:val="nil"/>
              <w:bottom w:val="nil"/>
              <w:right w:val="nil"/>
            </w:tcBorders>
            <w:shd w:val="clear" w:color="auto" w:fill="FFFFFF"/>
            <w:tcMar>
              <w:left w:w="60" w:type="dxa"/>
              <w:right w:w="60" w:type="dxa"/>
            </w:tcMar>
          </w:tcPr>
          <w:p w14:paraId="5D553A1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29A2F32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tcBorders>
              <w:top w:val="nil"/>
              <w:left w:val="nil"/>
              <w:bottom w:val="nil"/>
              <w:right w:val="nil"/>
            </w:tcBorders>
            <w:shd w:val="clear" w:color="auto" w:fill="FFFFFF"/>
            <w:tcMar>
              <w:left w:w="60" w:type="dxa"/>
              <w:right w:w="60" w:type="dxa"/>
            </w:tcMar>
          </w:tcPr>
          <w:p w14:paraId="6B56F4B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01F7BAC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17C4F5C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7A14ACF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87" w:type="pct"/>
            <w:gridSpan w:val="2"/>
            <w:tcBorders>
              <w:top w:val="nil"/>
              <w:left w:val="nil"/>
              <w:bottom w:val="nil"/>
              <w:right w:val="nil"/>
            </w:tcBorders>
            <w:shd w:val="clear" w:color="auto" w:fill="FFFFFF"/>
            <w:tcMar>
              <w:left w:w="60" w:type="dxa"/>
              <w:right w:w="60" w:type="dxa"/>
            </w:tcMar>
          </w:tcPr>
          <w:p w14:paraId="063BF43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r>
      <w:tr w:rsidR="002A0F5D" w:rsidRPr="006C68C4" w14:paraId="5DC39884"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2525C42F"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24 months after Maintenance Date</w:t>
            </w:r>
          </w:p>
        </w:tc>
        <w:tc>
          <w:tcPr>
            <w:tcW w:w="554" w:type="pct"/>
            <w:tcBorders>
              <w:top w:val="nil"/>
              <w:left w:val="nil"/>
              <w:bottom w:val="nil"/>
              <w:right w:val="nil"/>
            </w:tcBorders>
            <w:shd w:val="clear" w:color="auto" w:fill="FFFFFF"/>
            <w:tcMar>
              <w:left w:w="60" w:type="dxa"/>
              <w:right w:w="60" w:type="dxa"/>
            </w:tcMar>
          </w:tcPr>
          <w:p w14:paraId="34E3FCE4"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In Study</w:t>
            </w:r>
          </w:p>
        </w:tc>
        <w:tc>
          <w:tcPr>
            <w:tcW w:w="692" w:type="pct"/>
            <w:tcBorders>
              <w:top w:val="nil"/>
              <w:left w:val="nil"/>
              <w:bottom w:val="nil"/>
              <w:right w:val="nil"/>
            </w:tcBorders>
            <w:shd w:val="clear" w:color="auto" w:fill="FFFFFF"/>
            <w:tcMar>
              <w:left w:w="60" w:type="dxa"/>
              <w:right w:w="60" w:type="dxa"/>
            </w:tcMar>
          </w:tcPr>
          <w:p w14:paraId="29698B0D"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nil"/>
              <w:left w:val="nil"/>
              <w:bottom w:val="nil"/>
              <w:right w:val="nil"/>
            </w:tcBorders>
            <w:shd w:val="clear" w:color="auto" w:fill="FFFFFF"/>
            <w:tcMar>
              <w:left w:w="60" w:type="dxa"/>
              <w:right w:w="60" w:type="dxa"/>
            </w:tcMar>
          </w:tcPr>
          <w:p w14:paraId="51082B7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31 (43.66%)</w:t>
            </w:r>
          </w:p>
        </w:tc>
        <w:tc>
          <w:tcPr>
            <w:tcW w:w="414" w:type="pct"/>
            <w:tcBorders>
              <w:top w:val="nil"/>
              <w:left w:val="nil"/>
              <w:bottom w:val="nil"/>
              <w:right w:val="nil"/>
            </w:tcBorders>
            <w:shd w:val="clear" w:color="auto" w:fill="FFFFFF"/>
            <w:tcMar>
              <w:left w:w="60" w:type="dxa"/>
              <w:right w:w="60" w:type="dxa"/>
            </w:tcMar>
          </w:tcPr>
          <w:p w14:paraId="41795C5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14 (63.64%)</w:t>
            </w:r>
          </w:p>
        </w:tc>
        <w:tc>
          <w:tcPr>
            <w:tcW w:w="417" w:type="pct"/>
            <w:tcBorders>
              <w:top w:val="nil"/>
              <w:left w:val="nil"/>
              <w:bottom w:val="nil"/>
              <w:right w:val="nil"/>
            </w:tcBorders>
            <w:shd w:val="clear" w:color="auto" w:fill="FFFFFF"/>
            <w:tcMar>
              <w:left w:w="60" w:type="dxa"/>
              <w:right w:w="60" w:type="dxa"/>
            </w:tcMar>
          </w:tcPr>
          <w:p w14:paraId="67D827B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 (57.14%)</w:t>
            </w:r>
          </w:p>
        </w:tc>
        <w:tc>
          <w:tcPr>
            <w:tcW w:w="370" w:type="pct"/>
            <w:tcBorders>
              <w:top w:val="nil"/>
              <w:left w:val="nil"/>
              <w:bottom w:val="nil"/>
              <w:right w:val="nil"/>
            </w:tcBorders>
            <w:shd w:val="clear" w:color="auto" w:fill="FFFFFF"/>
            <w:tcMar>
              <w:left w:w="60" w:type="dxa"/>
              <w:right w:w="60" w:type="dxa"/>
            </w:tcMar>
          </w:tcPr>
          <w:p w14:paraId="6A791EA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 (40%)</w:t>
            </w:r>
          </w:p>
        </w:tc>
        <w:tc>
          <w:tcPr>
            <w:tcW w:w="417" w:type="pct"/>
            <w:tcBorders>
              <w:top w:val="nil"/>
              <w:left w:val="nil"/>
              <w:bottom w:val="nil"/>
              <w:right w:val="nil"/>
            </w:tcBorders>
            <w:shd w:val="clear" w:color="auto" w:fill="FFFFFF"/>
            <w:tcMar>
              <w:left w:w="60" w:type="dxa"/>
              <w:right w:w="60" w:type="dxa"/>
            </w:tcMar>
          </w:tcPr>
          <w:p w14:paraId="4398DD5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04" w:type="pct"/>
            <w:tcBorders>
              <w:top w:val="nil"/>
              <w:left w:val="nil"/>
              <w:bottom w:val="nil"/>
              <w:right w:val="nil"/>
            </w:tcBorders>
            <w:shd w:val="clear" w:color="auto" w:fill="FFFFFF"/>
            <w:tcMar>
              <w:left w:w="60" w:type="dxa"/>
              <w:right w:w="60" w:type="dxa"/>
            </w:tcMar>
          </w:tcPr>
          <w:p w14:paraId="5A6FCD5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375" w:type="pct"/>
            <w:gridSpan w:val="2"/>
            <w:tcBorders>
              <w:top w:val="nil"/>
              <w:left w:val="nil"/>
              <w:bottom w:val="nil"/>
              <w:right w:val="nil"/>
            </w:tcBorders>
            <w:shd w:val="clear" w:color="auto" w:fill="FFFFFF"/>
            <w:tcMar>
              <w:left w:w="60" w:type="dxa"/>
              <w:right w:w="60" w:type="dxa"/>
            </w:tcMar>
          </w:tcPr>
          <w:p w14:paraId="0E26273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6 (60%)</w:t>
            </w:r>
          </w:p>
        </w:tc>
        <w:tc>
          <w:tcPr>
            <w:tcW w:w="387" w:type="pct"/>
            <w:gridSpan w:val="2"/>
            <w:tcBorders>
              <w:top w:val="nil"/>
              <w:left w:val="nil"/>
              <w:bottom w:val="nil"/>
              <w:right w:val="nil"/>
            </w:tcBorders>
            <w:shd w:val="clear" w:color="auto" w:fill="FFFFFF"/>
            <w:tcMar>
              <w:left w:w="60" w:type="dxa"/>
              <w:right w:w="60" w:type="dxa"/>
            </w:tcMar>
          </w:tcPr>
          <w:p w14:paraId="68BAB52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61 (50%)</w:t>
            </w:r>
          </w:p>
        </w:tc>
      </w:tr>
      <w:tr w:rsidR="002A0F5D" w:rsidRPr="006C68C4" w14:paraId="44BF44D2"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33BEDE84"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3C6B2A45"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Study discontinued, n (%)</w:t>
            </w:r>
          </w:p>
        </w:tc>
        <w:tc>
          <w:tcPr>
            <w:tcW w:w="692" w:type="pct"/>
            <w:tcBorders>
              <w:top w:val="nil"/>
              <w:left w:val="nil"/>
              <w:bottom w:val="nil"/>
              <w:right w:val="nil"/>
            </w:tcBorders>
            <w:shd w:val="clear" w:color="auto" w:fill="FFFFFF"/>
            <w:tcMar>
              <w:left w:w="60" w:type="dxa"/>
              <w:right w:w="60" w:type="dxa"/>
            </w:tcMar>
          </w:tcPr>
          <w:p w14:paraId="76417B5F"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nil"/>
              <w:left w:val="nil"/>
              <w:bottom w:val="nil"/>
              <w:right w:val="nil"/>
            </w:tcBorders>
            <w:shd w:val="clear" w:color="auto" w:fill="FFFFFF"/>
            <w:tcMar>
              <w:left w:w="60" w:type="dxa"/>
              <w:right w:w="60" w:type="dxa"/>
            </w:tcMar>
          </w:tcPr>
          <w:p w14:paraId="4926D15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40 (56.34%)</w:t>
            </w:r>
          </w:p>
        </w:tc>
        <w:tc>
          <w:tcPr>
            <w:tcW w:w="414" w:type="pct"/>
            <w:tcBorders>
              <w:top w:val="nil"/>
              <w:left w:val="nil"/>
              <w:bottom w:val="nil"/>
              <w:right w:val="nil"/>
            </w:tcBorders>
            <w:shd w:val="clear" w:color="auto" w:fill="FFFFFF"/>
            <w:tcMar>
              <w:left w:w="60" w:type="dxa"/>
              <w:right w:w="60" w:type="dxa"/>
            </w:tcMar>
          </w:tcPr>
          <w:p w14:paraId="7139CAB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 (36.36%)</w:t>
            </w:r>
          </w:p>
        </w:tc>
        <w:tc>
          <w:tcPr>
            <w:tcW w:w="417" w:type="pct"/>
            <w:tcBorders>
              <w:top w:val="nil"/>
              <w:left w:val="nil"/>
              <w:bottom w:val="nil"/>
              <w:right w:val="nil"/>
            </w:tcBorders>
            <w:shd w:val="clear" w:color="auto" w:fill="FFFFFF"/>
            <w:tcMar>
              <w:left w:w="60" w:type="dxa"/>
              <w:right w:w="60" w:type="dxa"/>
            </w:tcMar>
          </w:tcPr>
          <w:p w14:paraId="512400E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6 (42.86%)</w:t>
            </w:r>
          </w:p>
        </w:tc>
        <w:tc>
          <w:tcPr>
            <w:tcW w:w="370" w:type="pct"/>
            <w:tcBorders>
              <w:top w:val="nil"/>
              <w:left w:val="nil"/>
              <w:bottom w:val="nil"/>
              <w:right w:val="nil"/>
            </w:tcBorders>
            <w:shd w:val="clear" w:color="auto" w:fill="FFFFFF"/>
            <w:tcMar>
              <w:left w:w="60" w:type="dxa"/>
              <w:right w:w="60" w:type="dxa"/>
            </w:tcMar>
          </w:tcPr>
          <w:p w14:paraId="6D43F0D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 (60%)</w:t>
            </w:r>
          </w:p>
        </w:tc>
        <w:tc>
          <w:tcPr>
            <w:tcW w:w="417" w:type="pct"/>
            <w:tcBorders>
              <w:top w:val="nil"/>
              <w:left w:val="nil"/>
              <w:bottom w:val="nil"/>
              <w:right w:val="nil"/>
            </w:tcBorders>
            <w:shd w:val="clear" w:color="auto" w:fill="FFFFFF"/>
            <w:tcMar>
              <w:left w:w="60" w:type="dxa"/>
              <w:right w:w="60" w:type="dxa"/>
            </w:tcMar>
          </w:tcPr>
          <w:p w14:paraId="627B4E2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04" w:type="pct"/>
            <w:tcBorders>
              <w:top w:val="nil"/>
              <w:left w:val="nil"/>
              <w:bottom w:val="nil"/>
              <w:right w:val="nil"/>
            </w:tcBorders>
            <w:shd w:val="clear" w:color="auto" w:fill="FFFFFF"/>
            <w:tcMar>
              <w:left w:w="60" w:type="dxa"/>
              <w:right w:w="60" w:type="dxa"/>
            </w:tcMar>
          </w:tcPr>
          <w:p w14:paraId="2F723DA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375" w:type="pct"/>
            <w:gridSpan w:val="2"/>
            <w:tcBorders>
              <w:top w:val="nil"/>
              <w:left w:val="nil"/>
              <w:bottom w:val="nil"/>
              <w:right w:val="nil"/>
            </w:tcBorders>
            <w:shd w:val="clear" w:color="auto" w:fill="FFFFFF"/>
            <w:tcMar>
              <w:left w:w="60" w:type="dxa"/>
              <w:right w:w="60" w:type="dxa"/>
            </w:tcMar>
          </w:tcPr>
          <w:p w14:paraId="4CB429C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 (40%)</w:t>
            </w:r>
          </w:p>
        </w:tc>
        <w:tc>
          <w:tcPr>
            <w:tcW w:w="387" w:type="pct"/>
            <w:gridSpan w:val="2"/>
            <w:tcBorders>
              <w:top w:val="nil"/>
              <w:left w:val="nil"/>
              <w:bottom w:val="nil"/>
              <w:right w:val="nil"/>
            </w:tcBorders>
            <w:shd w:val="clear" w:color="auto" w:fill="FFFFFF"/>
            <w:tcMar>
              <w:left w:w="60" w:type="dxa"/>
              <w:right w:w="60" w:type="dxa"/>
            </w:tcMar>
          </w:tcPr>
          <w:p w14:paraId="36B47A2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61 (50%)</w:t>
            </w:r>
          </w:p>
        </w:tc>
      </w:tr>
      <w:tr w:rsidR="002A0F5D" w:rsidRPr="006C68C4" w14:paraId="50BB4BD8"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78C00287"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792DF7DD"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738ADF2E"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Drug Switch</w:t>
            </w:r>
          </w:p>
        </w:tc>
        <w:tc>
          <w:tcPr>
            <w:tcW w:w="417" w:type="pct"/>
            <w:tcBorders>
              <w:top w:val="nil"/>
              <w:left w:val="nil"/>
              <w:bottom w:val="nil"/>
              <w:right w:val="nil"/>
            </w:tcBorders>
            <w:shd w:val="clear" w:color="auto" w:fill="FFFFFF"/>
            <w:tcMar>
              <w:left w:w="60" w:type="dxa"/>
              <w:right w:w="60" w:type="dxa"/>
            </w:tcMar>
          </w:tcPr>
          <w:p w14:paraId="31A0D85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14" w:type="pct"/>
            <w:tcBorders>
              <w:top w:val="nil"/>
              <w:left w:val="nil"/>
              <w:bottom w:val="nil"/>
              <w:right w:val="nil"/>
            </w:tcBorders>
            <w:shd w:val="clear" w:color="auto" w:fill="FFFFFF"/>
            <w:tcMar>
              <w:left w:w="60" w:type="dxa"/>
              <w:right w:w="60" w:type="dxa"/>
            </w:tcMar>
          </w:tcPr>
          <w:p w14:paraId="0297E8A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18C53C3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tcBorders>
              <w:top w:val="nil"/>
              <w:left w:val="nil"/>
              <w:bottom w:val="nil"/>
              <w:right w:val="nil"/>
            </w:tcBorders>
            <w:shd w:val="clear" w:color="auto" w:fill="FFFFFF"/>
            <w:tcMar>
              <w:left w:w="60" w:type="dxa"/>
              <w:right w:w="60" w:type="dxa"/>
            </w:tcMar>
          </w:tcPr>
          <w:p w14:paraId="61A3D2E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64DE353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3BAB73C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3B84ED5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87" w:type="pct"/>
            <w:gridSpan w:val="2"/>
            <w:tcBorders>
              <w:top w:val="nil"/>
              <w:left w:val="nil"/>
              <w:bottom w:val="nil"/>
              <w:right w:val="nil"/>
            </w:tcBorders>
            <w:shd w:val="clear" w:color="auto" w:fill="FFFFFF"/>
            <w:tcMar>
              <w:left w:w="60" w:type="dxa"/>
              <w:right w:w="60" w:type="dxa"/>
            </w:tcMar>
          </w:tcPr>
          <w:p w14:paraId="7590D7F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r>
      <w:tr w:rsidR="002A0F5D" w:rsidRPr="006C68C4" w14:paraId="1C9FA3E4"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3C598133"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50BE524D"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30682678"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therapy</w:t>
            </w:r>
          </w:p>
        </w:tc>
        <w:tc>
          <w:tcPr>
            <w:tcW w:w="417" w:type="pct"/>
            <w:tcBorders>
              <w:top w:val="nil"/>
              <w:left w:val="nil"/>
              <w:bottom w:val="nil"/>
              <w:right w:val="nil"/>
            </w:tcBorders>
            <w:shd w:val="clear" w:color="auto" w:fill="FFFFFF"/>
            <w:tcMar>
              <w:left w:w="60" w:type="dxa"/>
              <w:right w:w="60" w:type="dxa"/>
            </w:tcMar>
          </w:tcPr>
          <w:p w14:paraId="2698A2E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w:t>
            </w:r>
          </w:p>
        </w:tc>
        <w:tc>
          <w:tcPr>
            <w:tcW w:w="414" w:type="pct"/>
            <w:tcBorders>
              <w:top w:val="nil"/>
              <w:left w:val="nil"/>
              <w:bottom w:val="nil"/>
              <w:right w:val="nil"/>
            </w:tcBorders>
            <w:shd w:val="clear" w:color="auto" w:fill="FFFFFF"/>
            <w:tcMar>
              <w:left w:w="60" w:type="dxa"/>
              <w:right w:w="60" w:type="dxa"/>
            </w:tcMar>
          </w:tcPr>
          <w:p w14:paraId="48AE8BE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17" w:type="pct"/>
            <w:tcBorders>
              <w:top w:val="nil"/>
              <w:left w:val="nil"/>
              <w:bottom w:val="nil"/>
              <w:right w:val="nil"/>
            </w:tcBorders>
            <w:shd w:val="clear" w:color="auto" w:fill="FFFFFF"/>
            <w:tcMar>
              <w:left w:w="60" w:type="dxa"/>
              <w:right w:w="60" w:type="dxa"/>
            </w:tcMar>
          </w:tcPr>
          <w:p w14:paraId="6B39ECC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tcBorders>
              <w:top w:val="nil"/>
              <w:left w:val="nil"/>
              <w:bottom w:val="nil"/>
              <w:right w:val="nil"/>
            </w:tcBorders>
            <w:shd w:val="clear" w:color="auto" w:fill="FFFFFF"/>
            <w:tcMar>
              <w:left w:w="60" w:type="dxa"/>
              <w:right w:w="60" w:type="dxa"/>
            </w:tcMar>
          </w:tcPr>
          <w:p w14:paraId="283DF35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6BAD81C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7A59D24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62E556E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87" w:type="pct"/>
            <w:gridSpan w:val="2"/>
            <w:tcBorders>
              <w:top w:val="nil"/>
              <w:left w:val="nil"/>
              <w:bottom w:val="nil"/>
              <w:right w:val="nil"/>
            </w:tcBorders>
            <w:shd w:val="clear" w:color="auto" w:fill="FFFFFF"/>
            <w:tcMar>
              <w:left w:w="60" w:type="dxa"/>
              <w:right w:w="60" w:type="dxa"/>
            </w:tcMar>
          </w:tcPr>
          <w:p w14:paraId="13436C5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w:t>
            </w:r>
          </w:p>
        </w:tc>
      </w:tr>
      <w:tr w:rsidR="002A0F5D" w:rsidRPr="006C68C4" w14:paraId="729B4BB3"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335F1F58"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634251AD"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02444A78"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follow-up</w:t>
            </w:r>
          </w:p>
        </w:tc>
        <w:tc>
          <w:tcPr>
            <w:tcW w:w="417" w:type="pct"/>
            <w:tcBorders>
              <w:top w:val="nil"/>
              <w:left w:val="nil"/>
              <w:bottom w:val="nil"/>
              <w:right w:val="nil"/>
            </w:tcBorders>
            <w:shd w:val="clear" w:color="auto" w:fill="FFFFFF"/>
            <w:tcMar>
              <w:left w:w="60" w:type="dxa"/>
              <w:right w:w="60" w:type="dxa"/>
            </w:tcMar>
          </w:tcPr>
          <w:p w14:paraId="10E9914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31</w:t>
            </w:r>
          </w:p>
        </w:tc>
        <w:tc>
          <w:tcPr>
            <w:tcW w:w="414" w:type="pct"/>
            <w:tcBorders>
              <w:top w:val="nil"/>
              <w:left w:val="nil"/>
              <w:bottom w:val="nil"/>
              <w:right w:val="nil"/>
            </w:tcBorders>
            <w:shd w:val="clear" w:color="auto" w:fill="FFFFFF"/>
            <w:tcMar>
              <w:left w:w="60" w:type="dxa"/>
              <w:right w:w="60" w:type="dxa"/>
            </w:tcMar>
          </w:tcPr>
          <w:p w14:paraId="6B77D0D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w:t>
            </w:r>
          </w:p>
        </w:tc>
        <w:tc>
          <w:tcPr>
            <w:tcW w:w="417" w:type="pct"/>
            <w:tcBorders>
              <w:top w:val="nil"/>
              <w:left w:val="nil"/>
              <w:bottom w:val="nil"/>
              <w:right w:val="nil"/>
            </w:tcBorders>
            <w:shd w:val="clear" w:color="auto" w:fill="FFFFFF"/>
            <w:tcMar>
              <w:left w:w="60" w:type="dxa"/>
              <w:right w:w="60" w:type="dxa"/>
            </w:tcMar>
          </w:tcPr>
          <w:p w14:paraId="6E9312A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6</w:t>
            </w:r>
          </w:p>
        </w:tc>
        <w:tc>
          <w:tcPr>
            <w:tcW w:w="370" w:type="pct"/>
            <w:tcBorders>
              <w:top w:val="nil"/>
              <w:left w:val="nil"/>
              <w:bottom w:val="nil"/>
              <w:right w:val="nil"/>
            </w:tcBorders>
            <w:shd w:val="clear" w:color="auto" w:fill="FFFFFF"/>
            <w:tcMar>
              <w:left w:w="60" w:type="dxa"/>
              <w:right w:w="60" w:type="dxa"/>
            </w:tcMar>
          </w:tcPr>
          <w:p w14:paraId="1B4089E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w:t>
            </w:r>
          </w:p>
        </w:tc>
        <w:tc>
          <w:tcPr>
            <w:tcW w:w="417" w:type="pct"/>
            <w:tcBorders>
              <w:top w:val="nil"/>
              <w:left w:val="nil"/>
              <w:bottom w:val="nil"/>
              <w:right w:val="nil"/>
            </w:tcBorders>
            <w:shd w:val="clear" w:color="auto" w:fill="FFFFFF"/>
            <w:tcMar>
              <w:left w:w="60" w:type="dxa"/>
              <w:right w:w="60" w:type="dxa"/>
            </w:tcMar>
          </w:tcPr>
          <w:p w14:paraId="15F85EE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745CBB6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248E13D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w:t>
            </w:r>
          </w:p>
        </w:tc>
        <w:tc>
          <w:tcPr>
            <w:tcW w:w="387" w:type="pct"/>
            <w:gridSpan w:val="2"/>
            <w:tcBorders>
              <w:top w:val="nil"/>
              <w:left w:val="nil"/>
              <w:bottom w:val="nil"/>
              <w:right w:val="nil"/>
            </w:tcBorders>
            <w:shd w:val="clear" w:color="auto" w:fill="FFFFFF"/>
            <w:tcMar>
              <w:left w:w="60" w:type="dxa"/>
              <w:right w:w="60" w:type="dxa"/>
            </w:tcMar>
          </w:tcPr>
          <w:p w14:paraId="799C0C9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51</w:t>
            </w:r>
          </w:p>
        </w:tc>
      </w:tr>
      <w:tr w:rsidR="002A0F5D" w:rsidRPr="006C68C4" w14:paraId="31D43082"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4AB40C3C"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78463D86"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39B334D1" w14:textId="19B5FD08"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 xml:space="preserve">End of Data </w:t>
            </w:r>
            <w:proofErr w:type="spellStart"/>
            <w:r w:rsidRPr="006C68C4">
              <w:rPr>
                <w:rFonts w:ascii="Arial" w:hAnsi="Arial" w:cs="Arial"/>
                <w:color w:val="000000"/>
                <w:sz w:val="18"/>
                <w:szCs w:val="18"/>
              </w:rPr>
              <w:t>Availability</w:t>
            </w:r>
            <w:proofErr w:type="spellEnd"/>
            <w:r w:rsidR="000205ED">
              <w:rPr>
                <w:rFonts w:ascii="Arial" w:hAnsi="Arial" w:cs="Arial"/>
                <w:color w:val="000000"/>
                <w:sz w:val="18"/>
                <w:szCs w:val="18"/>
                <w:vertAlign w:val="superscript"/>
              </w:rPr>
              <w:t>[‡]</w:t>
            </w:r>
          </w:p>
        </w:tc>
        <w:tc>
          <w:tcPr>
            <w:tcW w:w="417" w:type="pct"/>
            <w:tcBorders>
              <w:top w:val="nil"/>
              <w:left w:val="nil"/>
              <w:bottom w:val="nil"/>
              <w:right w:val="nil"/>
            </w:tcBorders>
            <w:shd w:val="clear" w:color="auto" w:fill="FFFFFF"/>
            <w:tcMar>
              <w:left w:w="60" w:type="dxa"/>
              <w:right w:w="60" w:type="dxa"/>
            </w:tcMar>
          </w:tcPr>
          <w:p w14:paraId="2AFE089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4" w:type="pct"/>
            <w:tcBorders>
              <w:top w:val="nil"/>
              <w:left w:val="nil"/>
              <w:bottom w:val="nil"/>
              <w:right w:val="nil"/>
            </w:tcBorders>
            <w:shd w:val="clear" w:color="auto" w:fill="FFFFFF"/>
            <w:tcMar>
              <w:left w:w="60" w:type="dxa"/>
              <w:right w:w="60" w:type="dxa"/>
            </w:tcMar>
          </w:tcPr>
          <w:p w14:paraId="6E9BB04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65C6EC4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tcBorders>
              <w:top w:val="nil"/>
              <w:left w:val="nil"/>
              <w:bottom w:val="nil"/>
              <w:right w:val="nil"/>
            </w:tcBorders>
            <w:shd w:val="clear" w:color="auto" w:fill="FFFFFF"/>
            <w:tcMar>
              <w:left w:w="60" w:type="dxa"/>
              <w:right w:w="60" w:type="dxa"/>
            </w:tcMar>
          </w:tcPr>
          <w:p w14:paraId="1B62970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3049262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0149D05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07CA13C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87" w:type="pct"/>
            <w:gridSpan w:val="2"/>
            <w:tcBorders>
              <w:top w:val="nil"/>
              <w:left w:val="nil"/>
              <w:bottom w:val="nil"/>
              <w:right w:val="nil"/>
            </w:tcBorders>
            <w:shd w:val="clear" w:color="auto" w:fill="FFFFFF"/>
            <w:tcMar>
              <w:left w:w="60" w:type="dxa"/>
              <w:right w:w="60" w:type="dxa"/>
            </w:tcMar>
          </w:tcPr>
          <w:p w14:paraId="6E64F33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r>
      <w:tr w:rsidR="002A0F5D" w:rsidRPr="006C68C4" w14:paraId="64326035"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3455B615"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573708B6"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Study discontinued, n (%)</w:t>
            </w:r>
          </w:p>
        </w:tc>
        <w:tc>
          <w:tcPr>
            <w:tcW w:w="692" w:type="pct"/>
            <w:tcBorders>
              <w:top w:val="nil"/>
              <w:left w:val="nil"/>
              <w:bottom w:val="nil"/>
              <w:right w:val="nil"/>
            </w:tcBorders>
            <w:shd w:val="clear" w:color="auto" w:fill="FFFFFF"/>
            <w:tcMar>
              <w:left w:w="60" w:type="dxa"/>
              <w:right w:w="60" w:type="dxa"/>
            </w:tcMar>
          </w:tcPr>
          <w:p w14:paraId="75561A16"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nil"/>
              <w:left w:val="nil"/>
              <w:bottom w:val="nil"/>
              <w:right w:val="nil"/>
            </w:tcBorders>
            <w:shd w:val="clear" w:color="auto" w:fill="FFFFFF"/>
            <w:tcMar>
              <w:left w:w="60" w:type="dxa"/>
              <w:right w:w="60" w:type="dxa"/>
            </w:tcMar>
          </w:tcPr>
          <w:p w14:paraId="0333B46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31 (100%)</w:t>
            </w:r>
          </w:p>
        </w:tc>
        <w:tc>
          <w:tcPr>
            <w:tcW w:w="414" w:type="pct"/>
            <w:tcBorders>
              <w:top w:val="nil"/>
              <w:left w:val="nil"/>
              <w:bottom w:val="nil"/>
              <w:right w:val="nil"/>
            </w:tcBorders>
            <w:shd w:val="clear" w:color="auto" w:fill="FFFFFF"/>
            <w:tcMar>
              <w:left w:w="60" w:type="dxa"/>
              <w:right w:w="60" w:type="dxa"/>
            </w:tcMar>
          </w:tcPr>
          <w:p w14:paraId="719BC6C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14 (100%)</w:t>
            </w:r>
          </w:p>
        </w:tc>
        <w:tc>
          <w:tcPr>
            <w:tcW w:w="417" w:type="pct"/>
            <w:tcBorders>
              <w:top w:val="nil"/>
              <w:left w:val="nil"/>
              <w:bottom w:val="nil"/>
              <w:right w:val="nil"/>
            </w:tcBorders>
            <w:shd w:val="clear" w:color="auto" w:fill="FFFFFF"/>
            <w:tcMar>
              <w:left w:w="60" w:type="dxa"/>
              <w:right w:w="60" w:type="dxa"/>
            </w:tcMar>
          </w:tcPr>
          <w:p w14:paraId="00259C7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 (100%)</w:t>
            </w:r>
          </w:p>
        </w:tc>
        <w:tc>
          <w:tcPr>
            <w:tcW w:w="370" w:type="pct"/>
            <w:tcBorders>
              <w:top w:val="nil"/>
              <w:left w:val="nil"/>
              <w:bottom w:val="nil"/>
              <w:right w:val="nil"/>
            </w:tcBorders>
            <w:shd w:val="clear" w:color="auto" w:fill="FFFFFF"/>
            <w:tcMar>
              <w:left w:w="60" w:type="dxa"/>
              <w:right w:w="60" w:type="dxa"/>
            </w:tcMar>
          </w:tcPr>
          <w:p w14:paraId="3DF00F1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 (100%)</w:t>
            </w:r>
          </w:p>
        </w:tc>
        <w:tc>
          <w:tcPr>
            <w:tcW w:w="417" w:type="pct"/>
            <w:tcBorders>
              <w:top w:val="nil"/>
              <w:left w:val="nil"/>
              <w:bottom w:val="nil"/>
              <w:right w:val="nil"/>
            </w:tcBorders>
            <w:shd w:val="clear" w:color="auto" w:fill="FFFFFF"/>
            <w:tcMar>
              <w:left w:w="60" w:type="dxa"/>
              <w:right w:w="60" w:type="dxa"/>
            </w:tcMar>
          </w:tcPr>
          <w:p w14:paraId="3D7FD65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04" w:type="pct"/>
            <w:tcBorders>
              <w:top w:val="nil"/>
              <w:left w:val="nil"/>
              <w:bottom w:val="nil"/>
              <w:right w:val="nil"/>
            </w:tcBorders>
            <w:shd w:val="clear" w:color="auto" w:fill="FFFFFF"/>
            <w:tcMar>
              <w:left w:w="60" w:type="dxa"/>
              <w:right w:w="60" w:type="dxa"/>
            </w:tcMar>
          </w:tcPr>
          <w:p w14:paraId="6C4EF94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375" w:type="pct"/>
            <w:gridSpan w:val="2"/>
            <w:tcBorders>
              <w:top w:val="nil"/>
              <w:left w:val="nil"/>
              <w:bottom w:val="nil"/>
              <w:right w:val="nil"/>
            </w:tcBorders>
            <w:shd w:val="clear" w:color="auto" w:fill="FFFFFF"/>
            <w:tcMar>
              <w:left w:w="60" w:type="dxa"/>
              <w:right w:w="60" w:type="dxa"/>
            </w:tcMar>
          </w:tcPr>
          <w:p w14:paraId="2CBD4C8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6 (100%)</w:t>
            </w:r>
          </w:p>
        </w:tc>
        <w:tc>
          <w:tcPr>
            <w:tcW w:w="387" w:type="pct"/>
            <w:gridSpan w:val="2"/>
            <w:tcBorders>
              <w:top w:val="nil"/>
              <w:left w:val="nil"/>
              <w:bottom w:val="nil"/>
              <w:right w:val="nil"/>
            </w:tcBorders>
            <w:shd w:val="clear" w:color="auto" w:fill="FFFFFF"/>
            <w:tcMar>
              <w:left w:w="60" w:type="dxa"/>
              <w:right w:w="60" w:type="dxa"/>
            </w:tcMar>
          </w:tcPr>
          <w:p w14:paraId="752D416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61 (100%)</w:t>
            </w:r>
          </w:p>
        </w:tc>
      </w:tr>
      <w:tr w:rsidR="002A0F5D" w:rsidRPr="006C68C4" w14:paraId="5D9D8A22"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7BA1CB29"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08FBD20B"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3FB5A412"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Drug Switch</w:t>
            </w:r>
          </w:p>
        </w:tc>
        <w:tc>
          <w:tcPr>
            <w:tcW w:w="417" w:type="pct"/>
            <w:tcBorders>
              <w:top w:val="nil"/>
              <w:left w:val="nil"/>
              <w:bottom w:val="nil"/>
              <w:right w:val="nil"/>
            </w:tcBorders>
            <w:shd w:val="clear" w:color="auto" w:fill="FFFFFF"/>
            <w:tcMar>
              <w:left w:w="60" w:type="dxa"/>
              <w:right w:w="60" w:type="dxa"/>
            </w:tcMar>
          </w:tcPr>
          <w:p w14:paraId="3664299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4" w:type="pct"/>
            <w:tcBorders>
              <w:top w:val="nil"/>
              <w:left w:val="nil"/>
              <w:bottom w:val="nil"/>
              <w:right w:val="nil"/>
            </w:tcBorders>
            <w:shd w:val="clear" w:color="auto" w:fill="FFFFFF"/>
            <w:tcMar>
              <w:left w:w="60" w:type="dxa"/>
              <w:right w:w="60" w:type="dxa"/>
            </w:tcMar>
          </w:tcPr>
          <w:p w14:paraId="3B9C8B0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17" w:type="pct"/>
            <w:tcBorders>
              <w:top w:val="nil"/>
              <w:left w:val="nil"/>
              <w:bottom w:val="nil"/>
              <w:right w:val="nil"/>
            </w:tcBorders>
            <w:shd w:val="clear" w:color="auto" w:fill="FFFFFF"/>
            <w:tcMar>
              <w:left w:w="60" w:type="dxa"/>
              <w:right w:w="60" w:type="dxa"/>
            </w:tcMar>
          </w:tcPr>
          <w:p w14:paraId="7F8D769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tcBorders>
              <w:top w:val="nil"/>
              <w:left w:val="nil"/>
              <w:bottom w:val="nil"/>
              <w:right w:val="nil"/>
            </w:tcBorders>
            <w:shd w:val="clear" w:color="auto" w:fill="FFFFFF"/>
            <w:tcMar>
              <w:left w:w="60" w:type="dxa"/>
              <w:right w:w="60" w:type="dxa"/>
            </w:tcMar>
          </w:tcPr>
          <w:p w14:paraId="710B2E6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55013F5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2BE8303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058F9E7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87" w:type="pct"/>
            <w:gridSpan w:val="2"/>
            <w:tcBorders>
              <w:top w:val="nil"/>
              <w:left w:val="nil"/>
              <w:bottom w:val="nil"/>
              <w:right w:val="nil"/>
            </w:tcBorders>
            <w:shd w:val="clear" w:color="auto" w:fill="FFFFFF"/>
            <w:tcMar>
              <w:left w:w="60" w:type="dxa"/>
              <w:right w:w="60" w:type="dxa"/>
            </w:tcMar>
          </w:tcPr>
          <w:p w14:paraId="71BF93F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r>
      <w:tr w:rsidR="002A0F5D" w:rsidRPr="006C68C4" w14:paraId="0FDE8548" w14:textId="77777777" w:rsidTr="00BA04E9">
        <w:trPr>
          <w:cantSplit/>
          <w:jc w:val="center"/>
        </w:trPr>
        <w:tc>
          <w:tcPr>
            <w:tcW w:w="553" w:type="pct"/>
            <w:tcBorders>
              <w:top w:val="nil"/>
              <w:left w:val="nil"/>
              <w:bottom w:val="nil"/>
              <w:right w:val="nil"/>
            </w:tcBorders>
            <w:shd w:val="clear" w:color="auto" w:fill="FFFFFF"/>
            <w:tcMar>
              <w:left w:w="60" w:type="dxa"/>
              <w:right w:w="60" w:type="dxa"/>
            </w:tcMar>
          </w:tcPr>
          <w:p w14:paraId="7FC914C9"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bottom w:val="nil"/>
              <w:right w:val="nil"/>
            </w:tcBorders>
            <w:shd w:val="clear" w:color="auto" w:fill="FFFFFF"/>
            <w:tcMar>
              <w:left w:w="60" w:type="dxa"/>
              <w:right w:w="60" w:type="dxa"/>
            </w:tcMar>
          </w:tcPr>
          <w:p w14:paraId="602F6C70"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bottom w:val="nil"/>
              <w:right w:val="nil"/>
            </w:tcBorders>
            <w:shd w:val="clear" w:color="auto" w:fill="FFFFFF"/>
            <w:tcMar>
              <w:left w:w="60" w:type="dxa"/>
              <w:right w:w="60" w:type="dxa"/>
            </w:tcMar>
          </w:tcPr>
          <w:p w14:paraId="165FE3A0"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therapy</w:t>
            </w:r>
          </w:p>
        </w:tc>
        <w:tc>
          <w:tcPr>
            <w:tcW w:w="417" w:type="pct"/>
            <w:tcBorders>
              <w:top w:val="nil"/>
              <w:left w:val="nil"/>
              <w:bottom w:val="nil"/>
              <w:right w:val="nil"/>
            </w:tcBorders>
            <w:shd w:val="clear" w:color="auto" w:fill="FFFFFF"/>
            <w:tcMar>
              <w:left w:w="60" w:type="dxa"/>
              <w:right w:w="60" w:type="dxa"/>
            </w:tcMar>
          </w:tcPr>
          <w:p w14:paraId="77AC29E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6</w:t>
            </w:r>
          </w:p>
        </w:tc>
        <w:tc>
          <w:tcPr>
            <w:tcW w:w="414" w:type="pct"/>
            <w:tcBorders>
              <w:top w:val="nil"/>
              <w:left w:val="nil"/>
              <w:bottom w:val="nil"/>
              <w:right w:val="nil"/>
            </w:tcBorders>
            <w:shd w:val="clear" w:color="auto" w:fill="FFFFFF"/>
            <w:tcMar>
              <w:left w:w="60" w:type="dxa"/>
              <w:right w:w="60" w:type="dxa"/>
            </w:tcMar>
          </w:tcPr>
          <w:p w14:paraId="22D1107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417" w:type="pct"/>
            <w:tcBorders>
              <w:top w:val="nil"/>
              <w:left w:val="nil"/>
              <w:bottom w:val="nil"/>
              <w:right w:val="nil"/>
            </w:tcBorders>
            <w:shd w:val="clear" w:color="auto" w:fill="FFFFFF"/>
            <w:tcMar>
              <w:left w:w="60" w:type="dxa"/>
              <w:right w:w="60" w:type="dxa"/>
            </w:tcMar>
          </w:tcPr>
          <w:p w14:paraId="49705A1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tcBorders>
              <w:top w:val="nil"/>
              <w:left w:val="nil"/>
              <w:bottom w:val="nil"/>
              <w:right w:val="nil"/>
            </w:tcBorders>
            <w:shd w:val="clear" w:color="auto" w:fill="FFFFFF"/>
            <w:tcMar>
              <w:left w:w="60" w:type="dxa"/>
              <w:right w:w="60" w:type="dxa"/>
            </w:tcMar>
          </w:tcPr>
          <w:p w14:paraId="763D60D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top w:val="nil"/>
              <w:left w:val="nil"/>
              <w:bottom w:val="nil"/>
              <w:right w:val="nil"/>
            </w:tcBorders>
            <w:shd w:val="clear" w:color="auto" w:fill="FFFFFF"/>
            <w:tcMar>
              <w:left w:w="60" w:type="dxa"/>
              <w:right w:w="60" w:type="dxa"/>
            </w:tcMar>
          </w:tcPr>
          <w:p w14:paraId="2BBA4B8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bottom w:val="nil"/>
              <w:right w:val="nil"/>
            </w:tcBorders>
            <w:shd w:val="clear" w:color="auto" w:fill="FFFFFF"/>
            <w:tcMar>
              <w:left w:w="60" w:type="dxa"/>
              <w:right w:w="60" w:type="dxa"/>
            </w:tcMar>
          </w:tcPr>
          <w:p w14:paraId="24EFCE3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bottom w:val="nil"/>
              <w:right w:val="nil"/>
            </w:tcBorders>
            <w:shd w:val="clear" w:color="auto" w:fill="FFFFFF"/>
            <w:tcMar>
              <w:left w:w="60" w:type="dxa"/>
              <w:right w:w="60" w:type="dxa"/>
            </w:tcMar>
          </w:tcPr>
          <w:p w14:paraId="1EC6BD7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87" w:type="pct"/>
            <w:gridSpan w:val="2"/>
            <w:tcBorders>
              <w:top w:val="nil"/>
              <w:left w:val="nil"/>
              <w:bottom w:val="nil"/>
              <w:right w:val="nil"/>
            </w:tcBorders>
            <w:shd w:val="clear" w:color="auto" w:fill="FFFFFF"/>
            <w:tcMar>
              <w:left w:w="60" w:type="dxa"/>
              <w:right w:w="60" w:type="dxa"/>
            </w:tcMar>
          </w:tcPr>
          <w:p w14:paraId="4960566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w:t>
            </w:r>
          </w:p>
        </w:tc>
      </w:tr>
      <w:tr w:rsidR="002A0F5D" w:rsidRPr="006C68C4" w14:paraId="12EF637E" w14:textId="77777777" w:rsidTr="00BA04E9">
        <w:trPr>
          <w:cantSplit/>
          <w:jc w:val="center"/>
        </w:trPr>
        <w:tc>
          <w:tcPr>
            <w:tcW w:w="553" w:type="pct"/>
            <w:tcBorders>
              <w:top w:val="nil"/>
              <w:left w:val="nil"/>
              <w:right w:val="nil"/>
            </w:tcBorders>
            <w:shd w:val="clear" w:color="auto" w:fill="FFFFFF"/>
            <w:tcMar>
              <w:left w:w="60" w:type="dxa"/>
              <w:right w:w="60" w:type="dxa"/>
            </w:tcMar>
          </w:tcPr>
          <w:p w14:paraId="66ABDDEA" w14:textId="77777777" w:rsidR="002A0F5D" w:rsidRPr="006C68C4" w:rsidRDefault="002A0F5D" w:rsidP="00BA04E9">
            <w:pPr>
              <w:adjustRightInd w:val="0"/>
              <w:spacing w:before="60" w:after="60"/>
              <w:rPr>
                <w:rFonts w:ascii="Arial" w:hAnsi="Arial" w:cs="Arial"/>
                <w:color w:val="000000"/>
                <w:sz w:val="18"/>
                <w:szCs w:val="18"/>
              </w:rPr>
            </w:pPr>
          </w:p>
        </w:tc>
        <w:tc>
          <w:tcPr>
            <w:tcW w:w="554" w:type="pct"/>
            <w:tcBorders>
              <w:top w:val="nil"/>
              <w:left w:val="nil"/>
              <w:right w:val="nil"/>
            </w:tcBorders>
            <w:shd w:val="clear" w:color="auto" w:fill="FFFFFF"/>
            <w:tcMar>
              <w:left w:w="60" w:type="dxa"/>
              <w:right w:w="60" w:type="dxa"/>
            </w:tcMar>
          </w:tcPr>
          <w:p w14:paraId="6A6D5423" w14:textId="77777777" w:rsidR="002A0F5D" w:rsidRPr="006C68C4" w:rsidRDefault="002A0F5D" w:rsidP="00BA04E9">
            <w:pPr>
              <w:adjustRightInd w:val="0"/>
              <w:spacing w:before="60" w:after="60"/>
              <w:rPr>
                <w:rFonts w:ascii="Arial" w:hAnsi="Arial" w:cs="Arial"/>
                <w:color w:val="000000"/>
                <w:sz w:val="18"/>
                <w:szCs w:val="18"/>
              </w:rPr>
            </w:pPr>
          </w:p>
        </w:tc>
        <w:tc>
          <w:tcPr>
            <w:tcW w:w="692" w:type="pct"/>
            <w:tcBorders>
              <w:top w:val="nil"/>
              <w:left w:val="nil"/>
              <w:right w:val="nil"/>
            </w:tcBorders>
            <w:shd w:val="clear" w:color="auto" w:fill="FFFFFF"/>
            <w:tcMar>
              <w:left w:w="60" w:type="dxa"/>
              <w:right w:w="60" w:type="dxa"/>
            </w:tcMar>
          </w:tcPr>
          <w:p w14:paraId="7F41C5C3"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follow-up</w:t>
            </w:r>
          </w:p>
        </w:tc>
        <w:tc>
          <w:tcPr>
            <w:tcW w:w="417" w:type="pct"/>
            <w:tcBorders>
              <w:top w:val="nil"/>
              <w:left w:val="nil"/>
              <w:right w:val="nil"/>
            </w:tcBorders>
            <w:shd w:val="clear" w:color="auto" w:fill="FFFFFF"/>
            <w:tcMar>
              <w:left w:w="60" w:type="dxa"/>
              <w:right w:w="60" w:type="dxa"/>
            </w:tcMar>
          </w:tcPr>
          <w:p w14:paraId="194CBE2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24</w:t>
            </w:r>
          </w:p>
        </w:tc>
        <w:tc>
          <w:tcPr>
            <w:tcW w:w="414" w:type="pct"/>
            <w:tcBorders>
              <w:top w:val="nil"/>
              <w:left w:val="nil"/>
              <w:right w:val="nil"/>
            </w:tcBorders>
            <w:shd w:val="clear" w:color="auto" w:fill="FFFFFF"/>
            <w:tcMar>
              <w:left w:w="60" w:type="dxa"/>
              <w:right w:w="60" w:type="dxa"/>
            </w:tcMar>
          </w:tcPr>
          <w:p w14:paraId="3026CE3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w:t>
            </w:r>
          </w:p>
        </w:tc>
        <w:tc>
          <w:tcPr>
            <w:tcW w:w="417" w:type="pct"/>
            <w:tcBorders>
              <w:top w:val="nil"/>
              <w:left w:val="nil"/>
              <w:right w:val="nil"/>
            </w:tcBorders>
            <w:shd w:val="clear" w:color="auto" w:fill="FFFFFF"/>
            <w:tcMar>
              <w:left w:w="60" w:type="dxa"/>
              <w:right w:w="60" w:type="dxa"/>
            </w:tcMar>
          </w:tcPr>
          <w:p w14:paraId="5BC289E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w:t>
            </w:r>
          </w:p>
        </w:tc>
        <w:tc>
          <w:tcPr>
            <w:tcW w:w="370" w:type="pct"/>
            <w:tcBorders>
              <w:top w:val="nil"/>
              <w:left w:val="nil"/>
              <w:right w:val="nil"/>
            </w:tcBorders>
            <w:shd w:val="clear" w:color="auto" w:fill="FFFFFF"/>
            <w:tcMar>
              <w:left w:w="60" w:type="dxa"/>
              <w:right w:w="60" w:type="dxa"/>
            </w:tcMar>
          </w:tcPr>
          <w:p w14:paraId="5130F59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417" w:type="pct"/>
            <w:tcBorders>
              <w:top w:val="nil"/>
              <w:left w:val="nil"/>
              <w:right w:val="nil"/>
            </w:tcBorders>
            <w:shd w:val="clear" w:color="auto" w:fill="FFFFFF"/>
            <w:tcMar>
              <w:left w:w="60" w:type="dxa"/>
              <w:right w:w="60" w:type="dxa"/>
            </w:tcMar>
          </w:tcPr>
          <w:p w14:paraId="5E49EB0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top w:val="nil"/>
              <w:left w:val="nil"/>
              <w:right w:val="nil"/>
            </w:tcBorders>
            <w:shd w:val="clear" w:color="auto" w:fill="FFFFFF"/>
            <w:tcMar>
              <w:left w:w="60" w:type="dxa"/>
              <w:right w:w="60" w:type="dxa"/>
            </w:tcMar>
          </w:tcPr>
          <w:p w14:paraId="54C9871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top w:val="nil"/>
              <w:left w:val="nil"/>
              <w:right w:val="nil"/>
            </w:tcBorders>
            <w:shd w:val="clear" w:color="auto" w:fill="FFFFFF"/>
            <w:tcMar>
              <w:left w:w="60" w:type="dxa"/>
              <w:right w:w="60" w:type="dxa"/>
            </w:tcMar>
          </w:tcPr>
          <w:p w14:paraId="524F5AC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w:t>
            </w:r>
          </w:p>
        </w:tc>
        <w:tc>
          <w:tcPr>
            <w:tcW w:w="387" w:type="pct"/>
            <w:gridSpan w:val="2"/>
            <w:tcBorders>
              <w:top w:val="nil"/>
              <w:left w:val="nil"/>
              <w:right w:val="nil"/>
            </w:tcBorders>
            <w:shd w:val="clear" w:color="auto" w:fill="FFFFFF"/>
            <w:tcMar>
              <w:left w:w="60" w:type="dxa"/>
              <w:right w:w="60" w:type="dxa"/>
            </w:tcMar>
          </w:tcPr>
          <w:p w14:paraId="4959BE8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47</w:t>
            </w:r>
          </w:p>
        </w:tc>
      </w:tr>
      <w:tr w:rsidR="002A0F5D" w:rsidRPr="006C68C4" w14:paraId="580B47E7" w14:textId="77777777" w:rsidTr="00BA04E9">
        <w:trPr>
          <w:cantSplit/>
          <w:jc w:val="center"/>
        </w:trPr>
        <w:tc>
          <w:tcPr>
            <w:tcW w:w="553" w:type="pct"/>
            <w:tcBorders>
              <w:bottom w:val="single" w:sz="4" w:space="0" w:color="auto"/>
            </w:tcBorders>
            <w:shd w:val="clear" w:color="auto" w:fill="FFFFFF"/>
            <w:tcMar>
              <w:left w:w="60" w:type="dxa"/>
              <w:right w:w="60" w:type="dxa"/>
            </w:tcMar>
          </w:tcPr>
          <w:p w14:paraId="04C88476" w14:textId="77777777" w:rsidR="002A0F5D" w:rsidRPr="006C68C4" w:rsidRDefault="002A0F5D" w:rsidP="00BA04E9">
            <w:pPr>
              <w:keepNext/>
              <w:adjustRightInd w:val="0"/>
              <w:spacing w:before="60" w:after="60"/>
              <w:rPr>
                <w:rFonts w:ascii="Arial" w:hAnsi="Arial" w:cs="Arial"/>
                <w:color w:val="000000"/>
                <w:sz w:val="18"/>
                <w:szCs w:val="18"/>
              </w:rPr>
            </w:pPr>
          </w:p>
        </w:tc>
        <w:tc>
          <w:tcPr>
            <w:tcW w:w="554" w:type="pct"/>
            <w:tcBorders>
              <w:bottom w:val="single" w:sz="4" w:space="0" w:color="auto"/>
            </w:tcBorders>
            <w:shd w:val="clear" w:color="auto" w:fill="FFFFFF"/>
            <w:tcMar>
              <w:left w:w="60" w:type="dxa"/>
              <w:right w:w="60" w:type="dxa"/>
            </w:tcMar>
          </w:tcPr>
          <w:p w14:paraId="1B8E5260" w14:textId="77777777" w:rsidR="002A0F5D" w:rsidRPr="006C68C4" w:rsidRDefault="002A0F5D" w:rsidP="00BA04E9">
            <w:pPr>
              <w:keepNext/>
              <w:adjustRightInd w:val="0"/>
              <w:spacing w:before="60" w:after="60"/>
              <w:rPr>
                <w:rFonts w:ascii="Arial" w:hAnsi="Arial" w:cs="Arial"/>
                <w:color w:val="000000"/>
                <w:sz w:val="18"/>
                <w:szCs w:val="18"/>
              </w:rPr>
            </w:pPr>
          </w:p>
        </w:tc>
        <w:tc>
          <w:tcPr>
            <w:tcW w:w="692" w:type="pct"/>
            <w:tcBorders>
              <w:bottom w:val="single" w:sz="4" w:space="0" w:color="auto"/>
            </w:tcBorders>
            <w:shd w:val="clear" w:color="auto" w:fill="FFFFFF"/>
            <w:tcMar>
              <w:left w:w="60" w:type="dxa"/>
              <w:right w:w="60" w:type="dxa"/>
            </w:tcMar>
          </w:tcPr>
          <w:p w14:paraId="3DFAE67F" w14:textId="4CFBBFA7" w:rsidR="002A0F5D" w:rsidRPr="006C68C4" w:rsidRDefault="002A0F5D" w:rsidP="00BA04E9">
            <w:pPr>
              <w:keepNext/>
              <w:adjustRightInd w:val="0"/>
              <w:spacing w:before="60" w:after="60"/>
              <w:rPr>
                <w:rFonts w:ascii="Arial" w:hAnsi="Arial" w:cs="Arial"/>
                <w:color w:val="000000"/>
                <w:sz w:val="18"/>
                <w:szCs w:val="18"/>
              </w:rPr>
            </w:pPr>
            <w:r w:rsidRPr="006C68C4">
              <w:rPr>
                <w:rFonts w:ascii="Arial" w:hAnsi="Arial" w:cs="Arial"/>
                <w:color w:val="000000"/>
                <w:sz w:val="18"/>
                <w:szCs w:val="18"/>
              </w:rPr>
              <w:t xml:space="preserve">End of Data </w:t>
            </w:r>
            <w:proofErr w:type="spellStart"/>
            <w:r w:rsidRPr="006C68C4">
              <w:rPr>
                <w:rFonts w:ascii="Arial" w:hAnsi="Arial" w:cs="Arial"/>
                <w:color w:val="000000"/>
                <w:sz w:val="18"/>
                <w:szCs w:val="18"/>
              </w:rPr>
              <w:t>Availability</w:t>
            </w:r>
            <w:proofErr w:type="spellEnd"/>
            <w:r w:rsidR="000205ED">
              <w:rPr>
                <w:rFonts w:ascii="Arial" w:hAnsi="Arial" w:cs="Arial"/>
                <w:color w:val="000000"/>
                <w:sz w:val="18"/>
                <w:szCs w:val="18"/>
                <w:vertAlign w:val="superscript"/>
              </w:rPr>
              <w:t>[‡]</w:t>
            </w:r>
          </w:p>
        </w:tc>
        <w:tc>
          <w:tcPr>
            <w:tcW w:w="417" w:type="pct"/>
            <w:tcBorders>
              <w:bottom w:val="single" w:sz="4" w:space="0" w:color="auto"/>
            </w:tcBorders>
            <w:shd w:val="clear" w:color="auto" w:fill="FFFFFF"/>
            <w:tcMar>
              <w:left w:w="60" w:type="dxa"/>
              <w:right w:w="60" w:type="dxa"/>
            </w:tcMar>
          </w:tcPr>
          <w:p w14:paraId="5D6963C3"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14" w:type="pct"/>
            <w:tcBorders>
              <w:bottom w:val="single" w:sz="4" w:space="0" w:color="auto"/>
            </w:tcBorders>
            <w:shd w:val="clear" w:color="auto" w:fill="FFFFFF"/>
            <w:tcMar>
              <w:left w:w="60" w:type="dxa"/>
              <w:right w:w="60" w:type="dxa"/>
            </w:tcMar>
          </w:tcPr>
          <w:p w14:paraId="2F251093"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417" w:type="pct"/>
            <w:tcBorders>
              <w:bottom w:val="single" w:sz="4" w:space="0" w:color="auto"/>
            </w:tcBorders>
            <w:shd w:val="clear" w:color="auto" w:fill="FFFFFF"/>
            <w:tcMar>
              <w:left w:w="60" w:type="dxa"/>
              <w:right w:w="60" w:type="dxa"/>
            </w:tcMar>
          </w:tcPr>
          <w:p w14:paraId="3BF99DFC"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70" w:type="pct"/>
            <w:tcBorders>
              <w:bottom w:val="single" w:sz="4" w:space="0" w:color="auto"/>
            </w:tcBorders>
            <w:shd w:val="clear" w:color="auto" w:fill="FFFFFF"/>
            <w:tcMar>
              <w:left w:w="60" w:type="dxa"/>
              <w:right w:w="60" w:type="dxa"/>
            </w:tcMar>
          </w:tcPr>
          <w:p w14:paraId="722EAA6E"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bottom w:val="single" w:sz="4" w:space="0" w:color="auto"/>
            </w:tcBorders>
            <w:shd w:val="clear" w:color="auto" w:fill="FFFFFF"/>
            <w:tcMar>
              <w:left w:w="60" w:type="dxa"/>
              <w:right w:w="60" w:type="dxa"/>
            </w:tcMar>
          </w:tcPr>
          <w:p w14:paraId="034D2EA8"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04" w:type="pct"/>
            <w:tcBorders>
              <w:bottom w:val="single" w:sz="4" w:space="0" w:color="auto"/>
            </w:tcBorders>
            <w:shd w:val="clear" w:color="auto" w:fill="FFFFFF"/>
            <w:tcMar>
              <w:left w:w="60" w:type="dxa"/>
              <w:right w:w="60" w:type="dxa"/>
            </w:tcMar>
          </w:tcPr>
          <w:p w14:paraId="43039DB3"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5" w:type="pct"/>
            <w:gridSpan w:val="2"/>
            <w:tcBorders>
              <w:bottom w:val="single" w:sz="4" w:space="0" w:color="auto"/>
            </w:tcBorders>
            <w:shd w:val="clear" w:color="auto" w:fill="FFFFFF"/>
            <w:tcMar>
              <w:left w:w="60" w:type="dxa"/>
              <w:right w:w="60" w:type="dxa"/>
            </w:tcMar>
          </w:tcPr>
          <w:p w14:paraId="7CC5BE7B"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87" w:type="pct"/>
            <w:gridSpan w:val="2"/>
            <w:tcBorders>
              <w:bottom w:val="single" w:sz="4" w:space="0" w:color="auto"/>
            </w:tcBorders>
            <w:shd w:val="clear" w:color="auto" w:fill="FFFFFF"/>
            <w:tcMar>
              <w:left w:w="60" w:type="dxa"/>
              <w:right w:w="60" w:type="dxa"/>
            </w:tcMar>
          </w:tcPr>
          <w:p w14:paraId="49297F73"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w:t>
            </w:r>
          </w:p>
        </w:tc>
      </w:tr>
      <w:tr w:rsidR="002A0F5D" w:rsidRPr="006C68C4" w14:paraId="736F089F" w14:textId="77777777" w:rsidTr="00BA04E9">
        <w:trPr>
          <w:cantSplit/>
          <w:jc w:val="center"/>
        </w:trPr>
        <w:tc>
          <w:tcPr>
            <w:tcW w:w="5000" w:type="pct"/>
            <w:gridSpan w:val="13"/>
            <w:tcBorders>
              <w:top w:val="single" w:sz="4" w:space="0" w:color="auto"/>
              <w:bottom w:val="single" w:sz="4" w:space="0" w:color="auto"/>
            </w:tcBorders>
            <w:shd w:val="clear" w:color="auto" w:fill="FFFFFF"/>
            <w:tcMar>
              <w:left w:w="60" w:type="dxa"/>
              <w:right w:w="60" w:type="dxa"/>
            </w:tcMar>
          </w:tcPr>
          <w:p w14:paraId="43D23CB0" w14:textId="77777777" w:rsidR="002A0F5D" w:rsidRPr="006C68C4" w:rsidRDefault="002A0F5D" w:rsidP="00BA04E9">
            <w:pPr>
              <w:adjustRightInd w:val="0"/>
              <w:spacing w:before="60" w:after="60"/>
              <w:rPr>
                <w:rFonts w:ascii="Arial" w:hAnsi="Arial" w:cs="Arial"/>
                <w:b/>
                <w:bCs/>
                <w:color w:val="000000"/>
                <w:sz w:val="18"/>
                <w:szCs w:val="18"/>
              </w:rPr>
            </w:pPr>
            <w:r w:rsidRPr="006C68C4">
              <w:rPr>
                <w:rFonts w:ascii="Arial" w:hAnsi="Arial" w:cs="Arial"/>
                <w:b/>
                <w:bCs/>
                <w:color w:val="000000"/>
                <w:sz w:val="18"/>
                <w:szCs w:val="18"/>
              </w:rPr>
              <w:t>ITT approach</w:t>
            </w:r>
          </w:p>
        </w:tc>
      </w:tr>
      <w:tr w:rsidR="002A0F5D" w:rsidRPr="006C68C4" w14:paraId="4828C425" w14:textId="77777777" w:rsidTr="00BA04E9">
        <w:trPr>
          <w:cantSplit/>
          <w:jc w:val="center"/>
        </w:trPr>
        <w:tc>
          <w:tcPr>
            <w:tcW w:w="553" w:type="pct"/>
            <w:tcBorders>
              <w:top w:val="single" w:sz="4" w:space="0" w:color="auto"/>
            </w:tcBorders>
            <w:shd w:val="clear" w:color="auto" w:fill="FFFFFF"/>
            <w:tcMar>
              <w:left w:w="60" w:type="dxa"/>
              <w:right w:w="60" w:type="dxa"/>
            </w:tcMar>
          </w:tcPr>
          <w:p w14:paraId="05AAB00E"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At Index Date</w:t>
            </w:r>
          </w:p>
        </w:tc>
        <w:tc>
          <w:tcPr>
            <w:tcW w:w="554" w:type="pct"/>
            <w:tcBorders>
              <w:top w:val="single" w:sz="4" w:space="0" w:color="auto"/>
            </w:tcBorders>
            <w:shd w:val="clear" w:color="auto" w:fill="FFFFFF"/>
            <w:tcMar>
              <w:left w:w="60" w:type="dxa"/>
              <w:right w:w="60" w:type="dxa"/>
            </w:tcMar>
          </w:tcPr>
          <w:p w14:paraId="0030B8F8"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N of Patients</w:t>
            </w:r>
          </w:p>
        </w:tc>
        <w:tc>
          <w:tcPr>
            <w:tcW w:w="692" w:type="pct"/>
            <w:tcBorders>
              <w:top w:val="single" w:sz="4" w:space="0" w:color="auto"/>
            </w:tcBorders>
            <w:shd w:val="clear" w:color="auto" w:fill="FFFFFF"/>
            <w:tcMar>
              <w:left w:w="60" w:type="dxa"/>
              <w:right w:w="60" w:type="dxa"/>
            </w:tcMar>
          </w:tcPr>
          <w:p w14:paraId="6834B831" w14:textId="77777777" w:rsidR="002A0F5D" w:rsidRPr="006C68C4" w:rsidRDefault="002A0F5D" w:rsidP="00BA04E9">
            <w:pPr>
              <w:adjustRightInd w:val="0"/>
              <w:spacing w:before="60" w:after="60"/>
              <w:rPr>
                <w:rFonts w:ascii="Arial" w:hAnsi="Arial" w:cs="Arial"/>
                <w:color w:val="000000"/>
                <w:sz w:val="18"/>
                <w:szCs w:val="18"/>
              </w:rPr>
            </w:pPr>
          </w:p>
        </w:tc>
        <w:tc>
          <w:tcPr>
            <w:tcW w:w="417" w:type="pct"/>
            <w:tcBorders>
              <w:top w:val="single" w:sz="4" w:space="0" w:color="auto"/>
            </w:tcBorders>
            <w:shd w:val="clear" w:color="auto" w:fill="FFFFFF"/>
            <w:tcMar>
              <w:left w:w="60" w:type="dxa"/>
              <w:right w:w="60" w:type="dxa"/>
            </w:tcMar>
          </w:tcPr>
          <w:p w14:paraId="498B0F3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836</w:t>
            </w:r>
          </w:p>
        </w:tc>
        <w:tc>
          <w:tcPr>
            <w:tcW w:w="414" w:type="pct"/>
            <w:tcBorders>
              <w:top w:val="single" w:sz="4" w:space="0" w:color="auto"/>
            </w:tcBorders>
            <w:shd w:val="clear" w:color="auto" w:fill="FFFFFF"/>
            <w:tcMar>
              <w:left w:w="60" w:type="dxa"/>
              <w:right w:w="60" w:type="dxa"/>
            </w:tcMar>
          </w:tcPr>
          <w:p w14:paraId="76D26F1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132</w:t>
            </w:r>
          </w:p>
        </w:tc>
        <w:tc>
          <w:tcPr>
            <w:tcW w:w="417" w:type="pct"/>
            <w:tcBorders>
              <w:top w:val="single" w:sz="4" w:space="0" w:color="auto"/>
            </w:tcBorders>
            <w:shd w:val="clear" w:color="auto" w:fill="FFFFFF"/>
            <w:tcMar>
              <w:left w:w="60" w:type="dxa"/>
              <w:right w:w="60" w:type="dxa"/>
            </w:tcMar>
          </w:tcPr>
          <w:p w14:paraId="01FBB5B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314</w:t>
            </w:r>
          </w:p>
        </w:tc>
        <w:tc>
          <w:tcPr>
            <w:tcW w:w="370" w:type="pct"/>
            <w:tcBorders>
              <w:top w:val="single" w:sz="4" w:space="0" w:color="auto"/>
            </w:tcBorders>
            <w:shd w:val="clear" w:color="auto" w:fill="FFFFFF"/>
            <w:tcMar>
              <w:left w:w="60" w:type="dxa"/>
              <w:right w:w="60" w:type="dxa"/>
            </w:tcMar>
          </w:tcPr>
          <w:p w14:paraId="307725E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71</w:t>
            </w:r>
          </w:p>
        </w:tc>
        <w:tc>
          <w:tcPr>
            <w:tcW w:w="417" w:type="pct"/>
            <w:tcBorders>
              <w:top w:val="single" w:sz="4" w:space="0" w:color="auto"/>
            </w:tcBorders>
            <w:shd w:val="clear" w:color="auto" w:fill="FFFFFF"/>
            <w:tcMar>
              <w:left w:w="60" w:type="dxa"/>
              <w:right w:w="60" w:type="dxa"/>
            </w:tcMar>
          </w:tcPr>
          <w:p w14:paraId="65F571B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29" w:type="pct"/>
            <w:gridSpan w:val="2"/>
            <w:tcBorders>
              <w:top w:val="single" w:sz="4" w:space="0" w:color="auto"/>
            </w:tcBorders>
            <w:shd w:val="clear" w:color="auto" w:fill="FFFFFF"/>
            <w:tcMar>
              <w:left w:w="60" w:type="dxa"/>
              <w:right w:w="60" w:type="dxa"/>
            </w:tcMar>
          </w:tcPr>
          <w:p w14:paraId="1417B0A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55</w:t>
            </w:r>
          </w:p>
        </w:tc>
        <w:tc>
          <w:tcPr>
            <w:tcW w:w="379" w:type="pct"/>
            <w:gridSpan w:val="2"/>
            <w:tcBorders>
              <w:top w:val="single" w:sz="4" w:space="0" w:color="auto"/>
            </w:tcBorders>
            <w:shd w:val="clear" w:color="auto" w:fill="FFFFFF"/>
            <w:tcMar>
              <w:left w:w="60" w:type="dxa"/>
              <w:right w:w="60" w:type="dxa"/>
            </w:tcMar>
          </w:tcPr>
          <w:p w14:paraId="6BE0BB3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254</w:t>
            </w:r>
          </w:p>
        </w:tc>
        <w:tc>
          <w:tcPr>
            <w:tcW w:w="358" w:type="pct"/>
            <w:tcBorders>
              <w:top w:val="single" w:sz="4" w:space="0" w:color="auto"/>
            </w:tcBorders>
            <w:shd w:val="clear" w:color="auto" w:fill="FFFFFF"/>
            <w:tcMar>
              <w:left w:w="60" w:type="dxa"/>
              <w:right w:w="60" w:type="dxa"/>
            </w:tcMar>
          </w:tcPr>
          <w:p w14:paraId="277B81A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1663</w:t>
            </w:r>
          </w:p>
        </w:tc>
      </w:tr>
      <w:tr w:rsidR="002A0F5D" w:rsidRPr="006C68C4" w14:paraId="7450F157" w14:textId="77777777" w:rsidTr="00BA04E9">
        <w:trPr>
          <w:cantSplit/>
          <w:jc w:val="center"/>
        </w:trPr>
        <w:tc>
          <w:tcPr>
            <w:tcW w:w="553" w:type="pct"/>
            <w:shd w:val="clear" w:color="auto" w:fill="FFFFFF"/>
            <w:tcMar>
              <w:left w:w="60" w:type="dxa"/>
              <w:right w:w="60" w:type="dxa"/>
            </w:tcMar>
          </w:tcPr>
          <w:p w14:paraId="5EF9A44B"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2A20BDD2"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Follow up time, days</w:t>
            </w:r>
          </w:p>
        </w:tc>
        <w:tc>
          <w:tcPr>
            <w:tcW w:w="692" w:type="pct"/>
            <w:shd w:val="clear" w:color="auto" w:fill="FFFFFF"/>
            <w:tcMar>
              <w:left w:w="60" w:type="dxa"/>
              <w:right w:w="60" w:type="dxa"/>
            </w:tcMar>
          </w:tcPr>
          <w:p w14:paraId="451EDC55"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Mean (STD)</w:t>
            </w:r>
          </w:p>
        </w:tc>
        <w:tc>
          <w:tcPr>
            <w:tcW w:w="417" w:type="pct"/>
            <w:shd w:val="clear" w:color="auto" w:fill="FFFFFF"/>
            <w:tcMar>
              <w:left w:w="60" w:type="dxa"/>
              <w:right w:w="60" w:type="dxa"/>
            </w:tcMar>
          </w:tcPr>
          <w:p w14:paraId="4BF787D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504 (499)</w:t>
            </w:r>
          </w:p>
        </w:tc>
        <w:tc>
          <w:tcPr>
            <w:tcW w:w="414" w:type="pct"/>
            <w:shd w:val="clear" w:color="auto" w:fill="FFFFFF"/>
            <w:tcMar>
              <w:left w:w="60" w:type="dxa"/>
              <w:right w:w="60" w:type="dxa"/>
            </w:tcMar>
          </w:tcPr>
          <w:p w14:paraId="722215B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664 (583)</w:t>
            </w:r>
          </w:p>
        </w:tc>
        <w:tc>
          <w:tcPr>
            <w:tcW w:w="417" w:type="pct"/>
            <w:shd w:val="clear" w:color="auto" w:fill="FFFFFF"/>
            <w:tcMar>
              <w:left w:w="60" w:type="dxa"/>
              <w:right w:w="60" w:type="dxa"/>
            </w:tcMar>
          </w:tcPr>
          <w:p w14:paraId="20A827E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388 (479)</w:t>
            </w:r>
          </w:p>
        </w:tc>
        <w:tc>
          <w:tcPr>
            <w:tcW w:w="370" w:type="pct"/>
            <w:shd w:val="clear" w:color="auto" w:fill="FFFFFF"/>
            <w:tcMar>
              <w:left w:w="60" w:type="dxa"/>
              <w:right w:w="60" w:type="dxa"/>
            </w:tcMar>
          </w:tcPr>
          <w:p w14:paraId="6E0FD70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331 (331)</w:t>
            </w:r>
          </w:p>
        </w:tc>
        <w:tc>
          <w:tcPr>
            <w:tcW w:w="417" w:type="pct"/>
            <w:shd w:val="clear" w:color="auto" w:fill="FFFFFF"/>
            <w:tcMar>
              <w:left w:w="60" w:type="dxa"/>
              <w:right w:w="60" w:type="dxa"/>
            </w:tcMar>
          </w:tcPr>
          <w:p w14:paraId="70BA23E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227 ()</w:t>
            </w:r>
          </w:p>
        </w:tc>
        <w:tc>
          <w:tcPr>
            <w:tcW w:w="429" w:type="pct"/>
            <w:gridSpan w:val="2"/>
            <w:shd w:val="clear" w:color="auto" w:fill="FFFFFF"/>
            <w:tcMar>
              <w:left w:w="60" w:type="dxa"/>
              <w:right w:w="60" w:type="dxa"/>
            </w:tcMar>
          </w:tcPr>
          <w:p w14:paraId="2FFF48E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344 (332)</w:t>
            </w:r>
          </w:p>
        </w:tc>
        <w:tc>
          <w:tcPr>
            <w:tcW w:w="379" w:type="pct"/>
            <w:gridSpan w:val="2"/>
            <w:shd w:val="clear" w:color="auto" w:fill="FFFFFF"/>
            <w:tcMar>
              <w:left w:w="60" w:type="dxa"/>
              <w:right w:w="60" w:type="dxa"/>
            </w:tcMar>
          </w:tcPr>
          <w:p w14:paraId="6F9BA6F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374 (424)</w:t>
            </w:r>
          </w:p>
        </w:tc>
        <w:tc>
          <w:tcPr>
            <w:tcW w:w="358" w:type="pct"/>
            <w:shd w:val="clear" w:color="auto" w:fill="FFFFFF"/>
            <w:tcMar>
              <w:left w:w="60" w:type="dxa"/>
              <w:right w:w="60" w:type="dxa"/>
            </w:tcMar>
          </w:tcPr>
          <w:p w14:paraId="4162548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462 (488)</w:t>
            </w:r>
          </w:p>
        </w:tc>
      </w:tr>
      <w:tr w:rsidR="002A0F5D" w:rsidRPr="006C68C4" w14:paraId="1134FD7F" w14:textId="77777777" w:rsidTr="00BA04E9">
        <w:trPr>
          <w:cantSplit/>
          <w:jc w:val="center"/>
        </w:trPr>
        <w:tc>
          <w:tcPr>
            <w:tcW w:w="553" w:type="pct"/>
            <w:shd w:val="clear" w:color="auto" w:fill="FFFFFF"/>
            <w:tcMar>
              <w:left w:w="60" w:type="dxa"/>
              <w:right w:w="60" w:type="dxa"/>
            </w:tcMar>
          </w:tcPr>
          <w:p w14:paraId="604788F2"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335D8CF3" w14:textId="77777777" w:rsidR="002A0F5D" w:rsidRPr="006C68C4" w:rsidRDefault="002A0F5D" w:rsidP="00BA04E9">
            <w:pPr>
              <w:adjustRightInd w:val="0"/>
              <w:spacing w:before="60" w:after="60"/>
              <w:rPr>
                <w:rFonts w:ascii="Arial" w:hAnsi="Arial" w:cs="Arial"/>
                <w:color w:val="000000"/>
                <w:sz w:val="18"/>
                <w:szCs w:val="18"/>
              </w:rPr>
            </w:pPr>
          </w:p>
        </w:tc>
        <w:tc>
          <w:tcPr>
            <w:tcW w:w="692" w:type="pct"/>
            <w:shd w:val="clear" w:color="auto" w:fill="FFFFFF"/>
            <w:tcMar>
              <w:left w:w="60" w:type="dxa"/>
              <w:right w:w="60" w:type="dxa"/>
            </w:tcMar>
          </w:tcPr>
          <w:p w14:paraId="26F5025F"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Median (Q1</w:t>
            </w:r>
          </w:p>
        </w:tc>
        <w:tc>
          <w:tcPr>
            <w:tcW w:w="417" w:type="pct"/>
            <w:shd w:val="clear" w:color="auto" w:fill="FFFFFF"/>
            <w:tcMar>
              <w:left w:w="60" w:type="dxa"/>
              <w:right w:w="60" w:type="dxa"/>
            </w:tcMar>
          </w:tcPr>
          <w:p w14:paraId="2068C3E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364 (73, 732)</w:t>
            </w:r>
          </w:p>
        </w:tc>
        <w:tc>
          <w:tcPr>
            <w:tcW w:w="414" w:type="pct"/>
            <w:shd w:val="clear" w:color="auto" w:fill="FFFFFF"/>
            <w:tcMar>
              <w:left w:w="60" w:type="dxa"/>
              <w:right w:w="60" w:type="dxa"/>
            </w:tcMar>
          </w:tcPr>
          <w:p w14:paraId="6E30B3D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510 (195, 998)</w:t>
            </w:r>
          </w:p>
        </w:tc>
        <w:tc>
          <w:tcPr>
            <w:tcW w:w="417" w:type="pct"/>
            <w:shd w:val="clear" w:color="auto" w:fill="FFFFFF"/>
            <w:tcMar>
              <w:left w:w="60" w:type="dxa"/>
              <w:right w:w="60" w:type="dxa"/>
            </w:tcMar>
          </w:tcPr>
          <w:p w14:paraId="5D6FEBB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227 (1, 612)</w:t>
            </w:r>
          </w:p>
        </w:tc>
        <w:tc>
          <w:tcPr>
            <w:tcW w:w="370" w:type="pct"/>
            <w:shd w:val="clear" w:color="auto" w:fill="FFFFFF"/>
            <w:tcMar>
              <w:left w:w="60" w:type="dxa"/>
              <w:right w:w="60" w:type="dxa"/>
            </w:tcMar>
          </w:tcPr>
          <w:p w14:paraId="29B19BC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274 (8, 558)</w:t>
            </w:r>
          </w:p>
        </w:tc>
        <w:tc>
          <w:tcPr>
            <w:tcW w:w="417" w:type="pct"/>
            <w:shd w:val="clear" w:color="auto" w:fill="FFFFFF"/>
            <w:tcMar>
              <w:left w:w="60" w:type="dxa"/>
              <w:right w:w="60" w:type="dxa"/>
            </w:tcMar>
          </w:tcPr>
          <w:p w14:paraId="1DB1D6C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227 (227, 227)</w:t>
            </w:r>
          </w:p>
        </w:tc>
        <w:tc>
          <w:tcPr>
            <w:tcW w:w="429" w:type="pct"/>
            <w:gridSpan w:val="2"/>
            <w:shd w:val="clear" w:color="auto" w:fill="FFFFFF"/>
            <w:tcMar>
              <w:left w:w="60" w:type="dxa"/>
              <w:right w:w="60" w:type="dxa"/>
            </w:tcMar>
          </w:tcPr>
          <w:p w14:paraId="4A89F7B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303 (1, 530)</w:t>
            </w:r>
          </w:p>
        </w:tc>
        <w:tc>
          <w:tcPr>
            <w:tcW w:w="379" w:type="pct"/>
            <w:gridSpan w:val="2"/>
            <w:shd w:val="clear" w:color="auto" w:fill="FFFFFF"/>
            <w:tcMar>
              <w:left w:w="60" w:type="dxa"/>
              <w:right w:w="60" w:type="dxa"/>
            </w:tcMar>
          </w:tcPr>
          <w:p w14:paraId="29F2379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264 (1, 543)</w:t>
            </w:r>
          </w:p>
        </w:tc>
        <w:tc>
          <w:tcPr>
            <w:tcW w:w="358" w:type="pct"/>
            <w:shd w:val="clear" w:color="auto" w:fill="FFFFFF"/>
            <w:tcMar>
              <w:left w:w="60" w:type="dxa"/>
              <w:right w:w="60" w:type="dxa"/>
            </w:tcMar>
          </w:tcPr>
          <w:p w14:paraId="4C4BC0E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336 (15, 701)</w:t>
            </w:r>
          </w:p>
        </w:tc>
      </w:tr>
      <w:tr w:rsidR="002A0F5D" w:rsidRPr="006C68C4" w14:paraId="6A813140" w14:textId="77777777" w:rsidTr="00BA04E9">
        <w:trPr>
          <w:cantSplit/>
          <w:jc w:val="center"/>
        </w:trPr>
        <w:tc>
          <w:tcPr>
            <w:tcW w:w="553" w:type="pct"/>
            <w:shd w:val="clear" w:color="auto" w:fill="FFFFFF"/>
            <w:tcMar>
              <w:left w:w="60" w:type="dxa"/>
              <w:right w:w="60" w:type="dxa"/>
            </w:tcMar>
          </w:tcPr>
          <w:p w14:paraId="38EDA9DC"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From initiation to maintanance date</w:t>
            </w:r>
          </w:p>
        </w:tc>
        <w:tc>
          <w:tcPr>
            <w:tcW w:w="554" w:type="pct"/>
            <w:shd w:val="clear" w:color="auto" w:fill="FFFFFF"/>
            <w:tcMar>
              <w:left w:w="60" w:type="dxa"/>
              <w:right w:w="60" w:type="dxa"/>
            </w:tcMar>
          </w:tcPr>
          <w:p w14:paraId="109A23A8"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In Study</w:t>
            </w:r>
          </w:p>
        </w:tc>
        <w:tc>
          <w:tcPr>
            <w:tcW w:w="692" w:type="pct"/>
            <w:shd w:val="clear" w:color="auto" w:fill="FFFFFF"/>
            <w:tcMar>
              <w:left w:w="60" w:type="dxa"/>
              <w:right w:w="60" w:type="dxa"/>
            </w:tcMar>
          </w:tcPr>
          <w:p w14:paraId="0456A97E" w14:textId="77777777" w:rsidR="002A0F5D" w:rsidRPr="006C68C4" w:rsidRDefault="002A0F5D" w:rsidP="00BA04E9">
            <w:pPr>
              <w:adjustRightInd w:val="0"/>
              <w:spacing w:before="60" w:after="60"/>
              <w:rPr>
                <w:rFonts w:ascii="Arial" w:hAnsi="Arial" w:cs="Arial"/>
                <w:color w:val="000000"/>
                <w:sz w:val="18"/>
                <w:szCs w:val="18"/>
              </w:rPr>
            </w:pPr>
          </w:p>
        </w:tc>
        <w:tc>
          <w:tcPr>
            <w:tcW w:w="417" w:type="pct"/>
            <w:shd w:val="clear" w:color="auto" w:fill="FFFFFF"/>
            <w:tcMar>
              <w:left w:w="60" w:type="dxa"/>
              <w:right w:w="60" w:type="dxa"/>
            </w:tcMar>
          </w:tcPr>
          <w:p w14:paraId="0BB108D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662 (79.19%)</w:t>
            </w:r>
          </w:p>
        </w:tc>
        <w:tc>
          <w:tcPr>
            <w:tcW w:w="414" w:type="pct"/>
            <w:shd w:val="clear" w:color="auto" w:fill="FFFFFF"/>
            <w:tcMar>
              <w:left w:w="60" w:type="dxa"/>
              <w:right w:w="60" w:type="dxa"/>
            </w:tcMar>
          </w:tcPr>
          <w:p w14:paraId="21ADC1B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118 (89.39%)</w:t>
            </w:r>
          </w:p>
        </w:tc>
        <w:tc>
          <w:tcPr>
            <w:tcW w:w="417" w:type="pct"/>
            <w:shd w:val="clear" w:color="auto" w:fill="FFFFFF"/>
            <w:tcMar>
              <w:left w:w="60" w:type="dxa"/>
              <w:right w:w="60" w:type="dxa"/>
            </w:tcMar>
          </w:tcPr>
          <w:p w14:paraId="21ECF1C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189 (60.19%)</w:t>
            </w:r>
          </w:p>
        </w:tc>
        <w:tc>
          <w:tcPr>
            <w:tcW w:w="370" w:type="pct"/>
            <w:shd w:val="clear" w:color="auto" w:fill="FFFFFF"/>
            <w:tcMar>
              <w:left w:w="60" w:type="dxa"/>
              <w:right w:w="60" w:type="dxa"/>
            </w:tcMar>
          </w:tcPr>
          <w:p w14:paraId="1A05366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49 (69.01%)</w:t>
            </w:r>
          </w:p>
        </w:tc>
        <w:tc>
          <w:tcPr>
            <w:tcW w:w="417" w:type="pct"/>
            <w:shd w:val="clear" w:color="auto" w:fill="FFFFFF"/>
            <w:tcMar>
              <w:left w:w="60" w:type="dxa"/>
              <w:right w:w="60" w:type="dxa"/>
            </w:tcMar>
          </w:tcPr>
          <w:p w14:paraId="550469E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 (100%)</w:t>
            </w:r>
          </w:p>
        </w:tc>
        <w:tc>
          <w:tcPr>
            <w:tcW w:w="429" w:type="pct"/>
            <w:gridSpan w:val="2"/>
            <w:shd w:val="clear" w:color="auto" w:fill="FFFFFF"/>
            <w:tcMar>
              <w:left w:w="60" w:type="dxa"/>
              <w:right w:w="60" w:type="dxa"/>
            </w:tcMar>
          </w:tcPr>
          <w:p w14:paraId="255F990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39 (70.91%)</w:t>
            </w:r>
          </w:p>
        </w:tc>
        <w:tc>
          <w:tcPr>
            <w:tcW w:w="379" w:type="pct"/>
            <w:gridSpan w:val="2"/>
            <w:shd w:val="clear" w:color="auto" w:fill="FFFFFF"/>
            <w:tcMar>
              <w:left w:w="60" w:type="dxa"/>
              <w:right w:w="60" w:type="dxa"/>
            </w:tcMar>
          </w:tcPr>
          <w:p w14:paraId="5F7DD69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171 (67.32%)</w:t>
            </w:r>
          </w:p>
        </w:tc>
        <w:tc>
          <w:tcPr>
            <w:tcW w:w="358" w:type="pct"/>
            <w:shd w:val="clear" w:color="auto" w:fill="FFFFFF"/>
            <w:tcMar>
              <w:left w:w="60" w:type="dxa"/>
              <w:right w:w="60" w:type="dxa"/>
            </w:tcMar>
          </w:tcPr>
          <w:p w14:paraId="799F2CA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1229 (73.9%)</w:t>
            </w:r>
          </w:p>
        </w:tc>
      </w:tr>
      <w:tr w:rsidR="002A0F5D" w:rsidRPr="006C68C4" w14:paraId="1B30836E" w14:textId="77777777" w:rsidTr="00BA04E9">
        <w:trPr>
          <w:cantSplit/>
          <w:jc w:val="center"/>
        </w:trPr>
        <w:tc>
          <w:tcPr>
            <w:tcW w:w="553" w:type="pct"/>
            <w:shd w:val="clear" w:color="auto" w:fill="FFFFFF"/>
            <w:tcMar>
              <w:left w:w="60" w:type="dxa"/>
              <w:right w:w="60" w:type="dxa"/>
            </w:tcMar>
          </w:tcPr>
          <w:p w14:paraId="794B46C7"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57E73B06"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Study discontinued, n (%)</w:t>
            </w:r>
          </w:p>
        </w:tc>
        <w:tc>
          <w:tcPr>
            <w:tcW w:w="692" w:type="pct"/>
            <w:shd w:val="clear" w:color="auto" w:fill="FFFFFF"/>
            <w:tcMar>
              <w:left w:w="60" w:type="dxa"/>
              <w:right w:w="60" w:type="dxa"/>
            </w:tcMar>
          </w:tcPr>
          <w:p w14:paraId="5CD04366" w14:textId="77777777" w:rsidR="002A0F5D" w:rsidRPr="006C68C4" w:rsidRDefault="002A0F5D" w:rsidP="00BA04E9">
            <w:pPr>
              <w:adjustRightInd w:val="0"/>
              <w:spacing w:before="60" w:after="60"/>
              <w:rPr>
                <w:rFonts w:ascii="Arial" w:hAnsi="Arial" w:cs="Arial"/>
                <w:color w:val="000000"/>
                <w:sz w:val="18"/>
                <w:szCs w:val="18"/>
              </w:rPr>
            </w:pPr>
          </w:p>
        </w:tc>
        <w:tc>
          <w:tcPr>
            <w:tcW w:w="417" w:type="pct"/>
            <w:shd w:val="clear" w:color="auto" w:fill="FFFFFF"/>
            <w:tcMar>
              <w:left w:w="60" w:type="dxa"/>
              <w:right w:w="60" w:type="dxa"/>
            </w:tcMar>
          </w:tcPr>
          <w:p w14:paraId="3CB6815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174 (20.81%)</w:t>
            </w:r>
          </w:p>
        </w:tc>
        <w:tc>
          <w:tcPr>
            <w:tcW w:w="414" w:type="pct"/>
            <w:shd w:val="clear" w:color="auto" w:fill="FFFFFF"/>
            <w:tcMar>
              <w:left w:w="60" w:type="dxa"/>
              <w:right w:w="60" w:type="dxa"/>
            </w:tcMar>
          </w:tcPr>
          <w:p w14:paraId="408BAB0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14 (10.61%)</w:t>
            </w:r>
          </w:p>
        </w:tc>
        <w:tc>
          <w:tcPr>
            <w:tcW w:w="417" w:type="pct"/>
            <w:shd w:val="clear" w:color="auto" w:fill="FFFFFF"/>
            <w:tcMar>
              <w:left w:w="60" w:type="dxa"/>
              <w:right w:w="60" w:type="dxa"/>
            </w:tcMar>
          </w:tcPr>
          <w:p w14:paraId="492E45D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125 (39.81%)</w:t>
            </w:r>
          </w:p>
        </w:tc>
        <w:tc>
          <w:tcPr>
            <w:tcW w:w="370" w:type="pct"/>
            <w:shd w:val="clear" w:color="auto" w:fill="FFFFFF"/>
            <w:tcMar>
              <w:left w:w="60" w:type="dxa"/>
              <w:right w:w="60" w:type="dxa"/>
            </w:tcMar>
          </w:tcPr>
          <w:p w14:paraId="0F3A892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22 (30.99%)</w:t>
            </w:r>
          </w:p>
        </w:tc>
        <w:tc>
          <w:tcPr>
            <w:tcW w:w="417" w:type="pct"/>
            <w:shd w:val="clear" w:color="auto" w:fill="FFFFFF"/>
            <w:tcMar>
              <w:left w:w="60" w:type="dxa"/>
              <w:right w:w="60" w:type="dxa"/>
            </w:tcMar>
          </w:tcPr>
          <w:p w14:paraId="53AC3F2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(0%)</w:t>
            </w:r>
          </w:p>
        </w:tc>
        <w:tc>
          <w:tcPr>
            <w:tcW w:w="429" w:type="pct"/>
            <w:gridSpan w:val="2"/>
            <w:shd w:val="clear" w:color="auto" w:fill="FFFFFF"/>
            <w:tcMar>
              <w:left w:w="60" w:type="dxa"/>
              <w:right w:w="60" w:type="dxa"/>
            </w:tcMar>
          </w:tcPr>
          <w:p w14:paraId="1200D9C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 (29.09%)</w:t>
            </w:r>
          </w:p>
        </w:tc>
        <w:tc>
          <w:tcPr>
            <w:tcW w:w="379" w:type="pct"/>
            <w:gridSpan w:val="2"/>
            <w:shd w:val="clear" w:color="auto" w:fill="FFFFFF"/>
            <w:tcMar>
              <w:left w:w="60" w:type="dxa"/>
              <w:right w:w="60" w:type="dxa"/>
            </w:tcMar>
          </w:tcPr>
          <w:p w14:paraId="45AE4EE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83 (32.68%)</w:t>
            </w:r>
          </w:p>
        </w:tc>
        <w:tc>
          <w:tcPr>
            <w:tcW w:w="358" w:type="pct"/>
            <w:shd w:val="clear" w:color="auto" w:fill="FFFFFF"/>
            <w:tcMar>
              <w:left w:w="60" w:type="dxa"/>
              <w:right w:w="60" w:type="dxa"/>
            </w:tcMar>
          </w:tcPr>
          <w:p w14:paraId="4B15B79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434 (26.1%)</w:t>
            </w:r>
          </w:p>
        </w:tc>
      </w:tr>
      <w:tr w:rsidR="002A0F5D" w:rsidRPr="006C68C4" w14:paraId="4B5F0314" w14:textId="77777777" w:rsidTr="00BA04E9">
        <w:trPr>
          <w:cantSplit/>
          <w:jc w:val="center"/>
        </w:trPr>
        <w:tc>
          <w:tcPr>
            <w:tcW w:w="553" w:type="pct"/>
            <w:shd w:val="clear" w:color="auto" w:fill="FFFFFF"/>
            <w:tcMar>
              <w:left w:w="60" w:type="dxa"/>
              <w:right w:w="60" w:type="dxa"/>
            </w:tcMar>
          </w:tcPr>
          <w:p w14:paraId="2F2EE48F"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3503145F" w14:textId="77777777" w:rsidR="002A0F5D" w:rsidRPr="006C68C4" w:rsidRDefault="002A0F5D" w:rsidP="00BA04E9">
            <w:pPr>
              <w:adjustRightInd w:val="0"/>
              <w:spacing w:before="60" w:after="60"/>
              <w:rPr>
                <w:rFonts w:ascii="Arial" w:hAnsi="Arial" w:cs="Arial"/>
                <w:color w:val="000000"/>
                <w:sz w:val="18"/>
                <w:szCs w:val="18"/>
              </w:rPr>
            </w:pPr>
          </w:p>
        </w:tc>
        <w:tc>
          <w:tcPr>
            <w:tcW w:w="692" w:type="pct"/>
            <w:shd w:val="clear" w:color="auto" w:fill="FFFFFF"/>
            <w:tcMar>
              <w:left w:w="60" w:type="dxa"/>
              <w:right w:w="60" w:type="dxa"/>
            </w:tcMar>
          </w:tcPr>
          <w:p w14:paraId="523152DB"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follow-up</w:t>
            </w:r>
          </w:p>
        </w:tc>
        <w:tc>
          <w:tcPr>
            <w:tcW w:w="417" w:type="pct"/>
            <w:shd w:val="clear" w:color="auto" w:fill="FFFFFF"/>
            <w:tcMar>
              <w:left w:w="60" w:type="dxa"/>
              <w:right w:w="60" w:type="dxa"/>
            </w:tcMar>
          </w:tcPr>
          <w:p w14:paraId="49448D4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174</w:t>
            </w:r>
          </w:p>
        </w:tc>
        <w:tc>
          <w:tcPr>
            <w:tcW w:w="414" w:type="pct"/>
            <w:shd w:val="clear" w:color="auto" w:fill="FFFFFF"/>
            <w:tcMar>
              <w:left w:w="60" w:type="dxa"/>
              <w:right w:w="60" w:type="dxa"/>
            </w:tcMar>
          </w:tcPr>
          <w:p w14:paraId="65ED927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14</w:t>
            </w:r>
          </w:p>
        </w:tc>
        <w:tc>
          <w:tcPr>
            <w:tcW w:w="417" w:type="pct"/>
            <w:shd w:val="clear" w:color="auto" w:fill="FFFFFF"/>
            <w:tcMar>
              <w:left w:w="60" w:type="dxa"/>
              <w:right w:w="60" w:type="dxa"/>
            </w:tcMar>
          </w:tcPr>
          <w:p w14:paraId="6618FB1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125</w:t>
            </w:r>
          </w:p>
        </w:tc>
        <w:tc>
          <w:tcPr>
            <w:tcW w:w="370" w:type="pct"/>
            <w:shd w:val="clear" w:color="auto" w:fill="FFFFFF"/>
            <w:tcMar>
              <w:left w:w="60" w:type="dxa"/>
              <w:right w:w="60" w:type="dxa"/>
            </w:tcMar>
          </w:tcPr>
          <w:p w14:paraId="6765274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22</w:t>
            </w:r>
          </w:p>
        </w:tc>
        <w:tc>
          <w:tcPr>
            <w:tcW w:w="417" w:type="pct"/>
            <w:shd w:val="clear" w:color="auto" w:fill="FFFFFF"/>
            <w:tcMar>
              <w:left w:w="60" w:type="dxa"/>
              <w:right w:w="60" w:type="dxa"/>
            </w:tcMar>
          </w:tcPr>
          <w:p w14:paraId="2EA08FA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29" w:type="pct"/>
            <w:gridSpan w:val="2"/>
            <w:shd w:val="clear" w:color="auto" w:fill="FFFFFF"/>
            <w:tcMar>
              <w:left w:w="60" w:type="dxa"/>
              <w:right w:w="60" w:type="dxa"/>
            </w:tcMar>
          </w:tcPr>
          <w:p w14:paraId="60B4EB9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w:t>
            </w:r>
          </w:p>
        </w:tc>
        <w:tc>
          <w:tcPr>
            <w:tcW w:w="379" w:type="pct"/>
            <w:gridSpan w:val="2"/>
            <w:shd w:val="clear" w:color="auto" w:fill="FFFFFF"/>
            <w:tcMar>
              <w:left w:w="60" w:type="dxa"/>
              <w:right w:w="60" w:type="dxa"/>
            </w:tcMar>
          </w:tcPr>
          <w:p w14:paraId="17BED07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83</w:t>
            </w:r>
          </w:p>
        </w:tc>
        <w:tc>
          <w:tcPr>
            <w:tcW w:w="358" w:type="pct"/>
            <w:shd w:val="clear" w:color="auto" w:fill="FFFFFF"/>
            <w:tcMar>
              <w:left w:w="60" w:type="dxa"/>
              <w:right w:w="60" w:type="dxa"/>
            </w:tcMar>
          </w:tcPr>
          <w:p w14:paraId="0E50C33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434</w:t>
            </w:r>
          </w:p>
        </w:tc>
      </w:tr>
      <w:tr w:rsidR="002A0F5D" w:rsidRPr="006C68C4" w14:paraId="20F0B1FE" w14:textId="77777777" w:rsidTr="00BA04E9">
        <w:trPr>
          <w:cantSplit/>
          <w:jc w:val="center"/>
        </w:trPr>
        <w:tc>
          <w:tcPr>
            <w:tcW w:w="553" w:type="pct"/>
            <w:shd w:val="clear" w:color="auto" w:fill="FFFFFF"/>
            <w:tcMar>
              <w:left w:w="60" w:type="dxa"/>
              <w:right w:w="60" w:type="dxa"/>
            </w:tcMar>
          </w:tcPr>
          <w:p w14:paraId="17060324"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5CB32CA1" w14:textId="77777777" w:rsidR="002A0F5D" w:rsidRPr="006C68C4" w:rsidRDefault="002A0F5D" w:rsidP="00BA04E9">
            <w:pPr>
              <w:adjustRightInd w:val="0"/>
              <w:spacing w:before="60" w:after="60"/>
              <w:rPr>
                <w:rFonts w:ascii="Arial" w:hAnsi="Arial" w:cs="Arial"/>
                <w:color w:val="000000"/>
                <w:sz w:val="18"/>
                <w:szCs w:val="18"/>
              </w:rPr>
            </w:pPr>
          </w:p>
        </w:tc>
        <w:tc>
          <w:tcPr>
            <w:tcW w:w="692" w:type="pct"/>
            <w:shd w:val="clear" w:color="auto" w:fill="FFFFFF"/>
            <w:tcMar>
              <w:left w:w="60" w:type="dxa"/>
              <w:right w:w="60" w:type="dxa"/>
            </w:tcMar>
          </w:tcPr>
          <w:p w14:paraId="60C4114D" w14:textId="685E0669"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 xml:space="preserve">End of Data </w:t>
            </w:r>
            <w:proofErr w:type="spellStart"/>
            <w:r w:rsidRPr="006C68C4">
              <w:rPr>
                <w:rFonts w:ascii="Arial" w:hAnsi="Arial" w:cs="Arial"/>
                <w:color w:val="000000"/>
                <w:sz w:val="18"/>
                <w:szCs w:val="18"/>
              </w:rPr>
              <w:t>Availability</w:t>
            </w:r>
            <w:proofErr w:type="spellEnd"/>
            <w:r w:rsidR="000205ED">
              <w:rPr>
                <w:rFonts w:ascii="Arial" w:hAnsi="Arial" w:cs="Arial"/>
                <w:color w:val="000000"/>
                <w:sz w:val="18"/>
                <w:szCs w:val="18"/>
                <w:vertAlign w:val="superscript"/>
              </w:rPr>
              <w:t>[‡]</w:t>
            </w:r>
          </w:p>
        </w:tc>
        <w:tc>
          <w:tcPr>
            <w:tcW w:w="417" w:type="pct"/>
            <w:shd w:val="clear" w:color="auto" w:fill="FFFFFF"/>
            <w:tcMar>
              <w:left w:w="60" w:type="dxa"/>
              <w:right w:w="60" w:type="dxa"/>
            </w:tcMar>
          </w:tcPr>
          <w:p w14:paraId="5CD897A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4" w:type="pct"/>
            <w:shd w:val="clear" w:color="auto" w:fill="FFFFFF"/>
            <w:tcMar>
              <w:left w:w="60" w:type="dxa"/>
              <w:right w:w="60" w:type="dxa"/>
            </w:tcMar>
          </w:tcPr>
          <w:p w14:paraId="7C3DE17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shd w:val="clear" w:color="auto" w:fill="FFFFFF"/>
            <w:tcMar>
              <w:left w:w="60" w:type="dxa"/>
              <w:right w:w="60" w:type="dxa"/>
            </w:tcMar>
          </w:tcPr>
          <w:p w14:paraId="6CFF743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shd w:val="clear" w:color="auto" w:fill="FFFFFF"/>
            <w:tcMar>
              <w:left w:w="60" w:type="dxa"/>
              <w:right w:w="60" w:type="dxa"/>
            </w:tcMar>
          </w:tcPr>
          <w:p w14:paraId="1F1B121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shd w:val="clear" w:color="auto" w:fill="FFFFFF"/>
            <w:tcMar>
              <w:left w:w="60" w:type="dxa"/>
              <w:right w:w="60" w:type="dxa"/>
            </w:tcMar>
          </w:tcPr>
          <w:p w14:paraId="6C92C72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29" w:type="pct"/>
            <w:gridSpan w:val="2"/>
            <w:shd w:val="clear" w:color="auto" w:fill="FFFFFF"/>
            <w:tcMar>
              <w:left w:w="60" w:type="dxa"/>
              <w:right w:w="60" w:type="dxa"/>
            </w:tcMar>
          </w:tcPr>
          <w:p w14:paraId="55EF6DE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9" w:type="pct"/>
            <w:gridSpan w:val="2"/>
            <w:shd w:val="clear" w:color="auto" w:fill="FFFFFF"/>
            <w:tcMar>
              <w:left w:w="60" w:type="dxa"/>
              <w:right w:w="60" w:type="dxa"/>
            </w:tcMar>
          </w:tcPr>
          <w:p w14:paraId="5D58E4A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58" w:type="pct"/>
            <w:shd w:val="clear" w:color="auto" w:fill="FFFFFF"/>
            <w:tcMar>
              <w:left w:w="60" w:type="dxa"/>
              <w:right w:w="60" w:type="dxa"/>
            </w:tcMar>
          </w:tcPr>
          <w:p w14:paraId="3648C66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r>
      <w:tr w:rsidR="002A0F5D" w:rsidRPr="006C68C4" w14:paraId="6534E32E" w14:textId="77777777" w:rsidTr="00BA04E9">
        <w:trPr>
          <w:cantSplit/>
          <w:jc w:val="center"/>
        </w:trPr>
        <w:tc>
          <w:tcPr>
            <w:tcW w:w="553" w:type="pct"/>
            <w:shd w:val="clear" w:color="auto" w:fill="FFFFFF"/>
            <w:tcMar>
              <w:left w:w="60" w:type="dxa"/>
              <w:right w:w="60" w:type="dxa"/>
            </w:tcMar>
          </w:tcPr>
          <w:p w14:paraId="4CE91CD0"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6 Months after Maintenance Date</w:t>
            </w:r>
          </w:p>
        </w:tc>
        <w:tc>
          <w:tcPr>
            <w:tcW w:w="554" w:type="pct"/>
            <w:shd w:val="clear" w:color="auto" w:fill="FFFFFF"/>
            <w:tcMar>
              <w:left w:w="60" w:type="dxa"/>
              <w:right w:w="60" w:type="dxa"/>
            </w:tcMar>
          </w:tcPr>
          <w:p w14:paraId="2603329A"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In Study</w:t>
            </w:r>
          </w:p>
        </w:tc>
        <w:tc>
          <w:tcPr>
            <w:tcW w:w="692" w:type="pct"/>
            <w:shd w:val="clear" w:color="auto" w:fill="FFFFFF"/>
            <w:tcMar>
              <w:left w:w="60" w:type="dxa"/>
              <w:right w:w="60" w:type="dxa"/>
            </w:tcMar>
          </w:tcPr>
          <w:p w14:paraId="63B90C05" w14:textId="77777777" w:rsidR="002A0F5D" w:rsidRPr="006C68C4" w:rsidRDefault="002A0F5D" w:rsidP="00BA04E9">
            <w:pPr>
              <w:adjustRightInd w:val="0"/>
              <w:spacing w:before="60" w:after="60"/>
              <w:rPr>
                <w:rFonts w:ascii="Arial" w:hAnsi="Arial" w:cs="Arial"/>
                <w:color w:val="000000"/>
                <w:sz w:val="18"/>
                <w:szCs w:val="18"/>
              </w:rPr>
            </w:pPr>
          </w:p>
        </w:tc>
        <w:tc>
          <w:tcPr>
            <w:tcW w:w="417" w:type="pct"/>
            <w:shd w:val="clear" w:color="auto" w:fill="FFFFFF"/>
            <w:tcMar>
              <w:left w:w="60" w:type="dxa"/>
              <w:right w:w="60" w:type="dxa"/>
            </w:tcMar>
          </w:tcPr>
          <w:p w14:paraId="4D0EFFF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543 (82.02%)</w:t>
            </w:r>
          </w:p>
        </w:tc>
        <w:tc>
          <w:tcPr>
            <w:tcW w:w="414" w:type="pct"/>
            <w:shd w:val="clear" w:color="auto" w:fill="FFFFFF"/>
            <w:tcMar>
              <w:left w:w="60" w:type="dxa"/>
              <w:right w:w="60" w:type="dxa"/>
            </w:tcMar>
          </w:tcPr>
          <w:p w14:paraId="537FADD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99 (83.9%)</w:t>
            </w:r>
          </w:p>
        </w:tc>
        <w:tc>
          <w:tcPr>
            <w:tcW w:w="417" w:type="pct"/>
            <w:shd w:val="clear" w:color="auto" w:fill="FFFFFF"/>
            <w:tcMar>
              <w:left w:w="60" w:type="dxa"/>
              <w:right w:w="60" w:type="dxa"/>
            </w:tcMar>
          </w:tcPr>
          <w:p w14:paraId="643D8AB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158 (83.6%)</w:t>
            </w:r>
          </w:p>
        </w:tc>
        <w:tc>
          <w:tcPr>
            <w:tcW w:w="370" w:type="pct"/>
            <w:shd w:val="clear" w:color="auto" w:fill="FFFFFF"/>
            <w:tcMar>
              <w:left w:w="60" w:type="dxa"/>
              <w:right w:w="60" w:type="dxa"/>
            </w:tcMar>
          </w:tcPr>
          <w:p w14:paraId="27FE83D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36 (73.47%)</w:t>
            </w:r>
          </w:p>
        </w:tc>
        <w:tc>
          <w:tcPr>
            <w:tcW w:w="417" w:type="pct"/>
            <w:shd w:val="clear" w:color="auto" w:fill="FFFFFF"/>
            <w:tcMar>
              <w:left w:w="60" w:type="dxa"/>
              <w:right w:w="60" w:type="dxa"/>
            </w:tcMar>
          </w:tcPr>
          <w:p w14:paraId="6A158DC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(0%)</w:t>
            </w:r>
          </w:p>
        </w:tc>
        <w:tc>
          <w:tcPr>
            <w:tcW w:w="429" w:type="pct"/>
            <w:gridSpan w:val="2"/>
            <w:shd w:val="clear" w:color="auto" w:fill="FFFFFF"/>
            <w:tcMar>
              <w:left w:w="60" w:type="dxa"/>
              <w:right w:w="60" w:type="dxa"/>
            </w:tcMar>
          </w:tcPr>
          <w:p w14:paraId="57ECD2A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30 (76.92%)</w:t>
            </w:r>
          </w:p>
        </w:tc>
        <w:tc>
          <w:tcPr>
            <w:tcW w:w="379" w:type="pct"/>
            <w:gridSpan w:val="2"/>
            <w:shd w:val="clear" w:color="auto" w:fill="FFFFFF"/>
            <w:tcMar>
              <w:left w:w="60" w:type="dxa"/>
              <w:right w:w="60" w:type="dxa"/>
            </w:tcMar>
          </w:tcPr>
          <w:p w14:paraId="33591AF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131 (76.61%)</w:t>
            </w:r>
          </w:p>
        </w:tc>
        <w:tc>
          <w:tcPr>
            <w:tcW w:w="358" w:type="pct"/>
            <w:shd w:val="clear" w:color="auto" w:fill="FFFFFF"/>
            <w:tcMar>
              <w:left w:w="60" w:type="dxa"/>
              <w:right w:w="60" w:type="dxa"/>
            </w:tcMar>
          </w:tcPr>
          <w:p w14:paraId="7C6C639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997 (81.12%)</w:t>
            </w:r>
          </w:p>
        </w:tc>
      </w:tr>
      <w:tr w:rsidR="002A0F5D" w:rsidRPr="006C68C4" w14:paraId="6B58E7DB" w14:textId="77777777" w:rsidTr="00BA04E9">
        <w:trPr>
          <w:cantSplit/>
          <w:jc w:val="center"/>
        </w:trPr>
        <w:tc>
          <w:tcPr>
            <w:tcW w:w="553" w:type="pct"/>
            <w:shd w:val="clear" w:color="auto" w:fill="FFFFFF"/>
            <w:tcMar>
              <w:left w:w="60" w:type="dxa"/>
              <w:right w:w="60" w:type="dxa"/>
            </w:tcMar>
          </w:tcPr>
          <w:p w14:paraId="38FC4164"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40655F76"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Study discontinued, n (%)</w:t>
            </w:r>
          </w:p>
        </w:tc>
        <w:tc>
          <w:tcPr>
            <w:tcW w:w="692" w:type="pct"/>
            <w:shd w:val="clear" w:color="auto" w:fill="FFFFFF"/>
            <w:tcMar>
              <w:left w:w="60" w:type="dxa"/>
              <w:right w:w="60" w:type="dxa"/>
            </w:tcMar>
          </w:tcPr>
          <w:p w14:paraId="0C0C0C4F" w14:textId="77777777" w:rsidR="002A0F5D" w:rsidRPr="006C68C4" w:rsidRDefault="002A0F5D" w:rsidP="00BA04E9">
            <w:pPr>
              <w:adjustRightInd w:val="0"/>
              <w:spacing w:before="60" w:after="60"/>
              <w:rPr>
                <w:rFonts w:ascii="Arial" w:hAnsi="Arial" w:cs="Arial"/>
                <w:color w:val="000000"/>
                <w:sz w:val="18"/>
                <w:szCs w:val="18"/>
              </w:rPr>
            </w:pPr>
          </w:p>
        </w:tc>
        <w:tc>
          <w:tcPr>
            <w:tcW w:w="417" w:type="pct"/>
            <w:shd w:val="clear" w:color="auto" w:fill="FFFFFF"/>
            <w:tcMar>
              <w:left w:w="60" w:type="dxa"/>
              <w:right w:w="60" w:type="dxa"/>
            </w:tcMar>
          </w:tcPr>
          <w:p w14:paraId="4540EF6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119 (17.98%)</w:t>
            </w:r>
          </w:p>
        </w:tc>
        <w:tc>
          <w:tcPr>
            <w:tcW w:w="414" w:type="pct"/>
            <w:shd w:val="clear" w:color="auto" w:fill="FFFFFF"/>
            <w:tcMar>
              <w:left w:w="60" w:type="dxa"/>
              <w:right w:w="60" w:type="dxa"/>
            </w:tcMar>
          </w:tcPr>
          <w:p w14:paraId="672CAE1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19 (16.1%)</w:t>
            </w:r>
          </w:p>
        </w:tc>
        <w:tc>
          <w:tcPr>
            <w:tcW w:w="417" w:type="pct"/>
            <w:shd w:val="clear" w:color="auto" w:fill="FFFFFF"/>
            <w:tcMar>
              <w:left w:w="60" w:type="dxa"/>
              <w:right w:w="60" w:type="dxa"/>
            </w:tcMar>
          </w:tcPr>
          <w:p w14:paraId="38205FC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31 (16.4%)</w:t>
            </w:r>
          </w:p>
        </w:tc>
        <w:tc>
          <w:tcPr>
            <w:tcW w:w="370" w:type="pct"/>
            <w:shd w:val="clear" w:color="auto" w:fill="FFFFFF"/>
            <w:tcMar>
              <w:left w:w="60" w:type="dxa"/>
              <w:right w:w="60" w:type="dxa"/>
            </w:tcMar>
          </w:tcPr>
          <w:p w14:paraId="4D066B6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13 (26.53%)</w:t>
            </w:r>
          </w:p>
        </w:tc>
        <w:tc>
          <w:tcPr>
            <w:tcW w:w="417" w:type="pct"/>
            <w:shd w:val="clear" w:color="auto" w:fill="FFFFFF"/>
            <w:tcMar>
              <w:left w:w="60" w:type="dxa"/>
              <w:right w:w="60" w:type="dxa"/>
            </w:tcMar>
          </w:tcPr>
          <w:p w14:paraId="0A53CED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 (100%)</w:t>
            </w:r>
          </w:p>
        </w:tc>
        <w:tc>
          <w:tcPr>
            <w:tcW w:w="429" w:type="pct"/>
            <w:gridSpan w:val="2"/>
            <w:shd w:val="clear" w:color="auto" w:fill="FFFFFF"/>
            <w:tcMar>
              <w:left w:w="60" w:type="dxa"/>
              <w:right w:w="60" w:type="dxa"/>
            </w:tcMar>
          </w:tcPr>
          <w:p w14:paraId="4C323E2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 (23.08%)</w:t>
            </w:r>
          </w:p>
        </w:tc>
        <w:tc>
          <w:tcPr>
            <w:tcW w:w="379" w:type="pct"/>
            <w:gridSpan w:val="2"/>
            <w:shd w:val="clear" w:color="auto" w:fill="FFFFFF"/>
            <w:tcMar>
              <w:left w:w="60" w:type="dxa"/>
              <w:right w:w="60" w:type="dxa"/>
            </w:tcMar>
          </w:tcPr>
          <w:p w14:paraId="3E8765A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40 (23.39%)</w:t>
            </w:r>
          </w:p>
        </w:tc>
        <w:tc>
          <w:tcPr>
            <w:tcW w:w="358" w:type="pct"/>
            <w:shd w:val="clear" w:color="auto" w:fill="FFFFFF"/>
            <w:tcMar>
              <w:left w:w="60" w:type="dxa"/>
              <w:right w:w="60" w:type="dxa"/>
            </w:tcMar>
          </w:tcPr>
          <w:p w14:paraId="6B5307A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232 (18.88%)</w:t>
            </w:r>
          </w:p>
        </w:tc>
      </w:tr>
      <w:tr w:rsidR="002A0F5D" w:rsidRPr="006C68C4" w14:paraId="2FFA906F" w14:textId="77777777" w:rsidTr="00BA04E9">
        <w:trPr>
          <w:cantSplit/>
          <w:jc w:val="center"/>
        </w:trPr>
        <w:tc>
          <w:tcPr>
            <w:tcW w:w="553" w:type="pct"/>
            <w:shd w:val="clear" w:color="auto" w:fill="FFFFFF"/>
            <w:tcMar>
              <w:left w:w="60" w:type="dxa"/>
              <w:right w:w="60" w:type="dxa"/>
            </w:tcMar>
          </w:tcPr>
          <w:p w14:paraId="4CC3AF46"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0A27EDDE" w14:textId="77777777" w:rsidR="002A0F5D" w:rsidRPr="006C68C4" w:rsidRDefault="002A0F5D" w:rsidP="00BA04E9">
            <w:pPr>
              <w:adjustRightInd w:val="0"/>
              <w:spacing w:before="60" w:after="60"/>
              <w:rPr>
                <w:rFonts w:ascii="Arial" w:hAnsi="Arial" w:cs="Arial"/>
                <w:color w:val="000000"/>
                <w:sz w:val="18"/>
                <w:szCs w:val="18"/>
              </w:rPr>
            </w:pPr>
          </w:p>
        </w:tc>
        <w:tc>
          <w:tcPr>
            <w:tcW w:w="692" w:type="pct"/>
            <w:shd w:val="clear" w:color="auto" w:fill="FFFFFF"/>
            <w:tcMar>
              <w:left w:w="60" w:type="dxa"/>
              <w:right w:w="60" w:type="dxa"/>
            </w:tcMar>
          </w:tcPr>
          <w:p w14:paraId="38DD2488"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follow-up</w:t>
            </w:r>
          </w:p>
        </w:tc>
        <w:tc>
          <w:tcPr>
            <w:tcW w:w="417" w:type="pct"/>
            <w:shd w:val="clear" w:color="auto" w:fill="FFFFFF"/>
            <w:tcMar>
              <w:left w:w="60" w:type="dxa"/>
              <w:right w:w="60" w:type="dxa"/>
            </w:tcMar>
          </w:tcPr>
          <w:p w14:paraId="16CF48C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119</w:t>
            </w:r>
          </w:p>
        </w:tc>
        <w:tc>
          <w:tcPr>
            <w:tcW w:w="414" w:type="pct"/>
            <w:shd w:val="clear" w:color="auto" w:fill="FFFFFF"/>
            <w:tcMar>
              <w:left w:w="60" w:type="dxa"/>
              <w:right w:w="60" w:type="dxa"/>
            </w:tcMar>
          </w:tcPr>
          <w:p w14:paraId="2928C0A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19</w:t>
            </w:r>
          </w:p>
        </w:tc>
        <w:tc>
          <w:tcPr>
            <w:tcW w:w="417" w:type="pct"/>
            <w:shd w:val="clear" w:color="auto" w:fill="FFFFFF"/>
            <w:tcMar>
              <w:left w:w="60" w:type="dxa"/>
              <w:right w:w="60" w:type="dxa"/>
            </w:tcMar>
          </w:tcPr>
          <w:p w14:paraId="1B74B5B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31</w:t>
            </w:r>
          </w:p>
        </w:tc>
        <w:tc>
          <w:tcPr>
            <w:tcW w:w="370" w:type="pct"/>
            <w:shd w:val="clear" w:color="auto" w:fill="FFFFFF"/>
            <w:tcMar>
              <w:left w:w="60" w:type="dxa"/>
              <w:right w:w="60" w:type="dxa"/>
            </w:tcMar>
          </w:tcPr>
          <w:p w14:paraId="676D0E6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13</w:t>
            </w:r>
          </w:p>
        </w:tc>
        <w:tc>
          <w:tcPr>
            <w:tcW w:w="417" w:type="pct"/>
            <w:shd w:val="clear" w:color="auto" w:fill="FFFFFF"/>
            <w:tcMar>
              <w:left w:w="60" w:type="dxa"/>
              <w:right w:w="60" w:type="dxa"/>
            </w:tcMar>
          </w:tcPr>
          <w:p w14:paraId="5DCE006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29" w:type="pct"/>
            <w:gridSpan w:val="2"/>
            <w:shd w:val="clear" w:color="auto" w:fill="FFFFFF"/>
            <w:tcMar>
              <w:left w:w="60" w:type="dxa"/>
              <w:right w:w="60" w:type="dxa"/>
            </w:tcMar>
          </w:tcPr>
          <w:p w14:paraId="42F21C6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w:t>
            </w:r>
          </w:p>
        </w:tc>
        <w:tc>
          <w:tcPr>
            <w:tcW w:w="379" w:type="pct"/>
            <w:gridSpan w:val="2"/>
            <w:shd w:val="clear" w:color="auto" w:fill="FFFFFF"/>
            <w:tcMar>
              <w:left w:w="60" w:type="dxa"/>
              <w:right w:w="60" w:type="dxa"/>
            </w:tcMar>
          </w:tcPr>
          <w:p w14:paraId="5D37681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40</w:t>
            </w:r>
          </w:p>
        </w:tc>
        <w:tc>
          <w:tcPr>
            <w:tcW w:w="358" w:type="pct"/>
            <w:shd w:val="clear" w:color="auto" w:fill="FFFFFF"/>
            <w:tcMar>
              <w:left w:w="60" w:type="dxa"/>
              <w:right w:w="60" w:type="dxa"/>
            </w:tcMar>
          </w:tcPr>
          <w:p w14:paraId="31A2073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232</w:t>
            </w:r>
          </w:p>
        </w:tc>
      </w:tr>
      <w:tr w:rsidR="002A0F5D" w:rsidRPr="006C68C4" w14:paraId="778D80B8" w14:textId="77777777" w:rsidTr="00BA04E9">
        <w:trPr>
          <w:cantSplit/>
          <w:jc w:val="center"/>
        </w:trPr>
        <w:tc>
          <w:tcPr>
            <w:tcW w:w="553" w:type="pct"/>
            <w:shd w:val="clear" w:color="auto" w:fill="FFFFFF"/>
            <w:tcMar>
              <w:left w:w="60" w:type="dxa"/>
              <w:right w:w="60" w:type="dxa"/>
            </w:tcMar>
          </w:tcPr>
          <w:p w14:paraId="3A83BD8E"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6B0BB225" w14:textId="77777777" w:rsidR="002A0F5D" w:rsidRPr="006C68C4" w:rsidRDefault="002A0F5D" w:rsidP="00BA04E9">
            <w:pPr>
              <w:adjustRightInd w:val="0"/>
              <w:spacing w:before="60" w:after="60"/>
              <w:rPr>
                <w:rFonts w:ascii="Arial" w:hAnsi="Arial" w:cs="Arial"/>
                <w:color w:val="000000"/>
                <w:sz w:val="18"/>
                <w:szCs w:val="18"/>
              </w:rPr>
            </w:pPr>
          </w:p>
        </w:tc>
        <w:tc>
          <w:tcPr>
            <w:tcW w:w="692" w:type="pct"/>
            <w:shd w:val="clear" w:color="auto" w:fill="FFFFFF"/>
            <w:tcMar>
              <w:left w:w="60" w:type="dxa"/>
              <w:right w:w="60" w:type="dxa"/>
            </w:tcMar>
          </w:tcPr>
          <w:p w14:paraId="3ABE332C" w14:textId="0BD34B1D"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 xml:space="preserve">End of Data </w:t>
            </w:r>
            <w:proofErr w:type="spellStart"/>
            <w:r w:rsidRPr="006C68C4">
              <w:rPr>
                <w:rFonts w:ascii="Arial" w:hAnsi="Arial" w:cs="Arial"/>
                <w:color w:val="000000"/>
                <w:sz w:val="18"/>
                <w:szCs w:val="18"/>
              </w:rPr>
              <w:t>Availability</w:t>
            </w:r>
            <w:proofErr w:type="spellEnd"/>
            <w:r w:rsidR="000205ED">
              <w:rPr>
                <w:rFonts w:ascii="Arial" w:hAnsi="Arial" w:cs="Arial"/>
                <w:color w:val="000000"/>
                <w:sz w:val="18"/>
                <w:szCs w:val="18"/>
                <w:vertAlign w:val="superscript"/>
              </w:rPr>
              <w:t>[‡]</w:t>
            </w:r>
          </w:p>
        </w:tc>
        <w:tc>
          <w:tcPr>
            <w:tcW w:w="417" w:type="pct"/>
            <w:shd w:val="clear" w:color="auto" w:fill="FFFFFF"/>
            <w:tcMar>
              <w:left w:w="60" w:type="dxa"/>
              <w:right w:w="60" w:type="dxa"/>
            </w:tcMar>
          </w:tcPr>
          <w:p w14:paraId="2DBDF10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4" w:type="pct"/>
            <w:shd w:val="clear" w:color="auto" w:fill="FFFFFF"/>
            <w:tcMar>
              <w:left w:w="60" w:type="dxa"/>
              <w:right w:w="60" w:type="dxa"/>
            </w:tcMar>
          </w:tcPr>
          <w:p w14:paraId="6AD495C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shd w:val="clear" w:color="auto" w:fill="FFFFFF"/>
            <w:tcMar>
              <w:left w:w="60" w:type="dxa"/>
              <w:right w:w="60" w:type="dxa"/>
            </w:tcMar>
          </w:tcPr>
          <w:p w14:paraId="7882ACE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shd w:val="clear" w:color="auto" w:fill="FFFFFF"/>
            <w:tcMar>
              <w:left w:w="60" w:type="dxa"/>
              <w:right w:w="60" w:type="dxa"/>
            </w:tcMar>
          </w:tcPr>
          <w:p w14:paraId="48305AB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shd w:val="clear" w:color="auto" w:fill="FFFFFF"/>
            <w:tcMar>
              <w:left w:w="60" w:type="dxa"/>
              <w:right w:w="60" w:type="dxa"/>
            </w:tcMar>
          </w:tcPr>
          <w:p w14:paraId="0214B98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29" w:type="pct"/>
            <w:gridSpan w:val="2"/>
            <w:shd w:val="clear" w:color="auto" w:fill="FFFFFF"/>
            <w:tcMar>
              <w:left w:w="60" w:type="dxa"/>
              <w:right w:w="60" w:type="dxa"/>
            </w:tcMar>
          </w:tcPr>
          <w:p w14:paraId="701E5FD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9" w:type="pct"/>
            <w:gridSpan w:val="2"/>
            <w:shd w:val="clear" w:color="auto" w:fill="FFFFFF"/>
            <w:tcMar>
              <w:left w:w="60" w:type="dxa"/>
              <w:right w:w="60" w:type="dxa"/>
            </w:tcMar>
          </w:tcPr>
          <w:p w14:paraId="584F6EE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58" w:type="pct"/>
            <w:shd w:val="clear" w:color="auto" w:fill="FFFFFF"/>
            <w:tcMar>
              <w:left w:w="60" w:type="dxa"/>
              <w:right w:w="60" w:type="dxa"/>
            </w:tcMar>
          </w:tcPr>
          <w:p w14:paraId="7A5DB24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r>
      <w:tr w:rsidR="002A0F5D" w:rsidRPr="006C68C4" w14:paraId="68BFADBF" w14:textId="77777777" w:rsidTr="00BA04E9">
        <w:trPr>
          <w:cantSplit/>
          <w:jc w:val="center"/>
        </w:trPr>
        <w:tc>
          <w:tcPr>
            <w:tcW w:w="553" w:type="pct"/>
            <w:shd w:val="clear" w:color="auto" w:fill="FFFFFF"/>
            <w:tcMar>
              <w:left w:w="60" w:type="dxa"/>
              <w:right w:w="60" w:type="dxa"/>
            </w:tcMar>
          </w:tcPr>
          <w:p w14:paraId="0A9009C2"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12 Months after Maintenance Date</w:t>
            </w:r>
          </w:p>
        </w:tc>
        <w:tc>
          <w:tcPr>
            <w:tcW w:w="554" w:type="pct"/>
            <w:shd w:val="clear" w:color="auto" w:fill="FFFFFF"/>
            <w:tcMar>
              <w:left w:w="60" w:type="dxa"/>
              <w:right w:w="60" w:type="dxa"/>
            </w:tcMar>
          </w:tcPr>
          <w:p w14:paraId="52D31524"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In Study</w:t>
            </w:r>
          </w:p>
        </w:tc>
        <w:tc>
          <w:tcPr>
            <w:tcW w:w="692" w:type="pct"/>
            <w:shd w:val="clear" w:color="auto" w:fill="FFFFFF"/>
            <w:tcMar>
              <w:left w:w="60" w:type="dxa"/>
              <w:right w:w="60" w:type="dxa"/>
            </w:tcMar>
          </w:tcPr>
          <w:p w14:paraId="06DEF2BA" w14:textId="77777777" w:rsidR="002A0F5D" w:rsidRPr="006C68C4" w:rsidRDefault="002A0F5D" w:rsidP="00BA04E9">
            <w:pPr>
              <w:adjustRightInd w:val="0"/>
              <w:spacing w:before="60" w:after="60"/>
              <w:rPr>
                <w:rFonts w:ascii="Arial" w:hAnsi="Arial" w:cs="Arial"/>
                <w:color w:val="000000"/>
                <w:sz w:val="18"/>
                <w:szCs w:val="18"/>
              </w:rPr>
            </w:pPr>
          </w:p>
        </w:tc>
        <w:tc>
          <w:tcPr>
            <w:tcW w:w="417" w:type="pct"/>
            <w:shd w:val="clear" w:color="auto" w:fill="FFFFFF"/>
            <w:tcMar>
              <w:left w:w="60" w:type="dxa"/>
              <w:right w:w="60" w:type="dxa"/>
            </w:tcMar>
          </w:tcPr>
          <w:p w14:paraId="32128B9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407 (74.95%)</w:t>
            </w:r>
          </w:p>
        </w:tc>
        <w:tc>
          <w:tcPr>
            <w:tcW w:w="414" w:type="pct"/>
            <w:shd w:val="clear" w:color="auto" w:fill="FFFFFF"/>
            <w:tcMar>
              <w:left w:w="60" w:type="dxa"/>
              <w:right w:w="60" w:type="dxa"/>
            </w:tcMar>
          </w:tcPr>
          <w:p w14:paraId="0C81ADF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83 (83.84%)</w:t>
            </w:r>
          </w:p>
        </w:tc>
        <w:tc>
          <w:tcPr>
            <w:tcW w:w="417" w:type="pct"/>
            <w:shd w:val="clear" w:color="auto" w:fill="FFFFFF"/>
            <w:tcMar>
              <w:left w:w="60" w:type="dxa"/>
              <w:right w:w="60" w:type="dxa"/>
            </w:tcMar>
          </w:tcPr>
          <w:p w14:paraId="65FAD61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117 (74.05%)</w:t>
            </w:r>
          </w:p>
        </w:tc>
        <w:tc>
          <w:tcPr>
            <w:tcW w:w="370" w:type="pct"/>
            <w:shd w:val="clear" w:color="auto" w:fill="FFFFFF"/>
            <w:tcMar>
              <w:left w:w="60" w:type="dxa"/>
              <w:right w:w="60" w:type="dxa"/>
            </w:tcMar>
          </w:tcPr>
          <w:p w14:paraId="62F3D42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24 (66.67%)</w:t>
            </w:r>
          </w:p>
        </w:tc>
        <w:tc>
          <w:tcPr>
            <w:tcW w:w="417" w:type="pct"/>
            <w:shd w:val="clear" w:color="auto" w:fill="FFFFFF"/>
            <w:tcMar>
              <w:left w:w="60" w:type="dxa"/>
              <w:right w:w="60" w:type="dxa"/>
            </w:tcMar>
          </w:tcPr>
          <w:p w14:paraId="3F1F6F1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29" w:type="pct"/>
            <w:gridSpan w:val="2"/>
            <w:shd w:val="clear" w:color="auto" w:fill="FFFFFF"/>
            <w:tcMar>
              <w:left w:w="60" w:type="dxa"/>
              <w:right w:w="60" w:type="dxa"/>
            </w:tcMar>
          </w:tcPr>
          <w:p w14:paraId="33F53CF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19 (63.33%)</w:t>
            </w:r>
          </w:p>
        </w:tc>
        <w:tc>
          <w:tcPr>
            <w:tcW w:w="379" w:type="pct"/>
            <w:gridSpan w:val="2"/>
            <w:shd w:val="clear" w:color="auto" w:fill="FFFFFF"/>
            <w:tcMar>
              <w:left w:w="60" w:type="dxa"/>
              <w:right w:w="60" w:type="dxa"/>
            </w:tcMar>
          </w:tcPr>
          <w:p w14:paraId="62309C6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100 (76.34%)</w:t>
            </w:r>
          </w:p>
        </w:tc>
        <w:tc>
          <w:tcPr>
            <w:tcW w:w="358" w:type="pct"/>
            <w:shd w:val="clear" w:color="auto" w:fill="FFFFFF"/>
            <w:tcMar>
              <w:left w:w="60" w:type="dxa"/>
              <w:right w:w="60" w:type="dxa"/>
            </w:tcMar>
          </w:tcPr>
          <w:p w14:paraId="7DEC2E7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750 (75.23%)</w:t>
            </w:r>
          </w:p>
        </w:tc>
      </w:tr>
      <w:tr w:rsidR="002A0F5D" w:rsidRPr="006C68C4" w14:paraId="42183201" w14:textId="77777777" w:rsidTr="00BA04E9">
        <w:trPr>
          <w:cantSplit/>
          <w:jc w:val="center"/>
        </w:trPr>
        <w:tc>
          <w:tcPr>
            <w:tcW w:w="553" w:type="pct"/>
            <w:shd w:val="clear" w:color="auto" w:fill="FFFFFF"/>
            <w:tcMar>
              <w:left w:w="60" w:type="dxa"/>
              <w:right w:w="60" w:type="dxa"/>
            </w:tcMar>
          </w:tcPr>
          <w:p w14:paraId="1C7977D8"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7AF74BD1"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Study discontinued, n (%)</w:t>
            </w:r>
          </w:p>
        </w:tc>
        <w:tc>
          <w:tcPr>
            <w:tcW w:w="692" w:type="pct"/>
            <w:shd w:val="clear" w:color="auto" w:fill="FFFFFF"/>
            <w:tcMar>
              <w:left w:w="60" w:type="dxa"/>
              <w:right w:w="60" w:type="dxa"/>
            </w:tcMar>
          </w:tcPr>
          <w:p w14:paraId="7C249386" w14:textId="77777777" w:rsidR="002A0F5D" w:rsidRPr="006C68C4" w:rsidRDefault="002A0F5D" w:rsidP="00BA04E9">
            <w:pPr>
              <w:adjustRightInd w:val="0"/>
              <w:spacing w:before="60" w:after="60"/>
              <w:rPr>
                <w:rFonts w:ascii="Arial" w:hAnsi="Arial" w:cs="Arial"/>
                <w:color w:val="000000"/>
                <w:sz w:val="18"/>
                <w:szCs w:val="18"/>
              </w:rPr>
            </w:pPr>
          </w:p>
        </w:tc>
        <w:tc>
          <w:tcPr>
            <w:tcW w:w="417" w:type="pct"/>
            <w:shd w:val="clear" w:color="auto" w:fill="FFFFFF"/>
            <w:tcMar>
              <w:left w:w="60" w:type="dxa"/>
              <w:right w:w="60" w:type="dxa"/>
            </w:tcMar>
          </w:tcPr>
          <w:p w14:paraId="223C6C9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136 (25.05%)</w:t>
            </w:r>
          </w:p>
        </w:tc>
        <w:tc>
          <w:tcPr>
            <w:tcW w:w="414" w:type="pct"/>
            <w:shd w:val="clear" w:color="auto" w:fill="FFFFFF"/>
            <w:tcMar>
              <w:left w:w="60" w:type="dxa"/>
              <w:right w:w="60" w:type="dxa"/>
            </w:tcMar>
          </w:tcPr>
          <w:p w14:paraId="031EF93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 (16.16%)</w:t>
            </w:r>
          </w:p>
        </w:tc>
        <w:tc>
          <w:tcPr>
            <w:tcW w:w="417" w:type="pct"/>
            <w:shd w:val="clear" w:color="auto" w:fill="FFFFFF"/>
            <w:tcMar>
              <w:left w:w="60" w:type="dxa"/>
              <w:right w:w="60" w:type="dxa"/>
            </w:tcMar>
          </w:tcPr>
          <w:p w14:paraId="564C297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41 (25.95%)</w:t>
            </w:r>
          </w:p>
        </w:tc>
        <w:tc>
          <w:tcPr>
            <w:tcW w:w="370" w:type="pct"/>
            <w:shd w:val="clear" w:color="auto" w:fill="FFFFFF"/>
            <w:tcMar>
              <w:left w:w="60" w:type="dxa"/>
              <w:right w:w="60" w:type="dxa"/>
            </w:tcMar>
          </w:tcPr>
          <w:p w14:paraId="42E0B78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12 (33.33%)</w:t>
            </w:r>
          </w:p>
        </w:tc>
        <w:tc>
          <w:tcPr>
            <w:tcW w:w="417" w:type="pct"/>
            <w:shd w:val="clear" w:color="auto" w:fill="FFFFFF"/>
            <w:tcMar>
              <w:left w:w="60" w:type="dxa"/>
              <w:right w:w="60" w:type="dxa"/>
            </w:tcMar>
          </w:tcPr>
          <w:p w14:paraId="41EE282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29" w:type="pct"/>
            <w:gridSpan w:val="2"/>
            <w:shd w:val="clear" w:color="auto" w:fill="FFFFFF"/>
            <w:tcMar>
              <w:left w:w="60" w:type="dxa"/>
              <w:right w:w="60" w:type="dxa"/>
            </w:tcMar>
          </w:tcPr>
          <w:p w14:paraId="68869BF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11 (36.67%)</w:t>
            </w:r>
          </w:p>
        </w:tc>
        <w:tc>
          <w:tcPr>
            <w:tcW w:w="379" w:type="pct"/>
            <w:gridSpan w:val="2"/>
            <w:shd w:val="clear" w:color="auto" w:fill="FFFFFF"/>
            <w:tcMar>
              <w:left w:w="60" w:type="dxa"/>
              <w:right w:w="60" w:type="dxa"/>
            </w:tcMar>
          </w:tcPr>
          <w:p w14:paraId="0F1AE12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31 (23.66%)</w:t>
            </w:r>
          </w:p>
        </w:tc>
        <w:tc>
          <w:tcPr>
            <w:tcW w:w="358" w:type="pct"/>
            <w:shd w:val="clear" w:color="auto" w:fill="FFFFFF"/>
            <w:tcMar>
              <w:left w:w="60" w:type="dxa"/>
              <w:right w:w="60" w:type="dxa"/>
            </w:tcMar>
          </w:tcPr>
          <w:p w14:paraId="153C370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247 (24.77%)</w:t>
            </w:r>
          </w:p>
        </w:tc>
      </w:tr>
      <w:tr w:rsidR="002A0F5D" w:rsidRPr="006C68C4" w14:paraId="705FB1B0" w14:textId="77777777" w:rsidTr="00BA04E9">
        <w:trPr>
          <w:cantSplit/>
          <w:jc w:val="center"/>
        </w:trPr>
        <w:tc>
          <w:tcPr>
            <w:tcW w:w="553" w:type="pct"/>
            <w:shd w:val="clear" w:color="auto" w:fill="FFFFFF"/>
            <w:tcMar>
              <w:left w:w="60" w:type="dxa"/>
              <w:right w:w="60" w:type="dxa"/>
            </w:tcMar>
          </w:tcPr>
          <w:p w14:paraId="3543331F"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6E0CEF2C" w14:textId="77777777" w:rsidR="002A0F5D" w:rsidRPr="006C68C4" w:rsidRDefault="002A0F5D" w:rsidP="00BA04E9">
            <w:pPr>
              <w:adjustRightInd w:val="0"/>
              <w:spacing w:before="60" w:after="60"/>
              <w:rPr>
                <w:rFonts w:ascii="Arial" w:hAnsi="Arial" w:cs="Arial"/>
                <w:color w:val="000000"/>
                <w:sz w:val="18"/>
                <w:szCs w:val="18"/>
              </w:rPr>
            </w:pPr>
          </w:p>
        </w:tc>
        <w:tc>
          <w:tcPr>
            <w:tcW w:w="692" w:type="pct"/>
            <w:shd w:val="clear" w:color="auto" w:fill="FFFFFF"/>
            <w:tcMar>
              <w:left w:w="60" w:type="dxa"/>
              <w:right w:w="60" w:type="dxa"/>
            </w:tcMar>
          </w:tcPr>
          <w:p w14:paraId="01404CB2"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follow-up</w:t>
            </w:r>
          </w:p>
        </w:tc>
        <w:tc>
          <w:tcPr>
            <w:tcW w:w="417" w:type="pct"/>
            <w:shd w:val="clear" w:color="auto" w:fill="FFFFFF"/>
            <w:tcMar>
              <w:left w:w="60" w:type="dxa"/>
              <w:right w:w="60" w:type="dxa"/>
            </w:tcMar>
          </w:tcPr>
          <w:p w14:paraId="1ACAF6B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136</w:t>
            </w:r>
          </w:p>
        </w:tc>
        <w:tc>
          <w:tcPr>
            <w:tcW w:w="414" w:type="pct"/>
            <w:shd w:val="clear" w:color="auto" w:fill="FFFFFF"/>
            <w:tcMar>
              <w:left w:w="60" w:type="dxa"/>
              <w:right w:w="60" w:type="dxa"/>
            </w:tcMar>
          </w:tcPr>
          <w:p w14:paraId="7768CC0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w:t>
            </w:r>
          </w:p>
        </w:tc>
        <w:tc>
          <w:tcPr>
            <w:tcW w:w="417" w:type="pct"/>
            <w:shd w:val="clear" w:color="auto" w:fill="FFFFFF"/>
            <w:tcMar>
              <w:left w:w="60" w:type="dxa"/>
              <w:right w:w="60" w:type="dxa"/>
            </w:tcMar>
          </w:tcPr>
          <w:p w14:paraId="0A695C8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41</w:t>
            </w:r>
          </w:p>
        </w:tc>
        <w:tc>
          <w:tcPr>
            <w:tcW w:w="370" w:type="pct"/>
            <w:shd w:val="clear" w:color="auto" w:fill="FFFFFF"/>
            <w:tcMar>
              <w:left w:w="60" w:type="dxa"/>
              <w:right w:w="60" w:type="dxa"/>
            </w:tcMar>
          </w:tcPr>
          <w:p w14:paraId="070EF5F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12</w:t>
            </w:r>
          </w:p>
        </w:tc>
        <w:tc>
          <w:tcPr>
            <w:tcW w:w="417" w:type="pct"/>
            <w:shd w:val="clear" w:color="auto" w:fill="FFFFFF"/>
            <w:tcMar>
              <w:left w:w="60" w:type="dxa"/>
              <w:right w:w="60" w:type="dxa"/>
            </w:tcMar>
          </w:tcPr>
          <w:p w14:paraId="63FEDF8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29" w:type="pct"/>
            <w:gridSpan w:val="2"/>
            <w:shd w:val="clear" w:color="auto" w:fill="FFFFFF"/>
            <w:tcMar>
              <w:left w:w="60" w:type="dxa"/>
              <w:right w:w="60" w:type="dxa"/>
            </w:tcMar>
          </w:tcPr>
          <w:p w14:paraId="43D2B70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11</w:t>
            </w:r>
          </w:p>
        </w:tc>
        <w:tc>
          <w:tcPr>
            <w:tcW w:w="379" w:type="pct"/>
            <w:gridSpan w:val="2"/>
            <w:shd w:val="clear" w:color="auto" w:fill="FFFFFF"/>
            <w:tcMar>
              <w:left w:w="60" w:type="dxa"/>
              <w:right w:w="60" w:type="dxa"/>
            </w:tcMar>
          </w:tcPr>
          <w:p w14:paraId="05C4781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30</w:t>
            </w:r>
          </w:p>
        </w:tc>
        <w:tc>
          <w:tcPr>
            <w:tcW w:w="358" w:type="pct"/>
            <w:shd w:val="clear" w:color="auto" w:fill="FFFFFF"/>
            <w:tcMar>
              <w:left w:w="60" w:type="dxa"/>
              <w:right w:w="60" w:type="dxa"/>
            </w:tcMar>
          </w:tcPr>
          <w:p w14:paraId="5D3FB71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246</w:t>
            </w:r>
          </w:p>
        </w:tc>
      </w:tr>
      <w:tr w:rsidR="002A0F5D" w:rsidRPr="006C68C4" w14:paraId="0C72B6B9" w14:textId="77777777" w:rsidTr="00BA04E9">
        <w:trPr>
          <w:cantSplit/>
          <w:jc w:val="center"/>
        </w:trPr>
        <w:tc>
          <w:tcPr>
            <w:tcW w:w="553" w:type="pct"/>
            <w:shd w:val="clear" w:color="auto" w:fill="FFFFFF"/>
            <w:tcMar>
              <w:left w:w="60" w:type="dxa"/>
              <w:right w:w="60" w:type="dxa"/>
            </w:tcMar>
          </w:tcPr>
          <w:p w14:paraId="22309FF4"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3E752696" w14:textId="77777777" w:rsidR="002A0F5D" w:rsidRPr="006C68C4" w:rsidRDefault="002A0F5D" w:rsidP="00BA04E9">
            <w:pPr>
              <w:adjustRightInd w:val="0"/>
              <w:spacing w:before="60" w:after="60"/>
              <w:rPr>
                <w:rFonts w:ascii="Arial" w:hAnsi="Arial" w:cs="Arial"/>
                <w:color w:val="000000"/>
                <w:sz w:val="18"/>
                <w:szCs w:val="18"/>
              </w:rPr>
            </w:pPr>
          </w:p>
        </w:tc>
        <w:tc>
          <w:tcPr>
            <w:tcW w:w="692" w:type="pct"/>
            <w:shd w:val="clear" w:color="auto" w:fill="FFFFFF"/>
            <w:tcMar>
              <w:left w:w="60" w:type="dxa"/>
              <w:right w:w="60" w:type="dxa"/>
            </w:tcMar>
          </w:tcPr>
          <w:p w14:paraId="2F562541" w14:textId="371FE32C"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 xml:space="preserve">End of Data </w:t>
            </w:r>
            <w:proofErr w:type="spellStart"/>
            <w:r w:rsidRPr="006C68C4">
              <w:rPr>
                <w:rFonts w:ascii="Arial" w:hAnsi="Arial" w:cs="Arial"/>
                <w:color w:val="000000"/>
                <w:sz w:val="18"/>
                <w:szCs w:val="18"/>
              </w:rPr>
              <w:t>Availability</w:t>
            </w:r>
            <w:proofErr w:type="spellEnd"/>
            <w:r w:rsidR="000205ED">
              <w:rPr>
                <w:rFonts w:ascii="Arial" w:hAnsi="Arial" w:cs="Arial"/>
                <w:color w:val="000000"/>
                <w:sz w:val="18"/>
                <w:szCs w:val="18"/>
                <w:vertAlign w:val="superscript"/>
              </w:rPr>
              <w:t>[‡]</w:t>
            </w:r>
          </w:p>
        </w:tc>
        <w:tc>
          <w:tcPr>
            <w:tcW w:w="417" w:type="pct"/>
            <w:shd w:val="clear" w:color="auto" w:fill="FFFFFF"/>
            <w:tcMar>
              <w:left w:w="60" w:type="dxa"/>
              <w:right w:w="60" w:type="dxa"/>
            </w:tcMar>
          </w:tcPr>
          <w:p w14:paraId="16E0038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4" w:type="pct"/>
            <w:shd w:val="clear" w:color="auto" w:fill="FFFFFF"/>
            <w:tcMar>
              <w:left w:w="60" w:type="dxa"/>
              <w:right w:w="60" w:type="dxa"/>
            </w:tcMar>
          </w:tcPr>
          <w:p w14:paraId="2AF3645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shd w:val="clear" w:color="auto" w:fill="FFFFFF"/>
            <w:tcMar>
              <w:left w:w="60" w:type="dxa"/>
              <w:right w:w="60" w:type="dxa"/>
            </w:tcMar>
          </w:tcPr>
          <w:p w14:paraId="565D872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shd w:val="clear" w:color="auto" w:fill="FFFFFF"/>
            <w:tcMar>
              <w:left w:w="60" w:type="dxa"/>
              <w:right w:w="60" w:type="dxa"/>
            </w:tcMar>
          </w:tcPr>
          <w:p w14:paraId="5D17587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shd w:val="clear" w:color="auto" w:fill="FFFFFF"/>
            <w:tcMar>
              <w:left w:w="60" w:type="dxa"/>
              <w:right w:w="60" w:type="dxa"/>
            </w:tcMar>
          </w:tcPr>
          <w:p w14:paraId="63AA5B0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29" w:type="pct"/>
            <w:gridSpan w:val="2"/>
            <w:shd w:val="clear" w:color="auto" w:fill="FFFFFF"/>
            <w:tcMar>
              <w:left w:w="60" w:type="dxa"/>
              <w:right w:w="60" w:type="dxa"/>
            </w:tcMar>
          </w:tcPr>
          <w:p w14:paraId="1973B89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9" w:type="pct"/>
            <w:gridSpan w:val="2"/>
            <w:shd w:val="clear" w:color="auto" w:fill="FFFFFF"/>
            <w:tcMar>
              <w:left w:w="60" w:type="dxa"/>
              <w:right w:w="60" w:type="dxa"/>
            </w:tcMar>
          </w:tcPr>
          <w:p w14:paraId="077C916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58" w:type="pct"/>
            <w:shd w:val="clear" w:color="auto" w:fill="FFFFFF"/>
            <w:tcMar>
              <w:left w:w="60" w:type="dxa"/>
              <w:right w:w="60" w:type="dxa"/>
            </w:tcMar>
          </w:tcPr>
          <w:p w14:paraId="50E215F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r>
      <w:tr w:rsidR="002A0F5D" w:rsidRPr="006C68C4" w14:paraId="2D83CE2F" w14:textId="77777777" w:rsidTr="00BA04E9">
        <w:trPr>
          <w:cantSplit/>
          <w:jc w:val="center"/>
        </w:trPr>
        <w:tc>
          <w:tcPr>
            <w:tcW w:w="553" w:type="pct"/>
            <w:shd w:val="clear" w:color="auto" w:fill="FFFFFF"/>
            <w:tcMar>
              <w:left w:w="60" w:type="dxa"/>
              <w:right w:w="60" w:type="dxa"/>
            </w:tcMar>
          </w:tcPr>
          <w:p w14:paraId="27D89DF1"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18 Months after Maintenance Date</w:t>
            </w:r>
          </w:p>
        </w:tc>
        <w:tc>
          <w:tcPr>
            <w:tcW w:w="554" w:type="pct"/>
            <w:shd w:val="clear" w:color="auto" w:fill="FFFFFF"/>
            <w:tcMar>
              <w:left w:w="60" w:type="dxa"/>
              <w:right w:w="60" w:type="dxa"/>
            </w:tcMar>
          </w:tcPr>
          <w:p w14:paraId="3C2FEC03"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In Study</w:t>
            </w:r>
          </w:p>
        </w:tc>
        <w:tc>
          <w:tcPr>
            <w:tcW w:w="692" w:type="pct"/>
            <w:shd w:val="clear" w:color="auto" w:fill="FFFFFF"/>
            <w:tcMar>
              <w:left w:w="60" w:type="dxa"/>
              <w:right w:w="60" w:type="dxa"/>
            </w:tcMar>
          </w:tcPr>
          <w:p w14:paraId="157DF12E" w14:textId="77777777" w:rsidR="002A0F5D" w:rsidRPr="006C68C4" w:rsidRDefault="002A0F5D" w:rsidP="00BA04E9">
            <w:pPr>
              <w:adjustRightInd w:val="0"/>
              <w:spacing w:before="60" w:after="60"/>
              <w:rPr>
                <w:rFonts w:ascii="Arial" w:hAnsi="Arial" w:cs="Arial"/>
                <w:color w:val="000000"/>
                <w:sz w:val="18"/>
                <w:szCs w:val="18"/>
              </w:rPr>
            </w:pPr>
          </w:p>
        </w:tc>
        <w:tc>
          <w:tcPr>
            <w:tcW w:w="417" w:type="pct"/>
            <w:shd w:val="clear" w:color="auto" w:fill="FFFFFF"/>
            <w:tcMar>
              <w:left w:w="60" w:type="dxa"/>
              <w:right w:w="60" w:type="dxa"/>
            </w:tcMar>
          </w:tcPr>
          <w:p w14:paraId="1B9A2D2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314 (77.15%)</w:t>
            </w:r>
          </w:p>
        </w:tc>
        <w:tc>
          <w:tcPr>
            <w:tcW w:w="414" w:type="pct"/>
            <w:shd w:val="clear" w:color="auto" w:fill="FFFFFF"/>
            <w:tcMar>
              <w:left w:w="60" w:type="dxa"/>
              <w:right w:w="60" w:type="dxa"/>
            </w:tcMar>
          </w:tcPr>
          <w:p w14:paraId="04C2266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60 (72.29%)</w:t>
            </w:r>
          </w:p>
        </w:tc>
        <w:tc>
          <w:tcPr>
            <w:tcW w:w="417" w:type="pct"/>
            <w:shd w:val="clear" w:color="auto" w:fill="FFFFFF"/>
            <w:tcMar>
              <w:left w:w="60" w:type="dxa"/>
              <w:right w:w="60" w:type="dxa"/>
            </w:tcMar>
          </w:tcPr>
          <w:p w14:paraId="274807F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85 (72.65%)</w:t>
            </w:r>
          </w:p>
        </w:tc>
        <w:tc>
          <w:tcPr>
            <w:tcW w:w="370" w:type="pct"/>
            <w:shd w:val="clear" w:color="auto" w:fill="FFFFFF"/>
            <w:tcMar>
              <w:left w:w="60" w:type="dxa"/>
              <w:right w:w="60" w:type="dxa"/>
            </w:tcMar>
          </w:tcPr>
          <w:p w14:paraId="1166AB0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15 (62.5%)</w:t>
            </w:r>
          </w:p>
        </w:tc>
        <w:tc>
          <w:tcPr>
            <w:tcW w:w="417" w:type="pct"/>
            <w:shd w:val="clear" w:color="auto" w:fill="FFFFFF"/>
            <w:tcMar>
              <w:left w:w="60" w:type="dxa"/>
              <w:right w:w="60" w:type="dxa"/>
            </w:tcMar>
          </w:tcPr>
          <w:p w14:paraId="2ABC280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29" w:type="pct"/>
            <w:gridSpan w:val="2"/>
            <w:shd w:val="clear" w:color="auto" w:fill="FFFFFF"/>
            <w:tcMar>
              <w:left w:w="60" w:type="dxa"/>
              <w:right w:w="60" w:type="dxa"/>
            </w:tcMar>
          </w:tcPr>
          <w:p w14:paraId="0F57568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 (52.63%)</w:t>
            </w:r>
          </w:p>
        </w:tc>
        <w:tc>
          <w:tcPr>
            <w:tcW w:w="379" w:type="pct"/>
            <w:gridSpan w:val="2"/>
            <w:shd w:val="clear" w:color="auto" w:fill="FFFFFF"/>
            <w:tcMar>
              <w:left w:w="60" w:type="dxa"/>
              <w:right w:w="60" w:type="dxa"/>
            </w:tcMar>
          </w:tcPr>
          <w:p w14:paraId="249F3A4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57 (57%)</w:t>
            </w:r>
          </w:p>
        </w:tc>
        <w:tc>
          <w:tcPr>
            <w:tcW w:w="358" w:type="pct"/>
            <w:shd w:val="clear" w:color="auto" w:fill="FFFFFF"/>
            <w:tcMar>
              <w:left w:w="60" w:type="dxa"/>
              <w:right w:w="60" w:type="dxa"/>
            </w:tcMar>
          </w:tcPr>
          <w:p w14:paraId="0B8CA43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541 (72.13%)</w:t>
            </w:r>
          </w:p>
        </w:tc>
      </w:tr>
      <w:tr w:rsidR="002A0F5D" w:rsidRPr="006C68C4" w14:paraId="3B83D2E8" w14:textId="77777777" w:rsidTr="00BA04E9">
        <w:trPr>
          <w:cantSplit/>
          <w:jc w:val="center"/>
        </w:trPr>
        <w:tc>
          <w:tcPr>
            <w:tcW w:w="553" w:type="pct"/>
            <w:shd w:val="clear" w:color="auto" w:fill="FFFFFF"/>
            <w:tcMar>
              <w:left w:w="60" w:type="dxa"/>
              <w:right w:w="60" w:type="dxa"/>
            </w:tcMar>
          </w:tcPr>
          <w:p w14:paraId="3489A782"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1FEBF62D"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Study discontinued, n (%)</w:t>
            </w:r>
          </w:p>
        </w:tc>
        <w:tc>
          <w:tcPr>
            <w:tcW w:w="692" w:type="pct"/>
            <w:shd w:val="clear" w:color="auto" w:fill="FFFFFF"/>
            <w:tcMar>
              <w:left w:w="60" w:type="dxa"/>
              <w:right w:w="60" w:type="dxa"/>
            </w:tcMar>
          </w:tcPr>
          <w:p w14:paraId="3A4FEEEB" w14:textId="77777777" w:rsidR="002A0F5D" w:rsidRPr="006C68C4" w:rsidRDefault="002A0F5D" w:rsidP="00BA04E9">
            <w:pPr>
              <w:adjustRightInd w:val="0"/>
              <w:spacing w:before="60" w:after="60"/>
              <w:rPr>
                <w:rFonts w:ascii="Arial" w:hAnsi="Arial" w:cs="Arial"/>
                <w:color w:val="000000"/>
                <w:sz w:val="18"/>
                <w:szCs w:val="18"/>
              </w:rPr>
            </w:pPr>
          </w:p>
        </w:tc>
        <w:tc>
          <w:tcPr>
            <w:tcW w:w="417" w:type="pct"/>
            <w:shd w:val="clear" w:color="auto" w:fill="FFFFFF"/>
            <w:tcMar>
              <w:left w:w="60" w:type="dxa"/>
              <w:right w:w="60" w:type="dxa"/>
            </w:tcMar>
          </w:tcPr>
          <w:p w14:paraId="278D8DA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93 (22.85%)</w:t>
            </w:r>
          </w:p>
        </w:tc>
        <w:tc>
          <w:tcPr>
            <w:tcW w:w="414" w:type="pct"/>
            <w:shd w:val="clear" w:color="auto" w:fill="FFFFFF"/>
            <w:tcMar>
              <w:left w:w="60" w:type="dxa"/>
              <w:right w:w="60" w:type="dxa"/>
            </w:tcMar>
          </w:tcPr>
          <w:p w14:paraId="7C80292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23 (27.71%)</w:t>
            </w:r>
          </w:p>
        </w:tc>
        <w:tc>
          <w:tcPr>
            <w:tcW w:w="417" w:type="pct"/>
            <w:shd w:val="clear" w:color="auto" w:fill="FFFFFF"/>
            <w:tcMar>
              <w:left w:w="60" w:type="dxa"/>
              <w:right w:w="60" w:type="dxa"/>
            </w:tcMar>
          </w:tcPr>
          <w:p w14:paraId="5BB826D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32 (27.35%)</w:t>
            </w:r>
          </w:p>
        </w:tc>
        <w:tc>
          <w:tcPr>
            <w:tcW w:w="370" w:type="pct"/>
            <w:shd w:val="clear" w:color="auto" w:fill="FFFFFF"/>
            <w:tcMar>
              <w:left w:w="60" w:type="dxa"/>
              <w:right w:w="60" w:type="dxa"/>
            </w:tcMar>
          </w:tcPr>
          <w:p w14:paraId="42B8012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 (37.5%)</w:t>
            </w:r>
          </w:p>
        </w:tc>
        <w:tc>
          <w:tcPr>
            <w:tcW w:w="417" w:type="pct"/>
            <w:shd w:val="clear" w:color="auto" w:fill="FFFFFF"/>
            <w:tcMar>
              <w:left w:w="60" w:type="dxa"/>
              <w:right w:w="60" w:type="dxa"/>
            </w:tcMar>
          </w:tcPr>
          <w:p w14:paraId="2811A56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29" w:type="pct"/>
            <w:gridSpan w:val="2"/>
            <w:shd w:val="clear" w:color="auto" w:fill="FFFFFF"/>
            <w:tcMar>
              <w:left w:w="60" w:type="dxa"/>
              <w:right w:w="60" w:type="dxa"/>
            </w:tcMar>
          </w:tcPr>
          <w:p w14:paraId="4802ADD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 (47.37%)</w:t>
            </w:r>
          </w:p>
        </w:tc>
        <w:tc>
          <w:tcPr>
            <w:tcW w:w="379" w:type="pct"/>
            <w:gridSpan w:val="2"/>
            <w:shd w:val="clear" w:color="auto" w:fill="FFFFFF"/>
            <w:tcMar>
              <w:left w:w="60" w:type="dxa"/>
              <w:right w:w="60" w:type="dxa"/>
            </w:tcMar>
          </w:tcPr>
          <w:p w14:paraId="29D3FA0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43 (43%)</w:t>
            </w:r>
          </w:p>
        </w:tc>
        <w:tc>
          <w:tcPr>
            <w:tcW w:w="358" w:type="pct"/>
            <w:shd w:val="clear" w:color="auto" w:fill="FFFFFF"/>
            <w:tcMar>
              <w:left w:w="60" w:type="dxa"/>
              <w:right w:w="60" w:type="dxa"/>
            </w:tcMar>
          </w:tcPr>
          <w:p w14:paraId="442ADD9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209 (27.87%)</w:t>
            </w:r>
          </w:p>
        </w:tc>
      </w:tr>
      <w:tr w:rsidR="002A0F5D" w:rsidRPr="006C68C4" w14:paraId="3854B7C8" w14:textId="77777777" w:rsidTr="00BA04E9">
        <w:trPr>
          <w:cantSplit/>
          <w:jc w:val="center"/>
        </w:trPr>
        <w:tc>
          <w:tcPr>
            <w:tcW w:w="553" w:type="pct"/>
            <w:shd w:val="clear" w:color="auto" w:fill="FFFFFF"/>
            <w:tcMar>
              <w:left w:w="60" w:type="dxa"/>
              <w:right w:w="60" w:type="dxa"/>
            </w:tcMar>
          </w:tcPr>
          <w:p w14:paraId="4B3EDB15"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45679570" w14:textId="77777777" w:rsidR="002A0F5D" w:rsidRPr="006C68C4" w:rsidRDefault="002A0F5D" w:rsidP="00BA04E9">
            <w:pPr>
              <w:adjustRightInd w:val="0"/>
              <w:spacing w:before="60" w:after="60"/>
              <w:rPr>
                <w:rFonts w:ascii="Arial" w:hAnsi="Arial" w:cs="Arial"/>
                <w:color w:val="000000"/>
                <w:sz w:val="18"/>
                <w:szCs w:val="18"/>
              </w:rPr>
            </w:pPr>
          </w:p>
        </w:tc>
        <w:tc>
          <w:tcPr>
            <w:tcW w:w="692" w:type="pct"/>
            <w:shd w:val="clear" w:color="auto" w:fill="FFFFFF"/>
            <w:tcMar>
              <w:left w:w="60" w:type="dxa"/>
              <w:right w:w="60" w:type="dxa"/>
            </w:tcMar>
          </w:tcPr>
          <w:p w14:paraId="31DCB73D"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follow-up</w:t>
            </w:r>
          </w:p>
        </w:tc>
        <w:tc>
          <w:tcPr>
            <w:tcW w:w="417" w:type="pct"/>
            <w:shd w:val="clear" w:color="auto" w:fill="FFFFFF"/>
            <w:tcMar>
              <w:left w:w="60" w:type="dxa"/>
              <w:right w:w="60" w:type="dxa"/>
            </w:tcMar>
          </w:tcPr>
          <w:p w14:paraId="7B6E78E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92</w:t>
            </w:r>
          </w:p>
        </w:tc>
        <w:tc>
          <w:tcPr>
            <w:tcW w:w="414" w:type="pct"/>
            <w:shd w:val="clear" w:color="auto" w:fill="FFFFFF"/>
            <w:tcMar>
              <w:left w:w="60" w:type="dxa"/>
              <w:right w:w="60" w:type="dxa"/>
            </w:tcMar>
          </w:tcPr>
          <w:p w14:paraId="5821E6C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23</w:t>
            </w:r>
          </w:p>
        </w:tc>
        <w:tc>
          <w:tcPr>
            <w:tcW w:w="417" w:type="pct"/>
            <w:shd w:val="clear" w:color="auto" w:fill="FFFFFF"/>
            <w:tcMar>
              <w:left w:w="60" w:type="dxa"/>
              <w:right w:w="60" w:type="dxa"/>
            </w:tcMar>
          </w:tcPr>
          <w:p w14:paraId="27A0240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32</w:t>
            </w:r>
          </w:p>
        </w:tc>
        <w:tc>
          <w:tcPr>
            <w:tcW w:w="370" w:type="pct"/>
            <w:shd w:val="clear" w:color="auto" w:fill="FFFFFF"/>
            <w:tcMar>
              <w:left w:w="60" w:type="dxa"/>
              <w:right w:w="60" w:type="dxa"/>
            </w:tcMar>
          </w:tcPr>
          <w:p w14:paraId="4594284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w:t>
            </w:r>
          </w:p>
        </w:tc>
        <w:tc>
          <w:tcPr>
            <w:tcW w:w="417" w:type="pct"/>
            <w:shd w:val="clear" w:color="auto" w:fill="FFFFFF"/>
            <w:tcMar>
              <w:left w:w="60" w:type="dxa"/>
              <w:right w:w="60" w:type="dxa"/>
            </w:tcMar>
          </w:tcPr>
          <w:p w14:paraId="5FD9AA3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29" w:type="pct"/>
            <w:gridSpan w:val="2"/>
            <w:shd w:val="clear" w:color="auto" w:fill="FFFFFF"/>
            <w:tcMar>
              <w:left w:w="60" w:type="dxa"/>
              <w:right w:w="60" w:type="dxa"/>
            </w:tcMar>
          </w:tcPr>
          <w:p w14:paraId="3C64074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w:t>
            </w:r>
          </w:p>
        </w:tc>
        <w:tc>
          <w:tcPr>
            <w:tcW w:w="379" w:type="pct"/>
            <w:gridSpan w:val="2"/>
            <w:shd w:val="clear" w:color="auto" w:fill="FFFFFF"/>
            <w:tcMar>
              <w:left w:w="60" w:type="dxa"/>
              <w:right w:w="60" w:type="dxa"/>
            </w:tcMar>
          </w:tcPr>
          <w:p w14:paraId="6478F07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42</w:t>
            </w:r>
          </w:p>
        </w:tc>
        <w:tc>
          <w:tcPr>
            <w:tcW w:w="358" w:type="pct"/>
            <w:shd w:val="clear" w:color="auto" w:fill="FFFFFF"/>
            <w:tcMar>
              <w:left w:w="60" w:type="dxa"/>
              <w:right w:w="60" w:type="dxa"/>
            </w:tcMar>
          </w:tcPr>
          <w:p w14:paraId="0EADB06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207</w:t>
            </w:r>
          </w:p>
        </w:tc>
      </w:tr>
      <w:tr w:rsidR="002A0F5D" w:rsidRPr="006C68C4" w14:paraId="57B0F86E" w14:textId="77777777" w:rsidTr="00BA04E9">
        <w:trPr>
          <w:cantSplit/>
          <w:jc w:val="center"/>
        </w:trPr>
        <w:tc>
          <w:tcPr>
            <w:tcW w:w="553" w:type="pct"/>
            <w:shd w:val="clear" w:color="auto" w:fill="FFFFFF"/>
            <w:tcMar>
              <w:left w:w="60" w:type="dxa"/>
              <w:right w:w="60" w:type="dxa"/>
            </w:tcMar>
          </w:tcPr>
          <w:p w14:paraId="251B4A20"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22F778A1" w14:textId="77777777" w:rsidR="002A0F5D" w:rsidRPr="006C68C4" w:rsidRDefault="002A0F5D" w:rsidP="00BA04E9">
            <w:pPr>
              <w:adjustRightInd w:val="0"/>
              <w:spacing w:before="60" w:after="60"/>
              <w:rPr>
                <w:rFonts w:ascii="Arial" w:hAnsi="Arial" w:cs="Arial"/>
                <w:color w:val="000000"/>
                <w:sz w:val="18"/>
                <w:szCs w:val="18"/>
              </w:rPr>
            </w:pPr>
          </w:p>
        </w:tc>
        <w:tc>
          <w:tcPr>
            <w:tcW w:w="692" w:type="pct"/>
            <w:shd w:val="clear" w:color="auto" w:fill="FFFFFF"/>
            <w:tcMar>
              <w:left w:w="60" w:type="dxa"/>
              <w:right w:w="60" w:type="dxa"/>
            </w:tcMar>
          </w:tcPr>
          <w:p w14:paraId="0ADB8B83" w14:textId="0329FDC3"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 xml:space="preserve">End of Data </w:t>
            </w:r>
            <w:proofErr w:type="spellStart"/>
            <w:r w:rsidRPr="006C68C4">
              <w:rPr>
                <w:rFonts w:ascii="Arial" w:hAnsi="Arial" w:cs="Arial"/>
                <w:color w:val="000000"/>
                <w:sz w:val="18"/>
                <w:szCs w:val="18"/>
              </w:rPr>
              <w:t>Availability</w:t>
            </w:r>
            <w:proofErr w:type="spellEnd"/>
            <w:r w:rsidR="000205ED">
              <w:rPr>
                <w:rFonts w:ascii="Arial" w:hAnsi="Arial" w:cs="Arial"/>
                <w:color w:val="000000"/>
                <w:sz w:val="18"/>
                <w:szCs w:val="18"/>
                <w:vertAlign w:val="superscript"/>
              </w:rPr>
              <w:t>[‡]</w:t>
            </w:r>
          </w:p>
        </w:tc>
        <w:tc>
          <w:tcPr>
            <w:tcW w:w="417" w:type="pct"/>
            <w:shd w:val="clear" w:color="auto" w:fill="FFFFFF"/>
            <w:tcMar>
              <w:left w:w="60" w:type="dxa"/>
              <w:right w:w="60" w:type="dxa"/>
            </w:tcMar>
          </w:tcPr>
          <w:p w14:paraId="2383DDF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14" w:type="pct"/>
            <w:shd w:val="clear" w:color="auto" w:fill="FFFFFF"/>
            <w:tcMar>
              <w:left w:w="60" w:type="dxa"/>
              <w:right w:w="60" w:type="dxa"/>
            </w:tcMar>
          </w:tcPr>
          <w:p w14:paraId="14E6D0C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shd w:val="clear" w:color="auto" w:fill="FFFFFF"/>
            <w:tcMar>
              <w:left w:w="60" w:type="dxa"/>
              <w:right w:w="60" w:type="dxa"/>
            </w:tcMar>
          </w:tcPr>
          <w:p w14:paraId="75E434C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shd w:val="clear" w:color="auto" w:fill="FFFFFF"/>
            <w:tcMar>
              <w:left w:w="60" w:type="dxa"/>
              <w:right w:w="60" w:type="dxa"/>
            </w:tcMar>
          </w:tcPr>
          <w:p w14:paraId="4ECA02B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shd w:val="clear" w:color="auto" w:fill="FFFFFF"/>
            <w:tcMar>
              <w:left w:w="60" w:type="dxa"/>
              <w:right w:w="60" w:type="dxa"/>
            </w:tcMar>
          </w:tcPr>
          <w:p w14:paraId="36D6544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29" w:type="pct"/>
            <w:gridSpan w:val="2"/>
            <w:shd w:val="clear" w:color="auto" w:fill="FFFFFF"/>
            <w:tcMar>
              <w:left w:w="60" w:type="dxa"/>
              <w:right w:w="60" w:type="dxa"/>
            </w:tcMar>
          </w:tcPr>
          <w:p w14:paraId="576C446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9" w:type="pct"/>
            <w:gridSpan w:val="2"/>
            <w:shd w:val="clear" w:color="auto" w:fill="FFFFFF"/>
            <w:tcMar>
              <w:left w:w="60" w:type="dxa"/>
              <w:right w:w="60" w:type="dxa"/>
            </w:tcMar>
          </w:tcPr>
          <w:p w14:paraId="6F88A24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58" w:type="pct"/>
            <w:shd w:val="clear" w:color="auto" w:fill="FFFFFF"/>
            <w:tcMar>
              <w:left w:w="60" w:type="dxa"/>
              <w:right w:w="60" w:type="dxa"/>
            </w:tcMar>
          </w:tcPr>
          <w:p w14:paraId="67C6FBA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r>
      <w:tr w:rsidR="002A0F5D" w:rsidRPr="006C68C4" w14:paraId="5C826E7B" w14:textId="77777777" w:rsidTr="00BA04E9">
        <w:trPr>
          <w:cantSplit/>
          <w:jc w:val="center"/>
        </w:trPr>
        <w:tc>
          <w:tcPr>
            <w:tcW w:w="553" w:type="pct"/>
            <w:shd w:val="clear" w:color="auto" w:fill="FFFFFF"/>
            <w:tcMar>
              <w:left w:w="60" w:type="dxa"/>
              <w:right w:w="60" w:type="dxa"/>
            </w:tcMar>
          </w:tcPr>
          <w:p w14:paraId="3B3767BB"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24 Months after Maintenance Date</w:t>
            </w:r>
          </w:p>
        </w:tc>
        <w:tc>
          <w:tcPr>
            <w:tcW w:w="554" w:type="pct"/>
            <w:shd w:val="clear" w:color="auto" w:fill="FFFFFF"/>
            <w:tcMar>
              <w:left w:w="60" w:type="dxa"/>
              <w:right w:w="60" w:type="dxa"/>
            </w:tcMar>
          </w:tcPr>
          <w:p w14:paraId="57934D9E"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In Study</w:t>
            </w:r>
          </w:p>
        </w:tc>
        <w:tc>
          <w:tcPr>
            <w:tcW w:w="692" w:type="pct"/>
            <w:shd w:val="clear" w:color="auto" w:fill="FFFFFF"/>
            <w:tcMar>
              <w:left w:w="60" w:type="dxa"/>
              <w:right w:w="60" w:type="dxa"/>
            </w:tcMar>
          </w:tcPr>
          <w:p w14:paraId="49159AB0" w14:textId="77777777" w:rsidR="002A0F5D" w:rsidRPr="006C68C4" w:rsidRDefault="002A0F5D" w:rsidP="00BA04E9">
            <w:pPr>
              <w:adjustRightInd w:val="0"/>
              <w:spacing w:before="60" w:after="60"/>
              <w:rPr>
                <w:rFonts w:ascii="Arial" w:hAnsi="Arial" w:cs="Arial"/>
                <w:color w:val="000000"/>
                <w:sz w:val="18"/>
                <w:szCs w:val="18"/>
              </w:rPr>
            </w:pPr>
          </w:p>
        </w:tc>
        <w:tc>
          <w:tcPr>
            <w:tcW w:w="417" w:type="pct"/>
            <w:shd w:val="clear" w:color="auto" w:fill="FFFFFF"/>
            <w:tcMar>
              <w:left w:w="60" w:type="dxa"/>
              <w:right w:w="60" w:type="dxa"/>
            </w:tcMar>
          </w:tcPr>
          <w:p w14:paraId="5CDC282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208 (66.24%)</w:t>
            </w:r>
          </w:p>
        </w:tc>
        <w:tc>
          <w:tcPr>
            <w:tcW w:w="414" w:type="pct"/>
            <w:shd w:val="clear" w:color="auto" w:fill="FFFFFF"/>
            <w:tcMar>
              <w:left w:w="60" w:type="dxa"/>
              <w:right w:w="60" w:type="dxa"/>
            </w:tcMar>
          </w:tcPr>
          <w:p w14:paraId="04FE492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44 (73.33%)</w:t>
            </w:r>
          </w:p>
        </w:tc>
        <w:tc>
          <w:tcPr>
            <w:tcW w:w="417" w:type="pct"/>
            <w:shd w:val="clear" w:color="auto" w:fill="FFFFFF"/>
            <w:tcMar>
              <w:left w:w="60" w:type="dxa"/>
              <w:right w:w="60" w:type="dxa"/>
            </w:tcMar>
          </w:tcPr>
          <w:p w14:paraId="2A49FC5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59 (69.41%)</w:t>
            </w:r>
          </w:p>
        </w:tc>
        <w:tc>
          <w:tcPr>
            <w:tcW w:w="370" w:type="pct"/>
            <w:shd w:val="clear" w:color="auto" w:fill="FFFFFF"/>
            <w:tcMar>
              <w:left w:w="60" w:type="dxa"/>
              <w:right w:w="60" w:type="dxa"/>
            </w:tcMar>
          </w:tcPr>
          <w:p w14:paraId="736384C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 (53.33%)</w:t>
            </w:r>
          </w:p>
        </w:tc>
        <w:tc>
          <w:tcPr>
            <w:tcW w:w="417" w:type="pct"/>
            <w:shd w:val="clear" w:color="auto" w:fill="FFFFFF"/>
            <w:tcMar>
              <w:left w:w="60" w:type="dxa"/>
              <w:right w:w="60" w:type="dxa"/>
            </w:tcMar>
          </w:tcPr>
          <w:p w14:paraId="4BE8BB7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29" w:type="pct"/>
            <w:gridSpan w:val="2"/>
            <w:shd w:val="clear" w:color="auto" w:fill="FFFFFF"/>
            <w:tcMar>
              <w:left w:w="60" w:type="dxa"/>
              <w:right w:w="60" w:type="dxa"/>
            </w:tcMar>
          </w:tcPr>
          <w:p w14:paraId="3A6C14C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 (70%)</w:t>
            </w:r>
          </w:p>
        </w:tc>
        <w:tc>
          <w:tcPr>
            <w:tcW w:w="379" w:type="pct"/>
            <w:gridSpan w:val="2"/>
            <w:shd w:val="clear" w:color="auto" w:fill="FFFFFF"/>
            <w:tcMar>
              <w:left w:w="60" w:type="dxa"/>
              <w:right w:w="60" w:type="dxa"/>
            </w:tcMar>
          </w:tcPr>
          <w:p w14:paraId="5F66D72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45 (78.95%)</w:t>
            </w:r>
          </w:p>
        </w:tc>
        <w:tc>
          <w:tcPr>
            <w:tcW w:w="358" w:type="pct"/>
            <w:shd w:val="clear" w:color="auto" w:fill="FFFFFF"/>
            <w:tcMar>
              <w:left w:w="60" w:type="dxa"/>
              <w:right w:w="60" w:type="dxa"/>
            </w:tcMar>
          </w:tcPr>
          <w:p w14:paraId="07582B5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371 (68.58%)</w:t>
            </w:r>
          </w:p>
        </w:tc>
      </w:tr>
      <w:tr w:rsidR="002A0F5D" w:rsidRPr="006C68C4" w14:paraId="1220BC54" w14:textId="77777777" w:rsidTr="00BA04E9">
        <w:trPr>
          <w:cantSplit/>
          <w:jc w:val="center"/>
        </w:trPr>
        <w:tc>
          <w:tcPr>
            <w:tcW w:w="553" w:type="pct"/>
            <w:shd w:val="clear" w:color="auto" w:fill="FFFFFF"/>
            <w:tcMar>
              <w:left w:w="60" w:type="dxa"/>
              <w:right w:w="60" w:type="dxa"/>
            </w:tcMar>
          </w:tcPr>
          <w:p w14:paraId="12D55D65"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1E6CB712"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Study discontinued, n (%)</w:t>
            </w:r>
          </w:p>
        </w:tc>
        <w:tc>
          <w:tcPr>
            <w:tcW w:w="692" w:type="pct"/>
            <w:shd w:val="clear" w:color="auto" w:fill="FFFFFF"/>
            <w:tcMar>
              <w:left w:w="60" w:type="dxa"/>
              <w:right w:w="60" w:type="dxa"/>
            </w:tcMar>
          </w:tcPr>
          <w:p w14:paraId="4BB7FD0A" w14:textId="77777777" w:rsidR="002A0F5D" w:rsidRPr="006C68C4" w:rsidRDefault="002A0F5D" w:rsidP="00BA04E9">
            <w:pPr>
              <w:adjustRightInd w:val="0"/>
              <w:spacing w:before="60" w:after="60"/>
              <w:rPr>
                <w:rFonts w:ascii="Arial" w:hAnsi="Arial" w:cs="Arial"/>
                <w:color w:val="000000"/>
                <w:sz w:val="18"/>
                <w:szCs w:val="18"/>
              </w:rPr>
            </w:pPr>
          </w:p>
        </w:tc>
        <w:tc>
          <w:tcPr>
            <w:tcW w:w="417" w:type="pct"/>
            <w:shd w:val="clear" w:color="auto" w:fill="FFFFFF"/>
            <w:tcMar>
              <w:left w:w="60" w:type="dxa"/>
              <w:right w:w="60" w:type="dxa"/>
            </w:tcMar>
          </w:tcPr>
          <w:p w14:paraId="6C7337C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106 (33.76%)</w:t>
            </w:r>
          </w:p>
        </w:tc>
        <w:tc>
          <w:tcPr>
            <w:tcW w:w="414" w:type="pct"/>
            <w:shd w:val="clear" w:color="auto" w:fill="FFFFFF"/>
            <w:tcMar>
              <w:left w:w="60" w:type="dxa"/>
              <w:right w:w="60" w:type="dxa"/>
            </w:tcMar>
          </w:tcPr>
          <w:p w14:paraId="1B2EE02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 (26.67%)</w:t>
            </w:r>
          </w:p>
        </w:tc>
        <w:tc>
          <w:tcPr>
            <w:tcW w:w="417" w:type="pct"/>
            <w:shd w:val="clear" w:color="auto" w:fill="FFFFFF"/>
            <w:tcMar>
              <w:left w:w="60" w:type="dxa"/>
              <w:right w:w="60" w:type="dxa"/>
            </w:tcMar>
          </w:tcPr>
          <w:p w14:paraId="7058EC9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26 (30.59%)</w:t>
            </w:r>
          </w:p>
        </w:tc>
        <w:tc>
          <w:tcPr>
            <w:tcW w:w="370" w:type="pct"/>
            <w:shd w:val="clear" w:color="auto" w:fill="FFFFFF"/>
            <w:tcMar>
              <w:left w:w="60" w:type="dxa"/>
              <w:right w:w="60" w:type="dxa"/>
            </w:tcMar>
          </w:tcPr>
          <w:p w14:paraId="1E7922D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 (46.67%)</w:t>
            </w:r>
          </w:p>
        </w:tc>
        <w:tc>
          <w:tcPr>
            <w:tcW w:w="417" w:type="pct"/>
            <w:shd w:val="clear" w:color="auto" w:fill="FFFFFF"/>
            <w:tcMar>
              <w:left w:w="60" w:type="dxa"/>
              <w:right w:w="60" w:type="dxa"/>
            </w:tcMar>
          </w:tcPr>
          <w:p w14:paraId="283A5EC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29" w:type="pct"/>
            <w:gridSpan w:val="2"/>
            <w:shd w:val="clear" w:color="auto" w:fill="FFFFFF"/>
            <w:tcMar>
              <w:left w:w="60" w:type="dxa"/>
              <w:right w:w="60" w:type="dxa"/>
            </w:tcMar>
          </w:tcPr>
          <w:p w14:paraId="62520B5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 (30%)</w:t>
            </w:r>
          </w:p>
        </w:tc>
        <w:tc>
          <w:tcPr>
            <w:tcW w:w="379" w:type="pct"/>
            <w:gridSpan w:val="2"/>
            <w:shd w:val="clear" w:color="auto" w:fill="FFFFFF"/>
            <w:tcMar>
              <w:left w:w="60" w:type="dxa"/>
              <w:right w:w="60" w:type="dxa"/>
            </w:tcMar>
          </w:tcPr>
          <w:p w14:paraId="008A2B2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12 (21.05%)</w:t>
            </w:r>
          </w:p>
        </w:tc>
        <w:tc>
          <w:tcPr>
            <w:tcW w:w="358" w:type="pct"/>
            <w:shd w:val="clear" w:color="auto" w:fill="FFFFFF"/>
            <w:tcMar>
              <w:left w:w="60" w:type="dxa"/>
              <w:right w:w="60" w:type="dxa"/>
            </w:tcMar>
          </w:tcPr>
          <w:p w14:paraId="4FA543A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170 (31.42%)</w:t>
            </w:r>
          </w:p>
        </w:tc>
      </w:tr>
      <w:tr w:rsidR="002A0F5D" w:rsidRPr="006C68C4" w14:paraId="1BC576F3" w14:textId="77777777" w:rsidTr="00BA04E9">
        <w:trPr>
          <w:cantSplit/>
          <w:jc w:val="center"/>
        </w:trPr>
        <w:tc>
          <w:tcPr>
            <w:tcW w:w="553" w:type="pct"/>
            <w:shd w:val="clear" w:color="auto" w:fill="FFFFFF"/>
            <w:tcMar>
              <w:left w:w="60" w:type="dxa"/>
              <w:right w:w="60" w:type="dxa"/>
            </w:tcMar>
          </w:tcPr>
          <w:p w14:paraId="0CE5A7FA"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6169E3E8" w14:textId="77777777" w:rsidR="002A0F5D" w:rsidRPr="006C68C4" w:rsidRDefault="002A0F5D" w:rsidP="00BA04E9">
            <w:pPr>
              <w:adjustRightInd w:val="0"/>
              <w:spacing w:before="60" w:after="60"/>
              <w:rPr>
                <w:rFonts w:ascii="Arial" w:hAnsi="Arial" w:cs="Arial"/>
                <w:color w:val="000000"/>
                <w:sz w:val="18"/>
                <w:szCs w:val="18"/>
              </w:rPr>
            </w:pPr>
          </w:p>
        </w:tc>
        <w:tc>
          <w:tcPr>
            <w:tcW w:w="692" w:type="pct"/>
            <w:shd w:val="clear" w:color="auto" w:fill="FFFFFF"/>
            <w:tcMar>
              <w:left w:w="60" w:type="dxa"/>
              <w:right w:w="60" w:type="dxa"/>
            </w:tcMar>
          </w:tcPr>
          <w:p w14:paraId="36591D10"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follow-up</w:t>
            </w:r>
          </w:p>
        </w:tc>
        <w:tc>
          <w:tcPr>
            <w:tcW w:w="417" w:type="pct"/>
            <w:shd w:val="clear" w:color="auto" w:fill="FFFFFF"/>
            <w:tcMar>
              <w:left w:w="60" w:type="dxa"/>
              <w:right w:w="60" w:type="dxa"/>
            </w:tcMar>
          </w:tcPr>
          <w:p w14:paraId="13BCCA3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106</w:t>
            </w:r>
          </w:p>
        </w:tc>
        <w:tc>
          <w:tcPr>
            <w:tcW w:w="414" w:type="pct"/>
            <w:shd w:val="clear" w:color="auto" w:fill="FFFFFF"/>
            <w:tcMar>
              <w:left w:w="60" w:type="dxa"/>
              <w:right w:w="60" w:type="dxa"/>
            </w:tcMar>
          </w:tcPr>
          <w:p w14:paraId="4CA6DDA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16</w:t>
            </w:r>
          </w:p>
        </w:tc>
        <w:tc>
          <w:tcPr>
            <w:tcW w:w="417" w:type="pct"/>
            <w:shd w:val="clear" w:color="auto" w:fill="FFFFFF"/>
            <w:tcMar>
              <w:left w:w="60" w:type="dxa"/>
              <w:right w:w="60" w:type="dxa"/>
            </w:tcMar>
          </w:tcPr>
          <w:p w14:paraId="389112B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26</w:t>
            </w:r>
          </w:p>
        </w:tc>
        <w:tc>
          <w:tcPr>
            <w:tcW w:w="370" w:type="pct"/>
            <w:shd w:val="clear" w:color="auto" w:fill="FFFFFF"/>
            <w:tcMar>
              <w:left w:w="60" w:type="dxa"/>
              <w:right w:w="60" w:type="dxa"/>
            </w:tcMar>
          </w:tcPr>
          <w:p w14:paraId="3087331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w:t>
            </w:r>
          </w:p>
        </w:tc>
        <w:tc>
          <w:tcPr>
            <w:tcW w:w="417" w:type="pct"/>
            <w:shd w:val="clear" w:color="auto" w:fill="FFFFFF"/>
            <w:tcMar>
              <w:left w:w="60" w:type="dxa"/>
              <w:right w:w="60" w:type="dxa"/>
            </w:tcMar>
          </w:tcPr>
          <w:p w14:paraId="4DC0FAC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29" w:type="pct"/>
            <w:gridSpan w:val="2"/>
            <w:shd w:val="clear" w:color="auto" w:fill="FFFFFF"/>
            <w:tcMar>
              <w:left w:w="60" w:type="dxa"/>
              <w:right w:w="60" w:type="dxa"/>
            </w:tcMar>
          </w:tcPr>
          <w:p w14:paraId="7F61D8A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w:t>
            </w:r>
          </w:p>
        </w:tc>
        <w:tc>
          <w:tcPr>
            <w:tcW w:w="379" w:type="pct"/>
            <w:gridSpan w:val="2"/>
            <w:shd w:val="clear" w:color="auto" w:fill="FFFFFF"/>
            <w:tcMar>
              <w:left w:w="60" w:type="dxa"/>
              <w:right w:w="60" w:type="dxa"/>
            </w:tcMar>
          </w:tcPr>
          <w:p w14:paraId="67C113C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12</w:t>
            </w:r>
          </w:p>
        </w:tc>
        <w:tc>
          <w:tcPr>
            <w:tcW w:w="358" w:type="pct"/>
            <w:shd w:val="clear" w:color="auto" w:fill="FFFFFF"/>
            <w:tcMar>
              <w:left w:w="60" w:type="dxa"/>
              <w:right w:w="60" w:type="dxa"/>
            </w:tcMar>
          </w:tcPr>
          <w:p w14:paraId="75215BA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170</w:t>
            </w:r>
          </w:p>
        </w:tc>
      </w:tr>
      <w:tr w:rsidR="002A0F5D" w:rsidRPr="006C68C4" w14:paraId="383086D0" w14:textId="77777777" w:rsidTr="00BA04E9">
        <w:trPr>
          <w:cantSplit/>
          <w:jc w:val="center"/>
        </w:trPr>
        <w:tc>
          <w:tcPr>
            <w:tcW w:w="553" w:type="pct"/>
            <w:shd w:val="clear" w:color="auto" w:fill="FFFFFF"/>
            <w:tcMar>
              <w:left w:w="60" w:type="dxa"/>
              <w:right w:w="60" w:type="dxa"/>
            </w:tcMar>
          </w:tcPr>
          <w:p w14:paraId="01711023"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6984C99B" w14:textId="77777777" w:rsidR="002A0F5D" w:rsidRPr="006C68C4" w:rsidRDefault="002A0F5D" w:rsidP="00BA04E9">
            <w:pPr>
              <w:adjustRightInd w:val="0"/>
              <w:spacing w:before="60" w:after="60"/>
              <w:rPr>
                <w:rFonts w:ascii="Arial" w:hAnsi="Arial" w:cs="Arial"/>
                <w:color w:val="000000"/>
                <w:sz w:val="18"/>
                <w:szCs w:val="18"/>
              </w:rPr>
            </w:pPr>
          </w:p>
        </w:tc>
        <w:tc>
          <w:tcPr>
            <w:tcW w:w="692" w:type="pct"/>
            <w:shd w:val="clear" w:color="auto" w:fill="FFFFFF"/>
            <w:tcMar>
              <w:left w:w="60" w:type="dxa"/>
              <w:right w:w="60" w:type="dxa"/>
            </w:tcMar>
          </w:tcPr>
          <w:p w14:paraId="263736AC" w14:textId="2E23FF1F"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 xml:space="preserve">End of Data </w:t>
            </w:r>
            <w:proofErr w:type="spellStart"/>
            <w:r w:rsidRPr="006C68C4">
              <w:rPr>
                <w:rFonts w:ascii="Arial" w:hAnsi="Arial" w:cs="Arial"/>
                <w:color w:val="000000"/>
                <w:sz w:val="18"/>
                <w:szCs w:val="18"/>
              </w:rPr>
              <w:t>Availability</w:t>
            </w:r>
            <w:proofErr w:type="spellEnd"/>
            <w:r w:rsidR="000205ED">
              <w:rPr>
                <w:rFonts w:ascii="Arial" w:hAnsi="Arial" w:cs="Arial"/>
                <w:color w:val="000000"/>
                <w:sz w:val="18"/>
                <w:szCs w:val="18"/>
                <w:vertAlign w:val="superscript"/>
              </w:rPr>
              <w:t>[‡]</w:t>
            </w:r>
          </w:p>
        </w:tc>
        <w:tc>
          <w:tcPr>
            <w:tcW w:w="417" w:type="pct"/>
            <w:shd w:val="clear" w:color="auto" w:fill="FFFFFF"/>
            <w:tcMar>
              <w:left w:w="60" w:type="dxa"/>
              <w:right w:w="60" w:type="dxa"/>
            </w:tcMar>
          </w:tcPr>
          <w:p w14:paraId="2F3930F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4" w:type="pct"/>
            <w:shd w:val="clear" w:color="auto" w:fill="FFFFFF"/>
            <w:tcMar>
              <w:left w:w="60" w:type="dxa"/>
              <w:right w:w="60" w:type="dxa"/>
            </w:tcMar>
          </w:tcPr>
          <w:p w14:paraId="40191ED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shd w:val="clear" w:color="auto" w:fill="FFFFFF"/>
            <w:tcMar>
              <w:left w:w="60" w:type="dxa"/>
              <w:right w:w="60" w:type="dxa"/>
            </w:tcMar>
          </w:tcPr>
          <w:p w14:paraId="1EC1228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0" w:type="pct"/>
            <w:shd w:val="clear" w:color="auto" w:fill="FFFFFF"/>
            <w:tcMar>
              <w:left w:w="60" w:type="dxa"/>
              <w:right w:w="60" w:type="dxa"/>
            </w:tcMar>
          </w:tcPr>
          <w:p w14:paraId="7255872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shd w:val="clear" w:color="auto" w:fill="FFFFFF"/>
            <w:tcMar>
              <w:left w:w="60" w:type="dxa"/>
              <w:right w:w="60" w:type="dxa"/>
            </w:tcMar>
          </w:tcPr>
          <w:p w14:paraId="562DD5C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29" w:type="pct"/>
            <w:gridSpan w:val="2"/>
            <w:shd w:val="clear" w:color="auto" w:fill="FFFFFF"/>
            <w:tcMar>
              <w:left w:w="60" w:type="dxa"/>
              <w:right w:w="60" w:type="dxa"/>
            </w:tcMar>
          </w:tcPr>
          <w:p w14:paraId="376F169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9" w:type="pct"/>
            <w:gridSpan w:val="2"/>
            <w:shd w:val="clear" w:color="auto" w:fill="FFFFFF"/>
            <w:tcMar>
              <w:left w:w="60" w:type="dxa"/>
              <w:right w:w="60" w:type="dxa"/>
            </w:tcMar>
          </w:tcPr>
          <w:p w14:paraId="3BC1D2B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58" w:type="pct"/>
            <w:shd w:val="clear" w:color="auto" w:fill="FFFFFF"/>
            <w:tcMar>
              <w:left w:w="60" w:type="dxa"/>
              <w:right w:w="60" w:type="dxa"/>
            </w:tcMar>
          </w:tcPr>
          <w:p w14:paraId="15BE14C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r>
      <w:tr w:rsidR="002A0F5D" w:rsidRPr="006C68C4" w14:paraId="7BD37906" w14:textId="77777777" w:rsidTr="00BA04E9">
        <w:trPr>
          <w:cantSplit/>
          <w:jc w:val="center"/>
        </w:trPr>
        <w:tc>
          <w:tcPr>
            <w:tcW w:w="553" w:type="pct"/>
            <w:shd w:val="clear" w:color="auto" w:fill="FFFFFF"/>
            <w:tcMar>
              <w:left w:w="60" w:type="dxa"/>
              <w:right w:w="60" w:type="dxa"/>
            </w:tcMar>
          </w:tcPr>
          <w:p w14:paraId="38B0B5F3"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6E4103B1"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Study discontinued, n (%)</w:t>
            </w:r>
          </w:p>
        </w:tc>
        <w:tc>
          <w:tcPr>
            <w:tcW w:w="692" w:type="pct"/>
            <w:shd w:val="clear" w:color="auto" w:fill="FFFFFF"/>
            <w:tcMar>
              <w:left w:w="60" w:type="dxa"/>
              <w:right w:w="60" w:type="dxa"/>
            </w:tcMar>
          </w:tcPr>
          <w:p w14:paraId="4F378407" w14:textId="77777777" w:rsidR="002A0F5D" w:rsidRPr="006C68C4" w:rsidRDefault="002A0F5D" w:rsidP="00BA04E9">
            <w:pPr>
              <w:adjustRightInd w:val="0"/>
              <w:spacing w:before="60" w:after="60"/>
              <w:rPr>
                <w:rFonts w:ascii="Arial" w:hAnsi="Arial" w:cs="Arial"/>
                <w:color w:val="000000"/>
                <w:sz w:val="18"/>
                <w:szCs w:val="18"/>
              </w:rPr>
            </w:pPr>
          </w:p>
        </w:tc>
        <w:tc>
          <w:tcPr>
            <w:tcW w:w="417" w:type="pct"/>
            <w:shd w:val="clear" w:color="auto" w:fill="FFFFFF"/>
            <w:tcMar>
              <w:left w:w="60" w:type="dxa"/>
              <w:right w:w="60" w:type="dxa"/>
            </w:tcMar>
          </w:tcPr>
          <w:p w14:paraId="1FD0DB9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208 (100%)</w:t>
            </w:r>
          </w:p>
        </w:tc>
        <w:tc>
          <w:tcPr>
            <w:tcW w:w="414" w:type="pct"/>
            <w:shd w:val="clear" w:color="auto" w:fill="FFFFFF"/>
            <w:tcMar>
              <w:left w:w="60" w:type="dxa"/>
              <w:right w:w="60" w:type="dxa"/>
            </w:tcMar>
          </w:tcPr>
          <w:p w14:paraId="2A84B13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44 (100%)</w:t>
            </w:r>
          </w:p>
        </w:tc>
        <w:tc>
          <w:tcPr>
            <w:tcW w:w="417" w:type="pct"/>
            <w:shd w:val="clear" w:color="auto" w:fill="FFFFFF"/>
            <w:tcMar>
              <w:left w:w="60" w:type="dxa"/>
              <w:right w:w="60" w:type="dxa"/>
            </w:tcMar>
          </w:tcPr>
          <w:p w14:paraId="3F8EFC1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59 (100%)</w:t>
            </w:r>
          </w:p>
        </w:tc>
        <w:tc>
          <w:tcPr>
            <w:tcW w:w="370" w:type="pct"/>
            <w:shd w:val="clear" w:color="auto" w:fill="FFFFFF"/>
            <w:tcMar>
              <w:left w:w="60" w:type="dxa"/>
              <w:right w:w="60" w:type="dxa"/>
            </w:tcMar>
          </w:tcPr>
          <w:p w14:paraId="6B6912C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 (100%)</w:t>
            </w:r>
          </w:p>
        </w:tc>
        <w:tc>
          <w:tcPr>
            <w:tcW w:w="417" w:type="pct"/>
            <w:shd w:val="clear" w:color="auto" w:fill="FFFFFF"/>
            <w:tcMar>
              <w:left w:w="60" w:type="dxa"/>
              <w:right w:w="60" w:type="dxa"/>
            </w:tcMar>
          </w:tcPr>
          <w:p w14:paraId="39017C9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 (%)</w:t>
            </w:r>
          </w:p>
        </w:tc>
        <w:tc>
          <w:tcPr>
            <w:tcW w:w="429" w:type="pct"/>
            <w:gridSpan w:val="2"/>
            <w:shd w:val="clear" w:color="auto" w:fill="FFFFFF"/>
            <w:tcMar>
              <w:left w:w="60" w:type="dxa"/>
              <w:right w:w="60" w:type="dxa"/>
            </w:tcMar>
          </w:tcPr>
          <w:p w14:paraId="0916485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 (100%)</w:t>
            </w:r>
          </w:p>
        </w:tc>
        <w:tc>
          <w:tcPr>
            <w:tcW w:w="379" w:type="pct"/>
            <w:gridSpan w:val="2"/>
            <w:shd w:val="clear" w:color="auto" w:fill="FFFFFF"/>
            <w:tcMar>
              <w:left w:w="60" w:type="dxa"/>
              <w:right w:w="60" w:type="dxa"/>
            </w:tcMar>
          </w:tcPr>
          <w:p w14:paraId="36E0DE2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45 (100%)</w:t>
            </w:r>
          </w:p>
        </w:tc>
        <w:tc>
          <w:tcPr>
            <w:tcW w:w="358" w:type="pct"/>
            <w:shd w:val="clear" w:color="auto" w:fill="FFFFFF"/>
            <w:tcMar>
              <w:left w:w="60" w:type="dxa"/>
              <w:right w:w="60" w:type="dxa"/>
            </w:tcMar>
          </w:tcPr>
          <w:p w14:paraId="6BB78E1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371 (100%)</w:t>
            </w:r>
          </w:p>
        </w:tc>
      </w:tr>
      <w:tr w:rsidR="002A0F5D" w:rsidRPr="006C68C4" w14:paraId="3994135B" w14:textId="77777777" w:rsidTr="00BA04E9">
        <w:trPr>
          <w:cantSplit/>
          <w:jc w:val="center"/>
        </w:trPr>
        <w:tc>
          <w:tcPr>
            <w:tcW w:w="553" w:type="pct"/>
            <w:shd w:val="clear" w:color="auto" w:fill="FFFFFF"/>
            <w:tcMar>
              <w:left w:w="60" w:type="dxa"/>
              <w:right w:w="60" w:type="dxa"/>
            </w:tcMar>
          </w:tcPr>
          <w:p w14:paraId="7AD6C580" w14:textId="77777777" w:rsidR="002A0F5D" w:rsidRPr="006C68C4" w:rsidRDefault="002A0F5D" w:rsidP="00BA04E9">
            <w:pPr>
              <w:adjustRightInd w:val="0"/>
              <w:spacing w:before="60" w:after="60"/>
              <w:rPr>
                <w:rFonts w:ascii="Arial" w:hAnsi="Arial" w:cs="Arial"/>
                <w:color w:val="000000"/>
                <w:sz w:val="18"/>
                <w:szCs w:val="18"/>
              </w:rPr>
            </w:pPr>
          </w:p>
        </w:tc>
        <w:tc>
          <w:tcPr>
            <w:tcW w:w="554" w:type="pct"/>
            <w:shd w:val="clear" w:color="auto" w:fill="FFFFFF"/>
            <w:tcMar>
              <w:left w:w="60" w:type="dxa"/>
              <w:right w:w="60" w:type="dxa"/>
            </w:tcMar>
          </w:tcPr>
          <w:p w14:paraId="1C63B61D" w14:textId="77777777" w:rsidR="002A0F5D" w:rsidRPr="006C68C4" w:rsidRDefault="002A0F5D" w:rsidP="00BA04E9">
            <w:pPr>
              <w:adjustRightInd w:val="0"/>
              <w:spacing w:before="60" w:after="60"/>
              <w:rPr>
                <w:rFonts w:ascii="Arial" w:hAnsi="Arial" w:cs="Arial"/>
                <w:color w:val="000000"/>
                <w:sz w:val="18"/>
                <w:szCs w:val="18"/>
              </w:rPr>
            </w:pPr>
          </w:p>
        </w:tc>
        <w:tc>
          <w:tcPr>
            <w:tcW w:w="692" w:type="pct"/>
            <w:shd w:val="clear" w:color="auto" w:fill="FFFFFF"/>
            <w:tcMar>
              <w:left w:w="60" w:type="dxa"/>
              <w:right w:w="60" w:type="dxa"/>
            </w:tcMar>
          </w:tcPr>
          <w:p w14:paraId="384E3EB1"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Discontinued follow-up</w:t>
            </w:r>
          </w:p>
        </w:tc>
        <w:tc>
          <w:tcPr>
            <w:tcW w:w="417" w:type="pct"/>
            <w:shd w:val="clear" w:color="auto" w:fill="FFFFFF"/>
            <w:tcMar>
              <w:left w:w="60" w:type="dxa"/>
              <w:right w:w="60" w:type="dxa"/>
            </w:tcMar>
          </w:tcPr>
          <w:p w14:paraId="2CC7E31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207</w:t>
            </w:r>
          </w:p>
        </w:tc>
        <w:tc>
          <w:tcPr>
            <w:tcW w:w="414" w:type="pct"/>
            <w:shd w:val="clear" w:color="auto" w:fill="FFFFFF"/>
            <w:tcMar>
              <w:left w:w="60" w:type="dxa"/>
              <w:right w:w="60" w:type="dxa"/>
            </w:tcMar>
          </w:tcPr>
          <w:p w14:paraId="0B5EEA0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42</w:t>
            </w:r>
          </w:p>
        </w:tc>
        <w:tc>
          <w:tcPr>
            <w:tcW w:w="417" w:type="pct"/>
            <w:shd w:val="clear" w:color="auto" w:fill="FFFFFF"/>
            <w:tcMar>
              <w:left w:w="60" w:type="dxa"/>
              <w:right w:w="60" w:type="dxa"/>
            </w:tcMar>
          </w:tcPr>
          <w:p w14:paraId="5345DD9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58</w:t>
            </w:r>
          </w:p>
        </w:tc>
        <w:tc>
          <w:tcPr>
            <w:tcW w:w="370" w:type="pct"/>
            <w:shd w:val="clear" w:color="auto" w:fill="FFFFFF"/>
            <w:tcMar>
              <w:left w:w="60" w:type="dxa"/>
              <w:right w:w="60" w:type="dxa"/>
            </w:tcMar>
          </w:tcPr>
          <w:p w14:paraId="3A5401F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8</w:t>
            </w:r>
          </w:p>
        </w:tc>
        <w:tc>
          <w:tcPr>
            <w:tcW w:w="417" w:type="pct"/>
            <w:shd w:val="clear" w:color="auto" w:fill="FFFFFF"/>
            <w:tcMar>
              <w:left w:w="60" w:type="dxa"/>
              <w:right w:w="60" w:type="dxa"/>
            </w:tcMar>
          </w:tcPr>
          <w:p w14:paraId="43DD2FF6"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29" w:type="pct"/>
            <w:gridSpan w:val="2"/>
            <w:shd w:val="clear" w:color="auto" w:fill="FFFFFF"/>
            <w:tcMar>
              <w:left w:w="60" w:type="dxa"/>
              <w:right w:w="60" w:type="dxa"/>
            </w:tcMar>
          </w:tcPr>
          <w:p w14:paraId="1785BD2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7</w:t>
            </w:r>
          </w:p>
        </w:tc>
        <w:tc>
          <w:tcPr>
            <w:tcW w:w="379" w:type="pct"/>
            <w:gridSpan w:val="2"/>
            <w:shd w:val="clear" w:color="auto" w:fill="FFFFFF"/>
            <w:tcMar>
              <w:left w:w="60" w:type="dxa"/>
              <w:right w:w="60" w:type="dxa"/>
            </w:tcMar>
          </w:tcPr>
          <w:p w14:paraId="00B6FB6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44</w:t>
            </w:r>
          </w:p>
        </w:tc>
        <w:tc>
          <w:tcPr>
            <w:tcW w:w="358" w:type="pct"/>
            <w:shd w:val="clear" w:color="auto" w:fill="FFFFFF"/>
            <w:tcMar>
              <w:left w:w="60" w:type="dxa"/>
              <w:right w:w="60" w:type="dxa"/>
            </w:tcMar>
          </w:tcPr>
          <w:p w14:paraId="06D8788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366</w:t>
            </w:r>
          </w:p>
        </w:tc>
      </w:tr>
      <w:tr w:rsidR="002A0F5D" w:rsidRPr="006C68C4" w14:paraId="1A51A0D5" w14:textId="77777777" w:rsidTr="00BA04E9">
        <w:trPr>
          <w:cantSplit/>
          <w:jc w:val="center"/>
        </w:trPr>
        <w:tc>
          <w:tcPr>
            <w:tcW w:w="553" w:type="pct"/>
            <w:tcBorders>
              <w:bottom w:val="single" w:sz="4" w:space="0" w:color="auto"/>
            </w:tcBorders>
            <w:shd w:val="clear" w:color="auto" w:fill="FFFFFF"/>
            <w:tcMar>
              <w:left w:w="60" w:type="dxa"/>
              <w:right w:w="60" w:type="dxa"/>
            </w:tcMar>
          </w:tcPr>
          <w:p w14:paraId="00B76045" w14:textId="77777777" w:rsidR="002A0F5D" w:rsidRPr="006C68C4" w:rsidRDefault="002A0F5D" w:rsidP="00BA04E9">
            <w:pPr>
              <w:keepNext/>
              <w:adjustRightInd w:val="0"/>
              <w:spacing w:before="60" w:after="60"/>
              <w:rPr>
                <w:rFonts w:ascii="Arial" w:hAnsi="Arial" w:cs="Arial"/>
                <w:color w:val="000000"/>
                <w:sz w:val="18"/>
                <w:szCs w:val="18"/>
              </w:rPr>
            </w:pPr>
          </w:p>
        </w:tc>
        <w:tc>
          <w:tcPr>
            <w:tcW w:w="554" w:type="pct"/>
            <w:tcBorders>
              <w:bottom w:val="single" w:sz="4" w:space="0" w:color="auto"/>
            </w:tcBorders>
            <w:shd w:val="clear" w:color="auto" w:fill="FFFFFF"/>
            <w:tcMar>
              <w:left w:w="60" w:type="dxa"/>
              <w:right w:w="60" w:type="dxa"/>
            </w:tcMar>
          </w:tcPr>
          <w:p w14:paraId="15F4D68A" w14:textId="77777777" w:rsidR="002A0F5D" w:rsidRPr="006C68C4" w:rsidRDefault="002A0F5D" w:rsidP="00BA04E9">
            <w:pPr>
              <w:keepNext/>
              <w:adjustRightInd w:val="0"/>
              <w:spacing w:before="60" w:after="60"/>
              <w:rPr>
                <w:rFonts w:ascii="Arial" w:hAnsi="Arial" w:cs="Arial"/>
                <w:color w:val="000000"/>
                <w:sz w:val="18"/>
                <w:szCs w:val="18"/>
              </w:rPr>
            </w:pPr>
          </w:p>
        </w:tc>
        <w:tc>
          <w:tcPr>
            <w:tcW w:w="692" w:type="pct"/>
            <w:tcBorders>
              <w:bottom w:val="single" w:sz="4" w:space="0" w:color="auto"/>
            </w:tcBorders>
            <w:shd w:val="clear" w:color="auto" w:fill="FFFFFF"/>
            <w:tcMar>
              <w:left w:w="60" w:type="dxa"/>
              <w:right w:w="60" w:type="dxa"/>
            </w:tcMar>
          </w:tcPr>
          <w:p w14:paraId="6CD72AB2" w14:textId="1BD8A75C" w:rsidR="002A0F5D" w:rsidRPr="006C68C4" w:rsidRDefault="002A0F5D" w:rsidP="00BA04E9">
            <w:pPr>
              <w:keepNext/>
              <w:adjustRightInd w:val="0"/>
              <w:spacing w:before="60" w:after="60"/>
              <w:rPr>
                <w:rFonts w:ascii="Arial" w:hAnsi="Arial" w:cs="Arial"/>
                <w:color w:val="000000"/>
                <w:sz w:val="18"/>
                <w:szCs w:val="18"/>
              </w:rPr>
            </w:pPr>
            <w:r w:rsidRPr="006C68C4">
              <w:rPr>
                <w:rFonts w:ascii="Arial" w:hAnsi="Arial" w:cs="Arial"/>
                <w:color w:val="000000"/>
                <w:sz w:val="18"/>
                <w:szCs w:val="18"/>
              </w:rPr>
              <w:t xml:space="preserve">End of Data </w:t>
            </w:r>
            <w:proofErr w:type="spellStart"/>
            <w:r w:rsidRPr="006C68C4">
              <w:rPr>
                <w:rFonts w:ascii="Arial" w:hAnsi="Arial" w:cs="Arial"/>
                <w:color w:val="000000"/>
                <w:sz w:val="18"/>
                <w:szCs w:val="18"/>
              </w:rPr>
              <w:t>Availability</w:t>
            </w:r>
            <w:proofErr w:type="spellEnd"/>
            <w:r w:rsidRPr="006C68C4">
              <w:rPr>
                <w:rFonts w:ascii="Arial" w:hAnsi="Arial" w:cs="Arial"/>
                <w:color w:val="000000"/>
                <w:sz w:val="18"/>
                <w:szCs w:val="18"/>
                <w:vertAlign w:val="superscript"/>
              </w:rPr>
              <w:t>[</w:t>
            </w:r>
            <w:r w:rsidR="000205ED" w:rsidRPr="000205ED">
              <w:rPr>
                <w:rFonts w:ascii="Arial" w:hAnsi="Arial" w:cs="Arial"/>
                <w:color w:val="000000"/>
                <w:sz w:val="18"/>
                <w:szCs w:val="18"/>
                <w:vertAlign w:val="superscript"/>
              </w:rPr>
              <w:t>‡</w:t>
            </w:r>
            <w:r w:rsidRPr="006C68C4">
              <w:rPr>
                <w:rFonts w:ascii="Arial" w:hAnsi="Arial" w:cs="Arial"/>
                <w:color w:val="000000"/>
                <w:sz w:val="18"/>
                <w:szCs w:val="18"/>
                <w:vertAlign w:val="superscript"/>
              </w:rPr>
              <w:t>]</w:t>
            </w:r>
          </w:p>
        </w:tc>
        <w:tc>
          <w:tcPr>
            <w:tcW w:w="417" w:type="pct"/>
            <w:tcBorders>
              <w:bottom w:val="single" w:sz="4" w:space="0" w:color="auto"/>
            </w:tcBorders>
            <w:shd w:val="clear" w:color="auto" w:fill="FFFFFF"/>
            <w:tcMar>
              <w:left w:w="60" w:type="dxa"/>
              <w:right w:w="60" w:type="dxa"/>
            </w:tcMar>
          </w:tcPr>
          <w:p w14:paraId="158DEDB5"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414" w:type="pct"/>
            <w:tcBorders>
              <w:bottom w:val="single" w:sz="4" w:space="0" w:color="auto"/>
            </w:tcBorders>
            <w:shd w:val="clear" w:color="auto" w:fill="FFFFFF"/>
            <w:tcMar>
              <w:left w:w="60" w:type="dxa"/>
              <w:right w:w="60" w:type="dxa"/>
            </w:tcMar>
          </w:tcPr>
          <w:p w14:paraId="00E4FE5E"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w:t>
            </w:r>
          </w:p>
        </w:tc>
        <w:tc>
          <w:tcPr>
            <w:tcW w:w="417" w:type="pct"/>
            <w:tcBorders>
              <w:bottom w:val="single" w:sz="4" w:space="0" w:color="auto"/>
            </w:tcBorders>
            <w:shd w:val="clear" w:color="auto" w:fill="FFFFFF"/>
            <w:tcMar>
              <w:left w:w="60" w:type="dxa"/>
              <w:right w:w="60" w:type="dxa"/>
            </w:tcMar>
          </w:tcPr>
          <w:p w14:paraId="6BFF05CE"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70" w:type="pct"/>
            <w:tcBorders>
              <w:bottom w:val="single" w:sz="4" w:space="0" w:color="auto"/>
            </w:tcBorders>
            <w:shd w:val="clear" w:color="auto" w:fill="FFFFFF"/>
            <w:tcMar>
              <w:left w:w="60" w:type="dxa"/>
              <w:right w:w="60" w:type="dxa"/>
            </w:tcMar>
          </w:tcPr>
          <w:p w14:paraId="318EAFBE"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17" w:type="pct"/>
            <w:tcBorders>
              <w:bottom w:val="single" w:sz="4" w:space="0" w:color="auto"/>
            </w:tcBorders>
            <w:shd w:val="clear" w:color="auto" w:fill="FFFFFF"/>
            <w:tcMar>
              <w:left w:w="60" w:type="dxa"/>
              <w:right w:w="60" w:type="dxa"/>
            </w:tcMar>
          </w:tcPr>
          <w:p w14:paraId="49F8CD70"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429" w:type="pct"/>
            <w:gridSpan w:val="2"/>
            <w:tcBorders>
              <w:bottom w:val="single" w:sz="4" w:space="0" w:color="auto"/>
            </w:tcBorders>
            <w:shd w:val="clear" w:color="auto" w:fill="FFFFFF"/>
            <w:tcMar>
              <w:left w:w="60" w:type="dxa"/>
              <w:right w:w="60" w:type="dxa"/>
            </w:tcMar>
          </w:tcPr>
          <w:p w14:paraId="68EE0B1D"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w:t>
            </w:r>
          </w:p>
        </w:tc>
        <w:tc>
          <w:tcPr>
            <w:tcW w:w="379" w:type="pct"/>
            <w:gridSpan w:val="2"/>
            <w:tcBorders>
              <w:bottom w:val="single" w:sz="4" w:space="0" w:color="auto"/>
            </w:tcBorders>
            <w:shd w:val="clear" w:color="auto" w:fill="FFFFFF"/>
            <w:tcMar>
              <w:left w:w="60" w:type="dxa"/>
              <w:right w:w="60" w:type="dxa"/>
            </w:tcMar>
          </w:tcPr>
          <w:p w14:paraId="0F2D580A"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w:t>
            </w:r>
          </w:p>
        </w:tc>
        <w:tc>
          <w:tcPr>
            <w:tcW w:w="358" w:type="pct"/>
            <w:tcBorders>
              <w:bottom w:val="single" w:sz="4" w:space="0" w:color="auto"/>
            </w:tcBorders>
            <w:shd w:val="clear" w:color="auto" w:fill="FFFFFF"/>
            <w:tcMar>
              <w:left w:w="60" w:type="dxa"/>
              <w:right w:w="60" w:type="dxa"/>
            </w:tcMar>
          </w:tcPr>
          <w:p w14:paraId="59973ED0"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5</w:t>
            </w:r>
          </w:p>
        </w:tc>
      </w:tr>
    </w:tbl>
    <w:p w14:paraId="77D4069A" w14:textId="30319731" w:rsidR="002A0F5D" w:rsidRPr="006C68C4" w:rsidRDefault="000205ED" w:rsidP="002A0F5D">
      <w:pPr>
        <w:rPr>
          <w:rFonts w:ascii="Arial" w:hAnsi="Arial" w:cs="Arial"/>
        </w:rPr>
      </w:pPr>
      <w:r>
        <w:rPr>
          <w:rFonts w:ascii="Arial" w:hAnsi="Arial" w:cs="Arial"/>
          <w:color w:val="000000"/>
          <w:sz w:val="16"/>
          <w:szCs w:val="16"/>
        </w:rPr>
        <w:t>*</w:t>
      </w:r>
      <w:proofErr w:type="spellStart"/>
      <w:r w:rsidR="00240518" w:rsidRPr="006C68C4">
        <w:rPr>
          <w:rFonts w:ascii="Arial" w:hAnsi="Arial" w:cs="Arial"/>
          <w:color w:val="000000"/>
          <w:sz w:val="16"/>
          <w:szCs w:val="16"/>
        </w:rPr>
        <w:t>Timeframe</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from</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initiation</w:t>
      </w:r>
      <w:proofErr w:type="spellEnd"/>
      <w:r w:rsidR="00240518" w:rsidRPr="006C68C4">
        <w:rPr>
          <w:rFonts w:ascii="Arial" w:hAnsi="Arial" w:cs="Arial"/>
          <w:color w:val="000000"/>
          <w:sz w:val="16"/>
          <w:szCs w:val="16"/>
        </w:rPr>
        <w:t xml:space="preserve"> to </w:t>
      </w:r>
      <w:proofErr w:type="spellStart"/>
      <w:r w:rsidR="00240518" w:rsidRPr="006C68C4">
        <w:rPr>
          <w:rFonts w:ascii="Arial" w:hAnsi="Arial" w:cs="Arial"/>
          <w:color w:val="000000"/>
          <w:sz w:val="16"/>
          <w:szCs w:val="16"/>
        </w:rPr>
        <w:t>maintenance</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date</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from</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maintenance</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date</w:t>
      </w:r>
      <w:proofErr w:type="spellEnd"/>
      <w:r w:rsidR="00240518" w:rsidRPr="006C68C4">
        <w:rPr>
          <w:rFonts w:ascii="Arial" w:hAnsi="Arial" w:cs="Arial"/>
          <w:color w:val="000000"/>
          <w:sz w:val="16"/>
          <w:szCs w:val="16"/>
        </w:rPr>
        <w:t xml:space="preserve"> to 6 </w:t>
      </w:r>
      <w:proofErr w:type="spellStart"/>
      <w:r w:rsidR="00240518" w:rsidRPr="006C68C4">
        <w:rPr>
          <w:rFonts w:ascii="Arial" w:hAnsi="Arial" w:cs="Arial"/>
          <w:color w:val="000000"/>
          <w:sz w:val="16"/>
          <w:szCs w:val="16"/>
        </w:rPr>
        <w:t>months</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from</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maintenance</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date</w:t>
      </w:r>
      <w:proofErr w:type="spellEnd"/>
      <w:r w:rsidR="00240518" w:rsidRPr="006C68C4">
        <w:rPr>
          <w:rFonts w:ascii="Arial" w:hAnsi="Arial" w:cs="Arial"/>
          <w:color w:val="000000"/>
          <w:sz w:val="16"/>
          <w:szCs w:val="16"/>
        </w:rPr>
        <w:t xml:space="preserve"> to 12 </w:t>
      </w:r>
      <w:proofErr w:type="spellStart"/>
      <w:r w:rsidR="00240518" w:rsidRPr="006C68C4">
        <w:rPr>
          <w:rFonts w:ascii="Arial" w:hAnsi="Arial" w:cs="Arial"/>
          <w:color w:val="000000"/>
          <w:sz w:val="16"/>
          <w:szCs w:val="16"/>
        </w:rPr>
        <w:t>months</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from</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maintenance</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date</w:t>
      </w:r>
      <w:proofErr w:type="spellEnd"/>
      <w:r w:rsidR="00240518" w:rsidRPr="006C68C4">
        <w:rPr>
          <w:rFonts w:ascii="Arial" w:hAnsi="Arial" w:cs="Arial"/>
          <w:color w:val="000000"/>
          <w:sz w:val="16"/>
          <w:szCs w:val="16"/>
        </w:rPr>
        <w:t xml:space="preserve"> to 18 </w:t>
      </w:r>
      <w:proofErr w:type="spellStart"/>
      <w:r w:rsidR="00240518" w:rsidRPr="006C68C4">
        <w:rPr>
          <w:rFonts w:ascii="Arial" w:hAnsi="Arial" w:cs="Arial"/>
          <w:color w:val="000000"/>
          <w:sz w:val="16"/>
          <w:szCs w:val="16"/>
        </w:rPr>
        <w:t>months</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from</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maintenance</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date</w:t>
      </w:r>
      <w:proofErr w:type="spellEnd"/>
      <w:r w:rsidR="00240518" w:rsidRPr="006C68C4">
        <w:rPr>
          <w:rFonts w:ascii="Arial" w:hAnsi="Arial" w:cs="Arial"/>
          <w:color w:val="000000"/>
          <w:sz w:val="16"/>
          <w:szCs w:val="16"/>
        </w:rPr>
        <w:t xml:space="preserve"> to 24 </w:t>
      </w:r>
      <w:proofErr w:type="spellStart"/>
      <w:r w:rsidR="00240518" w:rsidRPr="006C68C4">
        <w:rPr>
          <w:rFonts w:ascii="Arial" w:hAnsi="Arial" w:cs="Arial"/>
          <w:color w:val="000000"/>
          <w:sz w:val="16"/>
          <w:szCs w:val="16"/>
        </w:rPr>
        <w:t>months</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from</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maintenance</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date</w:t>
      </w:r>
      <w:proofErr w:type="spellEnd"/>
      <w:r w:rsidR="00240518" w:rsidRPr="006C68C4">
        <w:rPr>
          <w:rFonts w:ascii="Arial" w:hAnsi="Arial" w:cs="Arial"/>
          <w:color w:val="000000"/>
          <w:sz w:val="16"/>
          <w:szCs w:val="16"/>
        </w:rPr>
        <w:t xml:space="preserve"> to </w:t>
      </w:r>
      <w:proofErr w:type="spellStart"/>
      <w:r w:rsidR="00240518" w:rsidRPr="006C68C4">
        <w:rPr>
          <w:rFonts w:ascii="Arial" w:hAnsi="Arial" w:cs="Arial"/>
          <w:color w:val="000000"/>
          <w:sz w:val="16"/>
          <w:szCs w:val="16"/>
        </w:rPr>
        <w:t>end</w:t>
      </w:r>
      <w:proofErr w:type="spellEnd"/>
      <w:r w:rsidR="00240518" w:rsidRPr="006C68C4">
        <w:rPr>
          <w:rFonts w:ascii="Arial" w:hAnsi="Arial" w:cs="Arial"/>
          <w:color w:val="000000"/>
          <w:sz w:val="16"/>
          <w:szCs w:val="16"/>
        </w:rPr>
        <w:t xml:space="preserve"> of data </w:t>
      </w:r>
      <w:proofErr w:type="spellStart"/>
      <w:r w:rsidR="00240518" w:rsidRPr="006C68C4">
        <w:rPr>
          <w:rFonts w:ascii="Arial" w:hAnsi="Arial" w:cs="Arial"/>
          <w:color w:val="000000"/>
          <w:sz w:val="16"/>
          <w:szCs w:val="16"/>
        </w:rPr>
        <w:t>availability</w:t>
      </w:r>
      <w:proofErr w:type="spellEnd"/>
      <w:r w:rsidR="00240518" w:rsidRPr="006C68C4">
        <w:rPr>
          <w:rFonts w:ascii="Arial" w:hAnsi="Arial" w:cs="Arial"/>
          <w:color w:val="000000"/>
          <w:sz w:val="16"/>
          <w:szCs w:val="16"/>
        </w:rPr>
        <w:br/>
      </w:r>
      <w:r w:rsidRPr="000205ED">
        <w:rPr>
          <w:rFonts w:ascii="Calibri" w:hAnsi="Calibri" w:cs="Calibri"/>
          <w:color w:val="000000"/>
          <w:sz w:val="18"/>
          <w:szCs w:val="18"/>
          <w:vertAlign w:val="superscript"/>
        </w:rPr>
        <w:t>‡</w:t>
      </w:r>
      <w:r w:rsidR="00240518" w:rsidRPr="006C68C4">
        <w:rPr>
          <w:rFonts w:ascii="Arial" w:hAnsi="Arial" w:cs="Arial"/>
          <w:color w:val="000000"/>
          <w:sz w:val="16"/>
          <w:szCs w:val="16"/>
        </w:rPr>
        <w:t xml:space="preserve">Data is </w:t>
      </w:r>
      <w:proofErr w:type="spellStart"/>
      <w:r w:rsidR="00240518" w:rsidRPr="006C68C4">
        <w:rPr>
          <w:rFonts w:ascii="Arial" w:hAnsi="Arial" w:cs="Arial"/>
          <w:color w:val="000000"/>
          <w:sz w:val="16"/>
          <w:szCs w:val="16"/>
        </w:rPr>
        <w:t>only</w:t>
      </w:r>
      <w:proofErr w:type="spellEnd"/>
      <w:r w:rsidR="00240518" w:rsidRPr="006C68C4">
        <w:rPr>
          <w:rFonts w:ascii="Arial" w:hAnsi="Arial" w:cs="Arial"/>
          <w:color w:val="000000"/>
          <w:sz w:val="16"/>
          <w:szCs w:val="16"/>
        </w:rPr>
        <w:t xml:space="preserve"> </w:t>
      </w:r>
      <w:proofErr w:type="spellStart"/>
      <w:r w:rsidR="00240518" w:rsidRPr="006C68C4">
        <w:rPr>
          <w:rFonts w:ascii="Arial" w:hAnsi="Arial" w:cs="Arial"/>
          <w:color w:val="000000"/>
          <w:sz w:val="16"/>
          <w:szCs w:val="16"/>
        </w:rPr>
        <w:t>available</w:t>
      </w:r>
      <w:proofErr w:type="spellEnd"/>
      <w:r w:rsidR="00240518" w:rsidRPr="006C68C4">
        <w:rPr>
          <w:rFonts w:ascii="Arial" w:hAnsi="Arial" w:cs="Arial"/>
          <w:color w:val="000000"/>
          <w:sz w:val="16"/>
          <w:szCs w:val="16"/>
        </w:rPr>
        <w:t xml:space="preserve"> up to 27 February 2023</w:t>
      </w:r>
      <w:r w:rsidR="00240518" w:rsidRPr="006C68C4">
        <w:rPr>
          <w:rFonts w:ascii="Arial" w:hAnsi="Arial" w:cs="Arial"/>
          <w:color w:val="000000"/>
          <w:sz w:val="16"/>
          <w:szCs w:val="16"/>
        </w:rPr>
        <w:br/>
        <w:t>N, Number of patients; SD, standard deviation</w:t>
      </w:r>
    </w:p>
    <w:p w14:paraId="1C0E2A79" w14:textId="77777777" w:rsidR="002A0F5D" w:rsidRPr="006C68C4" w:rsidRDefault="002A0F5D" w:rsidP="002A0F5D">
      <w:pPr>
        <w:rPr>
          <w:rFonts w:ascii="Arial" w:hAnsi="Arial" w:cs="Arial"/>
        </w:rPr>
        <w:sectPr w:rsidR="002A0F5D" w:rsidRPr="006C68C4" w:rsidSect="00BA04E9">
          <w:pgSz w:w="16838" w:h="11906" w:orient="landscape"/>
          <w:pgMar w:top="720" w:right="720" w:bottom="720" w:left="720" w:header="708" w:footer="708" w:gutter="0"/>
          <w:cols w:space="708"/>
          <w:docGrid w:linePitch="360"/>
        </w:sectPr>
      </w:pPr>
    </w:p>
    <w:p w14:paraId="6680266B" w14:textId="11E1E40B" w:rsidR="002A0F5D" w:rsidRDefault="002A0F5D" w:rsidP="002A0F5D">
      <w:pPr>
        <w:rPr>
          <w:rFonts w:ascii="Arial" w:hAnsi="Arial" w:cs="Arial"/>
          <w:b/>
          <w:bCs/>
        </w:rPr>
      </w:pPr>
      <w:r w:rsidRPr="006C68C4">
        <w:rPr>
          <w:rFonts w:ascii="Arial" w:hAnsi="Arial" w:cs="Arial"/>
          <w:b/>
          <w:bCs/>
        </w:rPr>
        <w:t>Supplementary Table 6.  Multivariate analysis of Hazard Ratios of Dose Escalation (Adjusted for propensity score IPTW)</w:t>
      </w:r>
    </w:p>
    <w:p w14:paraId="21F62874" w14:textId="77777777" w:rsidR="006C68C4" w:rsidRPr="006C68C4" w:rsidRDefault="006C68C4" w:rsidP="002A0F5D">
      <w:pPr>
        <w:rPr>
          <w:rFonts w:ascii="Arial" w:hAnsi="Arial" w:cs="Arial"/>
          <w:b/>
          <w:bCs/>
        </w:rPr>
      </w:pPr>
    </w:p>
    <w:tbl>
      <w:tblPr>
        <w:tblW w:w="5000" w:type="pct"/>
        <w:jc w:val="center"/>
        <w:tblCellMar>
          <w:left w:w="0" w:type="dxa"/>
          <w:right w:w="0" w:type="dxa"/>
        </w:tblCellMar>
        <w:tblLook w:val="0000" w:firstRow="0" w:lastRow="0" w:firstColumn="0" w:lastColumn="0" w:noHBand="0" w:noVBand="0"/>
      </w:tblPr>
      <w:tblGrid>
        <w:gridCol w:w="1740"/>
        <w:gridCol w:w="1745"/>
        <w:gridCol w:w="1745"/>
        <w:gridCol w:w="2615"/>
        <w:gridCol w:w="2615"/>
      </w:tblGrid>
      <w:tr w:rsidR="002A0F5D" w:rsidRPr="006C68C4" w14:paraId="0A40AC7B" w14:textId="77777777" w:rsidTr="00BA04E9">
        <w:trPr>
          <w:cantSplit/>
          <w:tblHeader/>
          <w:jc w:val="center"/>
        </w:trPr>
        <w:tc>
          <w:tcPr>
            <w:tcW w:w="832" w:type="pct"/>
            <w:tcBorders>
              <w:top w:val="single" w:sz="6" w:space="0" w:color="000000"/>
              <w:left w:val="single" w:sz="2" w:space="0" w:color="FFFFFF"/>
              <w:bottom w:val="single" w:sz="2" w:space="0" w:color="000000"/>
              <w:right w:val="nil"/>
            </w:tcBorders>
            <w:shd w:val="clear" w:color="auto" w:fill="BBBBBB"/>
            <w:tcMar>
              <w:left w:w="60" w:type="dxa"/>
              <w:right w:w="60" w:type="dxa"/>
            </w:tcMar>
            <w:vAlign w:val="bottom"/>
          </w:tcPr>
          <w:p w14:paraId="5D4EB521" w14:textId="77777777" w:rsidR="002A0F5D" w:rsidRPr="006C68C4" w:rsidRDefault="002A0F5D" w:rsidP="00BA04E9">
            <w:pPr>
              <w:keepNext/>
              <w:adjustRightInd w:val="0"/>
              <w:spacing w:before="60" w:after="60"/>
              <w:jc w:val="center"/>
              <w:rPr>
                <w:rFonts w:ascii="Arial" w:hAnsi="Arial" w:cs="Arial"/>
                <w:color w:val="000000"/>
                <w:sz w:val="18"/>
                <w:szCs w:val="18"/>
              </w:rPr>
            </w:pPr>
            <w:bookmarkStart w:id="1" w:name="IDX122"/>
            <w:bookmarkEnd w:id="1"/>
            <w:r w:rsidRPr="006C68C4">
              <w:rPr>
                <w:rFonts w:ascii="Arial" w:hAnsi="Arial" w:cs="Arial"/>
                <w:color w:val="000000"/>
                <w:sz w:val="18"/>
                <w:szCs w:val="18"/>
              </w:rPr>
              <w:t>Parameter</w:t>
            </w:r>
          </w:p>
        </w:tc>
        <w:tc>
          <w:tcPr>
            <w:tcW w:w="834" w:type="pct"/>
            <w:tcBorders>
              <w:top w:val="single" w:sz="6" w:space="0" w:color="000000"/>
              <w:left w:val="single" w:sz="2" w:space="0" w:color="FFFFFF"/>
              <w:bottom w:val="single" w:sz="2" w:space="0" w:color="000000"/>
              <w:right w:val="nil"/>
            </w:tcBorders>
            <w:shd w:val="clear" w:color="auto" w:fill="BBBBBB"/>
            <w:tcMar>
              <w:left w:w="60" w:type="dxa"/>
              <w:right w:w="60" w:type="dxa"/>
            </w:tcMar>
            <w:vAlign w:val="bottom"/>
          </w:tcPr>
          <w:p w14:paraId="2F87A029"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Statistics</w:t>
            </w:r>
          </w:p>
        </w:tc>
        <w:tc>
          <w:tcPr>
            <w:tcW w:w="834" w:type="pct"/>
            <w:tcBorders>
              <w:top w:val="single" w:sz="6" w:space="0" w:color="000000"/>
              <w:left w:val="single" w:sz="2" w:space="0" w:color="FFFFFF"/>
              <w:bottom w:val="single" w:sz="2" w:space="0" w:color="000000"/>
              <w:right w:val="nil"/>
            </w:tcBorders>
            <w:shd w:val="clear" w:color="auto" w:fill="BBBBBB"/>
            <w:tcMar>
              <w:left w:w="60" w:type="dxa"/>
              <w:right w:w="60" w:type="dxa"/>
            </w:tcMar>
            <w:vAlign w:val="bottom"/>
          </w:tcPr>
          <w:p w14:paraId="01181153"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Hazard Ratio</w:t>
            </w:r>
          </w:p>
        </w:tc>
        <w:tc>
          <w:tcPr>
            <w:tcW w:w="1250" w:type="pct"/>
            <w:tcBorders>
              <w:top w:val="single" w:sz="6" w:space="0" w:color="000000"/>
              <w:left w:val="single" w:sz="2" w:space="0" w:color="FFFFFF"/>
              <w:bottom w:val="single" w:sz="2" w:space="0" w:color="000000"/>
              <w:right w:val="nil"/>
            </w:tcBorders>
            <w:shd w:val="clear" w:color="auto" w:fill="BBBBBB"/>
            <w:tcMar>
              <w:left w:w="60" w:type="dxa"/>
              <w:right w:w="60" w:type="dxa"/>
            </w:tcMar>
            <w:vAlign w:val="bottom"/>
          </w:tcPr>
          <w:p w14:paraId="135D5B1F"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95% Confidence Interval</w:t>
            </w:r>
          </w:p>
        </w:tc>
        <w:tc>
          <w:tcPr>
            <w:tcW w:w="1250" w:type="pct"/>
            <w:tcBorders>
              <w:top w:val="single" w:sz="6" w:space="0" w:color="000000"/>
              <w:left w:val="single" w:sz="2" w:space="0" w:color="FFFFFF"/>
              <w:bottom w:val="single" w:sz="2" w:space="0" w:color="000000"/>
              <w:right w:val="single" w:sz="2" w:space="0" w:color="FFFFFF"/>
            </w:tcBorders>
            <w:shd w:val="clear" w:color="auto" w:fill="BBBBBB"/>
            <w:tcMar>
              <w:left w:w="60" w:type="dxa"/>
              <w:right w:w="60" w:type="dxa"/>
            </w:tcMar>
            <w:vAlign w:val="bottom"/>
          </w:tcPr>
          <w:p w14:paraId="7F7D700D"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P-value</w:t>
            </w:r>
          </w:p>
        </w:tc>
      </w:tr>
      <w:tr w:rsidR="002A0F5D" w:rsidRPr="006C68C4" w14:paraId="6B19592F"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6E25AF64" w14:textId="77777777" w:rsidR="002A0F5D" w:rsidRPr="006C68C4" w:rsidRDefault="002A0F5D" w:rsidP="00BA04E9">
            <w:pPr>
              <w:adjustRightInd w:val="0"/>
              <w:spacing w:before="60" w:after="60"/>
              <w:rPr>
                <w:rFonts w:ascii="Arial" w:hAnsi="Arial" w:cs="Arial"/>
                <w:color w:val="000000"/>
                <w:sz w:val="18"/>
                <w:szCs w:val="18"/>
              </w:rPr>
            </w:pPr>
            <w:r w:rsidRPr="006C68C4">
              <w:rPr>
                <w:rFonts w:ascii="Arial" w:hAnsi="Arial" w:cs="Arial"/>
                <w:color w:val="000000"/>
                <w:sz w:val="18"/>
                <w:szCs w:val="18"/>
              </w:rPr>
              <w:t>Drug</w:t>
            </w:r>
          </w:p>
        </w:tc>
        <w:tc>
          <w:tcPr>
            <w:tcW w:w="834" w:type="pct"/>
            <w:tcBorders>
              <w:top w:val="nil"/>
              <w:left w:val="nil"/>
              <w:bottom w:val="nil"/>
              <w:right w:val="nil"/>
            </w:tcBorders>
            <w:shd w:val="clear" w:color="auto" w:fill="FFFFFF"/>
            <w:tcMar>
              <w:left w:w="60" w:type="dxa"/>
              <w:right w:w="60" w:type="dxa"/>
            </w:tcMar>
          </w:tcPr>
          <w:p w14:paraId="36C67ED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Adalimumab vs Golimumab</w:t>
            </w:r>
          </w:p>
        </w:tc>
        <w:tc>
          <w:tcPr>
            <w:tcW w:w="834" w:type="pct"/>
            <w:tcBorders>
              <w:top w:val="nil"/>
              <w:left w:val="nil"/>
              <w:bottom w:val="nil"/>
              <w:right w:val="nil"/>
            </w:tcBorders>
            <w:shd w:val="clear" w:color="auto" w:fill="FFFFFF"/>
            <w:tcMar>
              <w:left w:w="60" w:type="dxa"/>
              <w:right w:w="60" w:type="dxa"/>
            </w:tcMar>
          </w:tcPr>
          <w:p w14:paraId="77FC22E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0.76</w:t>
            </w:r>
          </w:p>
        </w:tc>
        <w:tc>
          <w:tcPr>
            <w:tcW w:w="1250" w:type="pct"/>
            <w:tcBorders>
              <w:top w:val="nil"/>
              <w:left w:val="nil"/>
              <w:bottom w:val="nil"/>
              <w:right w:val="nil"/>
            </w:tcBorders>
            <w:shd w:val="clear" w:color="auto" w:fill="FFFFFF"/>
            <w:tcMar>
              <w:left w:w="60" w:type="dxa"/>
              <w:right w:w="60" w:type="dxa"/>
            </w:tcMar>
          </w:tcPr>
          <w:p w14:paraId="1ED4690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( 0.57,  1.01)</w:t>
            </w:r>
          </w:p>
        </w:tc>
        <w:tc>
          <w:tcPr>
            <w:tcW w:w="1250" w:type="pct"/>
            <w:tcBorders>
              <w:top w:val="nil"/>
              <w:left w:val="nil"/>
              <w:bottom w:val="nil"/>
              <w:right w:val="nil"/>
            </w:tcBorders>
            <w:shd w:val="clear" w:color="auto" w:fill="FFFFFF"/>
            <w:tcMar>
              <w:left w:w="60" w:type="dxa"/>
              <w:right w:w="60" w:type="dxa"/>
            </w:tcMar>
          </w:tcPr>
          <w:p w14:paraId="55CE6C3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0.059</w:t>
            </w:r>
          </w:p>
        </w:tc>
      </w:tr>
      <w:tr w:rsidR="002A0F5D" w:rsidRPr="006C68C4" w14:paraId="3617EA77"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467F418E"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1B02CA9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Adalimumab vs Infliximab</w:t>
            </w:r>
          </w:p>
        </w:tc>
        <w:tc>
          <w:tcPr>
            <w:tcW w:w="834" w:type="pct"/>
            <w:tcBorders>
              <w:top w:val="nil"/>
              <w:left w:val="nil"/>
              <w:bottom w:val="nil"/>
              <w:right w:val="nil"/>
            </w:tcBorders>
            <w:shd w:val="clear" w:color="auto" w:fill="FFFFFF"/>
            <w:tcMar>
              <w:left w:w="60" w:type="dxa"/>
              <w:right w:w="60" w:type="dxa"/>
            </w:tcMar>
          </w:tcPr>
          <w:p w14:paraId="5521D85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17.88</w:t>
            </w:r>
          </w:p>
        </w:tc>
        <w:tc>
          <w:tcPr>
            <w:tcW w:w="1250" w:type="pct"/>
            <w:tcBorders>
              <w:top w:val="nil"/>
              <w:left w:val="nil"/>
              <w:bottom w:val="nil"/>
              <w:right w:val="nil"/>
            </w:tcBorders>
            <w:shd w:val="clear" w:color="auto" w:fill="FFFFFF"/>
            <w:tcMar>
              <w:left w:w="60" w:type="dxa"/>
              <w:right w:w="60" w:type="dxa"/>
            </w:tcMar>
          </w:tcPr>
          <w:p w14:paraId="0E748BB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( 5.50, 58.12)</w:t>
            </w:r>
          </w:p>
        </w:tc>
        <w:tc>
          <w:tcPr>
            <w:tcW w:w="1250" w:type="pct"/>
            <w:tcBorders>
              <w:top w:val="nil"/>
              <w:left w:val="nil"/>
              <w:bottom w:val="nil"/>
              <w:right w:val="nil"/>
            </w:tcBorders>
            <w:shd w:val="clear" w:color="auto" w:fill="FFFFFF"/>
            <w:tcMar>
              <w:left w:w="60" w:type="dxa"/>
              <w:right w:w="60" w:type="dxa"/>
            </w:tcMar>
          </w:tcPr>
          <w:p w14:paraId="2821DC9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&lt;0.001</w:t>
            </w:r>
          </w:p>
        </w:tc>
      </w:tr>
      <w:tr w:rsidR="002A0F5D" w:rsidRPr="006C68C4" w14:paraId="55BB2F8A"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4E8AA2C2"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3792C9E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Adalimumab vs Tofacitinib</w:t>
            </w:r>
          </w:p>
        </w:tc>
        <w:tc>
          <w:tcPr>
            <w:tcW w:w="834" w:type="pct"/>
            <w:tcBorders>
              <w:top w:val="nil"/>
              <w:left w:val="nil"/>
              <w:bottom w:val="nil"/>
              <w:right w:val="nil"/>
            </w:tcBorders>
            <w:shd w:val="clear" w:color="auto" w:fill="FFFFFF"/>
            <w:tcMar>
              <w:left w:w="60" w:type="dxa"/>
              <w:right w:w="60" w:type="dxa"/>
            </w:tcMar>
          </w:tcPr>
          <w:p w14:paraId="1558DCE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1.76</w:t>
            </w:r>
          </w:p>
        </w:tc>
        <w:tc>
          <w:tcPr>
            <w:tcW w:w="1250" w:type="pct"/>
            <w:tcBorders>
              <w:top w:val="nil"/>
              <w:left w:val="nil"/>
              <w:bottom w:val="nil"/>
              <w:right w:val="nil"/>
            </w:tcBorders>
            <w:shd w:val="clear" w:color="auto" w:fill="FFFFFF"/>
            <w:tcMar>
              <w:left w:w="60" w:type="dxa"/>
              <w:right w:w="60" w:type="dxa"/>
            </w:tcMar>
          </w:tcPr>
          <w:p w14:paraId="0D1EEA3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( 0.74,  4.21)</w:t>
            </w:r>
          </w:p>
        </w:tc>
        <w:tc>
          <w:tcPr>
            <w:tcW w:w="1250" w:type="pct"/>
            <w:tcBorders>
              <w:top w:val="nil"/>
              <w:left w:val="nil"/>
              <w:bottom w:val="nil"/>
              <w:right w:val="nil"/>
            </w:tcBorders>
            <w:shd w:val="clear" w:color="auto" w:fill="FFFFFF"/>
            <w:tcMar>
              <w:left w:w="60" w:type="dxa"/>
              <w:right w:w="60" w:type="dxa"/>
            </w:tcMar>
          </w:tcPr>
          <w:p w14:paraId="760C6CE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0.202</w:t>
            </w:r>
          </w:p>
        </w:tc>
      </w:tr>
      <w:tr w:rsidR="002A0F5D" w:rsidRPr="006C68C4" w14:paraId="46A6F08F"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091B9595"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02461D7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Adalimumab vs Ustekinumab</w:t>
            </w:r>
          </w:p>
        </w:tc>
        <w:tc>
          <w:tcPr>
            <w:tcW w:w="834" w:type="pct"/>
            <w:tcBorders>
              <w:top w:val="nil"/>
              <w:left w:val="nil"/>
              <w:bottom w:val="nil"/>
              <w:right w:val="nil"/>
            </w:tcBorders>
            <w:shd w:val="clear" w:color="auto" w:fill="FFFFFF"/>
            <w:tcMar>
              <w:left w:w="60" w:type="dxa"/>
              <w:right w:w="60" w:type="dxa"/>
            </w:tcMar>
          </w:tcPr>
          <w:p w14:paraId="56E4474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0.31</w:t>
            </w:r>
          </w:p>
        </w:tc>
        <w:tc>
          <w:tcPr>
            <w:tcW w:w="1250" w:type="pct"/>
            <w:tcBorders>
              <w:top w:val="nil"/>
              <w:left w:val="nil"/>
              <w:bottom w:val="nil"/>
              <w:right w:val="nil"/>
            </w:tcBorders>
            <w:shd w:val="clear" w:color="auto" w:fill="FFFFFF"/>
            <w:tcMar>
              <w:left w:w="60" w:type="dxa"/>
              <w:right w:w="60" w:type="dxa"/>
            </w:tcMar>
          </w:tcPr>
          <w:p w14:paraId="0E8E3BD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( 0.16,  0.61)</w:t>
            </w:r>
          </w:p>
        </w:tc>
        <w:tc>
          <w:tcPr>
            <w:tcW w:w="1250" w:type="pct"/>
            <w:tcBorders>
              <w:top w:val="nil"/>
              <w:left w:val="nil"/>
              <w:bottom w:val="nil"/>
              <w:right w:val="nil"/>
            </w:tcBorders>
            <w:shd w:val="clear" w:color="auto" w:fill="FFFFFF"/>
            <w:tcMar>
              <w:left w:w="60" w:type="dxa"/>
              <w:right w:w="60" w:type="dxa"/>
            </w:tcMar>
          </w:tcPr>
          <w:p w14:paraId="019B876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&lt;0.001</w:t>
            </w:r>
          </w:p>
        </w:tc>
      </w:tr>
      <w:tr w:rsidR="002A0F5D" w:rsidRPr="006C68C4" w14:paraId="76075C6B"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0D676BE1"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53A2521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Adalimumab vs Vedolizumab</w:t>
            </w:r>
          </w:p>
        </w:tc>
        <w:tc>
          <w:tcPr>
            <w:tcW w:w="834" w:type="pct"/>
            <w:tcBorders>
              <w:top w:val="nil"/>
              <w:left w:val="nil"/>
              <w:bottom w:val="nil"/>
              <w:right w:val="nil"/>
            </w:tcBorders>
            <w:shd w:val="clear" w:color="auto" w:fill="FFFFFF"/>
            <w:tcMar>
              <w:left w:w="60" w:type="dxa"/>
              <w:right w:w="60" w:type="dxa"/>
            </w:tcMar>
          </w:tcPr>
          <w:p w14:paraId="1533C41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2.78</w:t>
            </w:r>
          </w:p>
        </w:tc>
        <w:tc>
          <w:tcPr>
            <w:tcW w:w="1250" w:type="pct"/>
            <w:tcBorders>
              <w:top w:val="nil"/>
              <w:left w:val="nil"/>
              <w:bottom w:val="nil"/>
              <w:right w:val="nil"/>
            </w:tcBorders>
            <w:shd w:val="clear" w:color="auto" w:fill="FFFFFF"/>
            <w:tcMar>
              <w:left w:w="60" w:type="dxa"/>
              <w:right w:w="60" w:type="dxa"/>
            </w:tcMar>
          </w:tcPr>
          <w:p w14:paraId="7DF5DB9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( 1.44,  5.34)</w:t>
            </w:r>
          </w:p>
        </w:tc>
        <w:tc>
          <w:tcPr>
            <w:tcW w:w="1250" w:type="pct"/>
            <w:tcBorders>
              <w:top w:val="nil"/>
              <w:left w:val="nil"/>
              <w:bottom w:val="nil"/>
              <w:right w:val="nil"/>
            </w:tcBorders>
            <w:shd w:val="clear" w:color="auto" w:fill="FFFFFF"/>
            <w:tcMar>
              <w:left w:w="60" w:type="dxa"/>
              <w:right w:w="60" w:type="dxa"/>
            </w:tcMar>
          </w:tcPr>
          <w:p w14:paraId="5BF58BF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0.002</w:t>
            </w:r>
          </w:p>
        </w:tc>
      </w:tr>
      <w:tr w:rsidR="002A0F5D" w:rsidRPr="006C68C4" w14:paraId="03FF1D0F"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13715EF9"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7F5531B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Golimumab vs Infliximab</w:t>
            </w:r>
          </w:p>
        </w:tc>
        <w:tc>
          <w:tcPr>
            <w:tcW w:w="834" w:type="pct"/>
            <w:tcBorders>
              <w:top w:val="nil"/>
              <w:left w:val="nil"/>
              <w:bottom w:val="nil"/>
              <w:right w:val="nil"/>
            </w:tcBorders>
            <w:shd w:val="clear" w:color="auto" w:fill="FFFFFF"/>
            <w:tcMar>
              <w:left w:w="60" w:type="dxa"/>
              <w:right w:w="60" w:type="dxa"/>
            </w:tcMar>
          </w:tcPr>
          <w:p w14:paraId="02617A0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23.52</w:t>
            </w:r>
          </w:p>
        </w:tc>
        <w:tc>
          <w:tcPr>
            <w:tcW w:w="1250" w:type="pct"/>
            <w:tcBorders>
              <w:top w:val="nil"/>
              <w:left w:val="nil"/>
              <w:bottom w:val="nil"/>
              <w:right w:val="nil"/>
            </w:tcBorders>
            <w:shd w:val="clear" w:color="auto" w:fill="FFFFFF"/>
            <w:tcMar>
              <w:left w:w="60" w:type="dxa"/>
              <w:right w:w="60" w:type="dxa"/>
            </w:tcMar>
          </w:tcPr>
          <w:p w14:paraId="7093F14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( 7.12, 77.76)</w:t>
            </w:r>
          </w:p>
        </w:tc>
        <w:tc>
          <w:tcPr>
            <w:tcW w:w="1250" w:type="pct"/>
            <w:tcBorders>
              <w:top w:val="nil"/>
              <w:left w:val="nil"/>
              <w:bottom w:val="nil"/>
              <w:right w:val="nil"/>
            </w:tcBorders>
            <w:shd w:val="clear" w:color="auto" w:fill="FFFFFF"/>
            <w:tcMar>
              <w:left w:w="60" w:type="dxa"/>
              <w:right w:w="60" w:type="dxa"/>
            </w:tcMar>
          </w:tcPr>
          <w:p w14:paraId="769D1A1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&lt;0.001</w:t>
            </w:r>
          </w:p>
        </w:tc>
      </w:tr>
      <w:tr w:rsidR="002A0F5D" w:rsidRPr="006C68C4" w14:paraId="273AC194"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6D0A722F"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44CB5595"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Golimumab vs Tofacitinib</w:t>
            </w:r>
          </w:p>
        </w:tc>
        <w:tc>
          <w:tcPr>
            <w:tcW w:w="834" w:type="pct"/>
            <w:tcBorders>
              <w:top w:val="nil"/>
              <w:left w:val="nil"/>
              <w:bottom w:val="nil"/>
              <w:right w:val="nil"/>
            </w:tcBorders>
            <w:shd w:val="clear" w:color="auto" w:fill="FFFFFF"/>
            <w:tcMar>
              <w:left w:w="60" w:type="dxa"/>
              <w:right w:w="60" w:type="dxa"/>
            </w:tcMar>
          </w:tcPr>
          <w:p w14:paraId="479F0D2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2.32</w:t>
            </w:r>
          </w:p>
        </w:tc>
        <w:tc>
          <w:tcPr>
            <w:tcW w:w="1250" w:type="pct"/>
            <w:tcBorders>
              <w:top w:val="nil"/>
              <w:left w:val="nil"/>
              <w:bottom w:val="nil"/>
              <w:right w:val="nil"/>
            </w:tcBorders>
            <w:shd w:val="clear" w:color="auto" w:fill="FFFFFF"/>
            <w:tcMar>
              <w:left w:w="60" w:type="dxa"/>
              <w:right w:w="60" w:type="dxa"/>
            </w:tcMar>
          </w:tcPr>
          <w:p w14:paraId="3BC914D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( 0.95,  5.68)</w:t>
            </w:r>
          </w:p>
        </w:tc>
        <w:tc>
          <w:tcPr>
            <w:tcW w:w="1250" w:type="pct"/>
            <w:tcBorders>
              <w:top w:val="nil"/>
              <w:left w:val="nil"/>
              <w:bottom w:val="nil"/>
              <w:right w:val="nil"/>
            </w:tcBorders>
            <w:shd w:val="clear" w:color="auto" w:fill="FFFFFF"/>
            <w:tcMar>
              <w:left w:w="60" w:type="dxa"/>
              <w:right w:w="60" w:type="dxa"/>
            </w:tcMar>
          </w:tcPr>
          <w:p w14:paraId="2C32783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0.066</w:t>
            </w:r>
          </w:p>
        </w:tc>
      </w:tr>
      <w:tr w:rsidR="002A0F5D" w:rsidRPr="006C68C4" w14:paraId="51B8B86F"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14211E50"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5594AAD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Golimumab vs Ustekinumab</w:t>
            </w:r>
          </w:p>
        </w:tc>
        <w:tc>
          <w:tcPr>
            <w:tcW w:w="834" w:type="pct"/>
            <w:tcBorders>
              <w:top w:val="nil"/>
              <w:left w:val="nil"/>
              <w:bottom w:val="nil"/>
              <w:right w:val="nil"/>
            </w:tcBorders>
            <w:shd w:val="clear" w:color="auto" w:fill="FFFFFF"/>
            <w:tcMar>
              <w:left w:w="60" w:type="dxa"/>
              <w:right w:w="60" w:type="dxa"/>
            </w:tcMar>
          </w:tcPr>
          <w:p w14:paraId="436AFAC2"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0.40</w:t>
            </w:r>
          </w:p>
        </w:tc>
        <w:tc>
          <w:tcPr>
            <w:tcW w:w="1250" w:type="pct"/>
            <w:tcBorders>
              <w:top w:val="nil"/>
              <w:left w:val="nil"/>
              <w:bottom w:val="nil"/>
              <w:right w:val="nil"/>
            </w:tcBorders>
            <w:shd w:val="clear" w:color="auto" w:fill="FFFFFF"/>
            <w:tcMar>
              <w:left w:w="60" w:type="dxa"/>
              <w:right w:w="60" w:type="dxa"/>
            </w:tcMar>
          </w:tcPr>
          <w:p w14:paraId="7A22B99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( 0.20,  0.83)</w:t>
            </w:r>
          </w:p>
        </w:tc>
        <w:tc>
          <w:tcPr>
            <w:tcW w:w="1250" w:type="pct"/>
            <w:tcBorders>
              <w:top w:val="nil"/>
              <w:left w:val="nil"/>
              <w:bottom w:val="nil"/>
              <w:right w:val="nil"/>
            </w:tcBorders>
            <w:shd w:val="clear" w:color="auto" w:fill="FFFFFF"/>
            <w:tcMar>
              <w:left w:w="60" w:type="dxa"/>
              <w:right w:w="60" w:type="dxa"/>
            </w:tcMar>
          </w:tcPr>
          <w:p w14:paraId="2136E33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0.013</w:t>
            </w:r>
          </w:p>
        </w:tc>
      </w:tr>
      <w:tr w:rsidR="002A0F5D" w:rsidRPr="006C68C4" w14:paraId="03DA0069"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36885E48"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2895AF79"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Golimumab vs Vedolizumab</w:t>
            </w:r>
          </w:p>
        </w:tc>
        <w:tc>
          <w:tcPr>
            <w:tcW w:w="834" w:type="pct"/>
            <w:tcBorders>
              <w:top w:val="nil"/>
              <w:left w:val="nil"/>
              <w:bottom w:val="nil"/>
              <w:right w:val="nil"/>
            </w:tcBorders>
            <w:shd w:val="clear" w:color="auto" w:fill="FFFFFF"/>
            <w:tcMar>
              <w:left w:w="60" w:type="dxa"/>
              <w:right w:w="60" w:type="dxa"/>
            </w:tcMar>
          </w:tcPr>
          <w:p w14:paraId="11797B1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3.65</w:t>
            </w:r>
          </w:p>
        </w:tc>
        <w:tc>
          <w:tcPr>
            <w:tcW w:w="1250" w:type="pct"/>
            <w:tcBorders>
              <w:top w:val="nil"/>
              <w:left w:val="nil"/>
              <w:bottom w:val="nil"/>
              <w:right w:val="nil"/>
            </w:tcBorders>
            <w:shd w:val="clear" w:color="auto" w:fill="FFFFFF"/>
            <w:tcMar>
              <w:left w:w="60" w:type="dxa"/>
              <w:right w:w="60" w:type="dxa"/>
            </w:tcMar>
          </w:tcPr>
          <w:p w14:paraId="7C73FBC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( 1.84,  7.26)</w:t>
            </w:r>
          </w:p>
        </w:tc>
        <w:tc>
          <w:tcPr>
            <w:tcW w:w="1250" w:type="pct"/>
            <w:tcBorders>
              <w:top w:val="nil"/>
              <w:left w:val="nil"/>
              <w:bottom w:val="nil"/>
              <w:right w:val="nil"/>
            </w:tcBorders>
            <w:shd w:val="clear" w:color="auto" w:fill="FFFFFF"/>
            <w:tcMar>
              <w:left w:w="60" w:type="dxa"/>
              <w:right w:w="60" w:type="dxa"/>
            </w:tcMar>
          </w:tcPr>
          <w:p w14:paraId="088F7DC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&lt;0.001</w:t>
            </w:r>
          </w:p>
        </w:tc>
      </w:tr>
      <w:tr w:rsidR="002A0F5D" w:rsidRPr="006C68C4" w14:paraId="2A637D6F"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5D4E74F0"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25E90F4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Infliximab vs Tofacitinib</w:t>
            </w:r>
          </w:p>
        </w:tc>
        <w:tc>
          <w:tcPr>
            <w:tcW w:w="834" w:type="pct"/>
            <w:tcBorders>
              <w:top w:val="nil"/>
              <w:left w:val="nil"/>
              <w:bottom w:val="nil"/>
              <w:right w:val="nil"/>
            </w:tcBorders>
            <w:shd w:val="clear" w:color="auto" w:fill="FFFFFF"/>
            <w:tcMar>
              <w:left w:w="60" w:type="dxa"/>
              <w:right w:w="60" w:type="dxa"/>
            </w:tcMar>
          </w:tcPr>
          <w:p w14:paraId="78FAF1F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0.10</w:t>
            </w:r>
          </w:p>
        </w:tc>
        <w:tc>
          <w:tcPr>
            <w:tcW w:w="1250" w:type="pct"/>
            <w:tcBorders>
              <w:top w:val="nil"/>
              <w:left w:val="nil"/>
              <w:bottom w:val="nil"/>
              <w:right w:val="nil"/>
            </w:tcBorders>
            <w:shd w:val="clear" w:color="auto" w:fill="FFFFFF"/>
            <w:tcMar>
              <w:left w:w="60" w:type="dxa"/>
              <w:right w:w="60" w:type="dxa"/>
            </w:tcMar>
          </w:tcPr>
          <w:p w14:paraId="4E20E01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( 0.02,  0.42)</w:t>
            </w:r>
          </w:p>
        </w:tc>
        <w:tc>
          <w:tcPr>
            <w:tcW w:w="1250" w:type="pct"/>
            <w:tcBorders>
              <w:top w:val="nil"/>
              <w:left w:val="nil"/>
              <w:bottom w:val="nil"/>
              <w:right w:val="nil"/>
            </w:tcBorders>
            <w:shd w:val="clear" w:color="auto" w:fill="FFFFFF"/>
            <w:tcMar>
              <w:left w:w="60" w:type="dxa"/>
              <w:right w:w="60" w:type="dxa"/>
            </w:tcMar>
          </w:tcPr>
          <w:p w14:paraId="5E4223C7"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0.002</w:t>
            </w:r>
          </w:p>
        </w:tc>
      </w:tr>
      <w:tr w:rsidR="002A0F5D" w:rsidRPr="006C68C4" w14:paraId="6A30CCDA"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45CFD3A1"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50F6AC3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Infliximab vs Ustekinumab</w:t>
            </w:r>
          </w:p>
        </w:tc>
        <w:tc>
          <w:tcPr>
            <w:tcW w:w="834" w:type="pct"/>
            <w:tcBorders>
              <w:top w:val="nil"/>
              <w:left w:val="nil"/>
              <w:bottom w:val="nil"/>
              <w:right w:val="nil"/>
            </w:tcBorders>
            <w:shd w:val="clear" w:color="auto" w:fill="FFFFFF"/>
            <w:tcMar>
              <w:left w:w="60" w:type="dxa"/>
              <w:right w:w="60" w:type="dxa"/>
            </w:tcMar>
          </w:tcPr>
          <w:p w14:paraId="2238B27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0.02</w:t>
            </w:r>
          </w:p>
        </w:tc>
        <w:tc>
          <w:tcPr>
            <w:tcW w:w="1250" w:type="pct"/>
            <w:tcBorders>
              <w:top w:val="nil"/>
              <w:left w:val="nil"/>
              <w:bottom w:val="nil"/>
              <w:right w:val="nil"/>
            </w:tcBorders>
            <w:shd w:val="clear" w:color="auto" w:fill="FFFFFF"/>
            <w:tcMar>
              <w:left w:w="60" w:type="dxa"/>
              <w:right w:w="60" w:type="dxa"/>
            </w:tcMar>
          </w:tcPr>
          <w:p w14:paraId="742235F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( 0.00,  0.07)</w:t>
            </w:r>
          </w:p>
        </w:tc>
        <w:tc>
          <w:tcPr>
            <w:tcW w:w="1250" w:type="pct"/>
            <w:tcBorders>
              <w:top w:val="nil"/>
              <w:left w:val="nil"/>
              <w:bottom w:val="nil"/>
              <w:right w:val="nil"/>
            </w:tcBorders>
            <w:shd w:val="clear" w:color="auto" w:fill="FFFFFF"/>
            <w:tcMar>
              <w:left w:w="60" w:type="dxa"/>
              <w:right w:w="60" w:type="dxa"/>
            </w:tcMar>
          </w:tcPr>
          <w:p w14:paraId="5F7D6FA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&lt;0.001</w:t>
            </w:r>
          </w:p>
        </w:tc>
      </w:tr>
      <w:tr w:rsidR="002A0F5D" w:rsidRPr="006C68C4" w14:paraId="3544AC8A"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6D2FC513"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5CA849B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Infliximab vs Vedolizumab</w:t>
            </w:r>
          </w:p>
        </w:tc>
        <w:tc>
          <w:tcPr>
            <w:tcW w:w="834" w:type="pct"/>
            <w:tcBorders>
              <w:top w:val="nil"/>
              <w:left w:val="nil"/>
              <w:bottom w:val="nil"/>
              <w:right w:val="nil"/>
            </w:tcBorders>
            <w:shd w:val="clear" w:color="auto" w:fill="FFFFFF"/>
            <w:tcMar>
              <w:left w:w="60" w:type="dxa"/>
              <w:right w:w="60" w:type="dxa"/>
            </w:tcMar>
          </w:tcPr>
          <w:p w14:paraId="3F21976D"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0.16</w:t>
            </w:r>
          </w:p>
        </w:tc>
        <w:tc>
          <w:tcPr>
            <w:tcW w:w="1250" w:type="pct"/>
            <w:tcBorders>
              <w:top w:val="nil"/>
              <w:left w:val="nil"/>
              <w:bottom w:val="nil"/>
              <w:right w:val="nil"/>
            </w:tcBorders>
            <w:shd w:val="clear" w:color="auto" w:fill="FFFFFF"/>
            <w:tcMar>
              <w:left w:w="60" w:type="dxa"/>
              <w:right w:w="60" w:type="dxa"/>
            </w:tcMar>
          </w:tcPr>
          <w:p w14:paraId="06BAFA2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( 0.04,  0.59)</w:t>
            </w:r>
          </w:p>
        </w:tc>
        <w:tc>
          <w:tcPr>
            <w:tcW w:w="1250" w:type="pct"/>
            <w:tcBorders>
              <w:top w:val="nil"/>
              <w:left w:val="nil"/>
              <w:bottom w:val="nil"/>
              <w:right w:val="nil"/>
            </w:tcBorders>
            <w:shd w:val="clear" w:color="auto" w:fill="FFFFFF"/>
            <w:tcMar>
              <w:left w:w="60" w:type="dxa"/>
              <w:right w:w="60" w:type="dxa"/>
            </w:tcMar>
          </w:tcPr>
          <w:p w14:paraId="4E1C786C"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0.006</w:t>
            </w:r>
          </w:p>
        </w:tc>
      </w:tr>
      <w:tr w:rsidR="002A0F5D" w:rsidRPr="006C68C4" w14:paraId="04AC0ABD"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269BF3CA"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47E45510"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Tofacitinib vs Ustekinumab</w:t>
            </w:r>
          </w:p>
        </w:tc>
        <w:tc>
          <w:tcPr>
            <w:tcW w:w="834" w:type="pct"/>
            <w:tcBorders>
              <w:top w:val="nil"/>
              <w:left w:val="nil"/>
              <w:bottom w:val="nil"/>
              <w:right w:val="nil"/>
            </w:tcBorders>
            <w:shd w:val="clear" w:color="auto" w:fill="FFFFFF"/>
            <w:tcMar>
              <w:left w:w="60" w:type="dxa"/>
              <w:right w:w="60" w:type="dxa"/>
            </w:tcMar>
          </w:tcPr>
          <w:p w14:paraId="1DA027FF"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0.17</w:t>
            </w:r>
          </w:p>
        </w:tc>
        <w:tc>
          <w:tcPr>
            <w:tcW w:w="1250" w:type="pct"/>
            <w:tcBorders>
              <w:top w:val="nil"/>
              <w:left w:val="nil"/>
              <w:bottom w:val="nil"/>
              <w:right w:val="nil"/>
            </w:tcBorders>
            <w:shd w:val="clear" w:color="auto" w:fill="FFFFFF"/>
            <w:tcMar>
              <w:left w:w="60" w:type="dxa"/>
              <w:right w:w="60" w:type="dxa"/>
            </w:tcMar>
          </w:tcPr>
          <w:p w14:paraId="242B2BAB"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( 0.06,  0.52)</w:t>
            </w:r>
          </w:p>
        </w:tc>
        <w:tc>
          <w:tcPr>
            <w:tcW w:w="1250" w:type="pct"/>
            <w:tcBorders>
              <w:top w:val="nil"/>
              <w:left w:val="nil"/>
              <w:bottom w:val="nil"/>
              <w:right w:val="nil"/>
            </w:tcBorders>
            <w:shd w:val="clear" w:color="auto" w:fill="FFFFFF"/>
            <w:tcMar>
              <w:left w:w="60" w:type="dxa"/>
              <w:right w:w="60" w:type="dxa"/>
            </w:tcMar>
          </w:tcPr>
          <w:p w14:paraId="2737044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0.002</w:t>
            </w:r>
          </w:p>
        </w:tc>
      </w:tr>
      <w:tr w:rsidR="002A0F5D" w:rsidRPr="006C68C4" w14:paraId="0642B4D0"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57249A33"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323C707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Tofacitinib vs Vedolizumab</w:t>
            </w:r>
          </w:p>
        </w:tc>
        <w:tc>
          <w:tcPr>
            <w:tcW w:w="834" w:type="pct"/>
            <w:tcBorders>
              <w:top w:val="nil"/>
              <w:left w:val="nil"/>
              <w:bottom w:val="nil"/>
              <w:right w:val="nil"/>
            </w:tcBorders>
            <w:shd w:val="clear" w:color="auto" w:fill="FFFFFF"/>
            <w:tcMar>
              <w:left w:w="60" w:type="dxa"/>
              <w:right w:w="60" w:type="dxa"/>
            </w:tcMar>
          </w:tcPr>
          <w:p w14:paraId="53B277B1"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1.58</w:t>
            </w:r>
          </w:p>
        </w:tc>
        <w:tc>
          <w:tcPr>
            <w:tcW w:w="1250" w:type="pct"/>
            <w:tcBorders>
              <w:top w:val="nil"/>
              <w:left w:val="nil"/>
              <w:bottom w:val="nil"/>
              <w:right w:val="nil"/>
            </w:tcBorders>
            <w:shd w:val="clear" w:color="auto" w:fill="FFFFFF"/>
            <w:tcMar>
              <w:left w:w="60" w:type="dxa"/>
              <w:right w:w="60" w:type="dxa"/>
            </w:tcMar>
          </w:tcPr>
          <w:p w14:paraId="00A69693"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( 0.54,  4.60)</w:t>
            </w:r>
          </w:p>
        </w:tc>
        <w:tc>
          <w:tcPr>
            <w:tcW w:w="1250" w:type="pct"/>
            <w:tcBorders>
              <w:top w:val="nil"/>
              <w:left w:val="nil"/>
              <w:bottom w:val="nil"/>
              <w:right w:val="nil"/>
            </w:tcBorders>
            <w:shd w:val="clear" w:color="auto" w:fill="FFFFFF"/>
            <w:tcMar>
              <w:left w:w="60" w:type="dxa"/>
              <w:right w:w="60" w:type="dxa"/>
            </w:tcMar>
          </w:tcPr>
          <w:p w14:paraId="11EB2DA4"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0.406</w:t>
            </w:r>
          </w:p>
        </w:tc>
      </w:tr>
      <w:tr w:rsidR="002A0F5D" w:rsidRPr="006C68C4" w14:paraId="6B51BE37" w14:textId="77777777" w:rsidTr="00BA04E9">
        <w:trPr>
          <w:cantSplit/>
          <w:jc w:val="center"/>
        </w:trPr>
        <w:tc>
          <w:tcPr>
            <w:tcW w:w="832" w:type="pct"/>
            <w:tcBorders>
              <w:top w:val="nil"/>
              <w:left w:val="nil"/>
              <w:bottom w:val="nil"/>
              <w:right w:val="nil"/>
            </w:tcBorders>
            <w:shd w:val="clear" w:color="auto" w:fill="FFFFFF"/>
            <w:tcMar>
              <w:left w:w="60" w:type="dxa"/>
              <w:right w:w="60" w:type="dxa"/>
            </w:tcMar>
          </w:tcPr>
          <w:p w14:paraId="481F5270" w14:textId="77777777" w:rsidR="002A0F5D" w:rsidRPr="006C68C4" w:rsidRDefault="002A0F5D" w:rsidP="00BA04E9">
            <w:pPr>
              <w:adjustRightInd w:val="0"/>
              <w:spacing w:before="60" w:after="60"/>
              <w:rPr>
                <w:rFonts w:ascii="Arial" w:hAnsi="Arial" w:cs="Arial"/>
                <w:color w:val="000000"/>
                <w:sz w:val="18"/>
                <w:szCs w:val="18"/>
              </w:rPr>
            </w:pPr>
          </w:p>
        </w:tc>
        <w:tc>
          <w:tcPr>
            <w:tcW w:w="834" w:type="pct"/>
            <w:tcBorders>
              <w:top w:val="nil"/>
              <w:left w:val="nil"/>
              <w:bottom w:val="nil"/>
              <w:right w:val="nil"/>
            </w:tcBorders>
            <w:shd w:val="clear" w:color="auto" w:fill="FFFFFF"/>
            <w:tcMar>
              <w:left w:w="60" w:type="dxa"/>
              <w:right w:w="60" w:type="dxa"/>
            </w:tcMar>
          </w:tcPr>
          <w:p w14:paraId="74AA5DBA"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Ustekinumab vs Vedolizumab</w:t>
            </w:r>
          </w:p>
        </w:tc>
        <w:tc>
          <w:tcPr>
            <w:tcW w:w="834" w:type="pct"/>
            <w:tcBorders>
              <w:top w:val="nil"/>
              <w:left w:val="nil"/>
              <w:bottom w:val="nil"/>
              <w:right w:val="nil"/>
            </w:tcBorders>
            <w:shd w:val="clear" w:color="auto" w:fill="FFFFFF"/>
            <w:tcMar>
              <w:left w:w="60" w:type="dxa"/>
              <w:right w:w="60" w:type="dxa"/>
            </w:tcMar>
          </w:tcPr>
          <w:p w14:paraId="46DA9238"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9.03</w:t>
            </w:r>
          </w:p>
        </w:tc>
        <w:tc>
          <w:tcPr>
            <w:tcW w:w="1250" w:type="pct"/>
            <w:tcBorders>
              <w:top w:val="nil"/>
              <w:left w:val="nil"/>
              <w:bottom w:val="nil"/>
              <w:right w:val="nil"/>
            </w:tcBorders>
            <w:shd w:val="clear" w:color="auto" w:fill="FFFFFF"/>
            <w:tcMar>
              <w:left w:w="60" w:type="dxa"/>
              <w:right w:w="60" w:type="dxa"/>
            </w:tcMar>
          </w:tcPr>
          <w:p w14:paraId="4A284CA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( 3.58, 22.73)</w:t>
            </w:r>
          </w:p>
        </w:tc>
        <w:tc>
          <w:tcPr>
            <w:tcW w:w="1250" w:type="pct"/>
            <w:tcBorders>
              <w:top w:val="nil"/>
              <w:left w:val="nil"/>
              <w:bottom w:val="nil"/>
              <w:right w:val="nil"/>
            </w:tcBorders>
            <w:shd w:val="clear" w:color="auto" w:fill="FFFFFF"/>
            <w:tcMar>
              <w:left w:w="60" w:type="dxa"/>
              <w:right w:w="60" w:type="dxa"/>
            </w:tcMar>
          </w:tcPr>
          <w:p w14:paraId="07127CFE" w14:textId="77777777" w:rsidR="002A0F5D" w:rsidRPr="006C68C4" w:rsidRDefault="002A0F5D" w:rsidP="00BA04E9">
            <w:pPr>
              <w:adjustRightInd w:val="0"/>
              <w:spacing w:before="60" w:after="60"/>
              <w:jc w:val="center"/>
              <w:rPr>
                <w:rFonts w:ascii="Arial" w:hAnsi="Arial" w:cs="Arial"/>
                <w:color w:val="000000"/>
                <w:sz w:val="18"/>
                <w:szCs w:val="18"/>
              </w:rPr>
            </w:pPr>
            <w:r w:rsidRPr="006C68C4">
              <w:rPr>
                <w:rFonts w:ascii="Arial" w:hAnsi="Arial" w:cs="Arial"/>
                <w:color w:val="000000"/>
                <w:sz w:val="18"/>
                <w:szCs w:val="18"/>
              </w:rPr>
              <w:t>&lt;0.001</w:t>
            </w:r>
          </w:p>
        </w:tc>
      </w:tr>
      <w:tr w:rsidR="002A0F5D" w:rsidRPr="006C68C4" w14:paraId="69F181C8" w14:textId="77777777" w:rsidTr="00BA04E9">
        <w:trPr>
          <w:cantSplit/>
          <w:jc w:val="center"/>
        </w:trPr>
        <w:tc>
          <w:tcPr>
            <w:tcW w:w="832" w:type="pct"/>
            <w:tcBorders>
              <w:top w:val="nil"/>
              <w:left w:val="nil"/>
              <w:bottom w:val="single" w:sz="2" w:space="0" w:color="000000"/>
              <w:right w:val="nil"/>
            </w:tcBorders>
            <w:shd w:val="clear" w:color="auto" w:fill="FFFFFF"/>
            <w:tcMar>
              <w:left w:w="60" w:type="dxa"/>
              <w:right w:w="60" w:type="dxa"/>
            </w:tcMar>
          </w:tcPr>
          <w:p w14:paraId="39FB28AF" w14:textId="77777777" w:rsidR="002A0F5D" w:rsidRPr="006C68C4" w:rsidRDefault="002A0F5D" w:rsidP="00BA04E9">
            <w:pPr>
              <w:keepNext/>
              <w:adjustRightInd w:val="0"/>
              <w:spacing w:before="60" w:after="60"/>
              <w:rPr>
                <w:rFonts w:ascii="Arial" w:hAnsi="Arial" w:cs="Arial"/>
                <w:color w:val="000000"/>
                <w:sz w:val="18"/>
                <w:szCs w:val="18"/>
              </w:rPr>
            </w:pPr>
            <w:r w:rsidRPr="006C68C4">
              <w:rPr>
                <w:rFonts w:ascii="Arial" w:hAnsi="Arial" w:cs="Arial"/>
                <w:color w:val="000000"/>
                <w:sz w:val="18"/>
                <w:szCs w:val="18"/>
              </w:rPr>
              <w:t>Concomitant Medication</w:t>
            </w:r>
          </w:p>
        </w:tc>
        <w:tc>
          <w:tcPr>
            <w:tcW w:w="834" w:type="pct"/>
            <w:tcBorders>
              <w:top w:val="nil"/>
              <w:left w:val="nil"/>
              <w:bottom w:val="single" w:sz="2" w:space="0" w:color="000000"/>
              <w:right w:val="nil"/>
            </w:tcBorders>
            <w:shd w:val="clear" w:color="auto" w:fill="FFFFFF"/>
            <w:tcMar>
              <w:left w:w="60" w:type="dxa"/>
              <w:right w:w="60" w:type="dxa"/>
            </w:tcMar>
          </w:tcPr>
          <w:p w14:paraId="7354A035"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Yes vs No</w:t>
            </w:r>
          </w:p>
        </w:tc>
        <w:tc>
          <w:tcPr>
            <w:tcW w:w="834" w:type="pct"/>
            <w:tcBorders>
              <w:top w:val="nil"/>
              <w:left w:val="nil"/>
              <w:bottom w:val="single" w:sz="2" w:space="0" w:color="000000"/>
              <w:right w:val="nil"/>
            </w:tcBorders>
            <w:shd w:val="clear" w:color="auto" w:fill="FFFFFF"/>
            <w:tcMar>
              <w:left w:w="60" w:type="dxa"/>
              <w:right w:w="60" w:type="dxa"/>
            </w:tcMar>
          </w:tcPr>
          <w:p w14:paraId="1092FAE8"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1.44</w:t>
            </w:r>
          </w:p>
        </w:tc>
        <w:tc>
          <w:tcPr>
            <w:tcW w:w="1250" w:type="pct"/>
            <w:tcBorders>
              <w:top w:val="nil"/>
              <w:left w:val="nil"/>
              <w:bottom w:val="single" w:sz="2" w:space="0" w:color="000000"/>
              <w:right w:val="nil"/>
            </w:tcBorders>
            <w:shd w:val="clear" w:color="auto" w:fill="FFFFFF"/>
            <w:tcMar>
              <w:left w:w="60" w:type="dxa"/>
              <w:right w:w="60" w:type="dxa"/>
            </w:tcMar>
          </w:tcPr>
          <w:p w14:paraId="71B04E40"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( 1.13,  1.85)</w:t>
            </w:r>
          </w:p>
        </w:tc>
        <w:tc>
          <w:tcPr>
            <w:tcW w:w="1250" w:type="pct"/>
            <w:tcBorders>
              <w:top w:val="nil"/>
              <w:left w:val="nil"/>
              <w:bottom w:val="single" w:sz="2" w:space="0" w:color="000000"/>
              <w:right w:val="nil"/>
            </w:tcBorders>
            <w:shd w:val="clear" w:color="auto" w:fill="FFFFFF"/>
            <w:tcMar>
              <w:left w:w="60" w:type="dxa"/>
              <w:right w:w="60" w:type="dxa"/>
            </w:tcMar>
          </w:tcPr>
          <w:p w14:paraId="13B6E164" w14:textId="77777777" w:rsidR="002A0F5D" w:rsidRPr="006C68C4" w:rsidRDefault="002A0F5D" w:rsidP="00BA04E9">
            <w:pPr>
              <w:keepNext/>
              <w:adjustRightInd w:val="0"/>
              <w:spacing w:before="60" w:after="60"/>
              <w:jc w:val="center"/>
              <w:rPr>
                <w:rFonts w:ascii="Arial" w:hAnsi="Arial" w:cs="Arial"/>
                <w:color w:val="000000"/>
                <w:sz w:val="18"/>
                <w:szCs w:val="18"/>
              </w:rPr>
            </w:pPr>
            <w:r w:rsidRPr="006C68C4">
              <w:rPr>
                <w:rFonts w:ascii="Arial" w:hAnsi="Arial" w:cs="Arial"/>
                <w:color w:val="000000"/>
                <w:sz w:val="18"/>
                <w:szCs w:val="18"/>
              </w:rPr>
              <w:t>0.004</w:t>
            </w:r>
          </w:p>
        </w:tc>
      </w:tr>
    </w:tbl>
    <w:p w14:paraId="710CC84B" w14:textId="77777777" w:rsidR="002A0F5D" w:rsidRPr="006C68C4" w:rsidRDefault="002A0F5D" w:rsidP="002A0F5D">
      <w:pPr>
        <w:rPr>
          <w:rFonts w:ascii="Arial" w:hAnsi="Arial" w:cs="Arial"/>
          <w:sz w:val="16"/>
          <w:szCs w:val="16"/>
        </w:rPr>
      </w:pPr>
      <w:r w:rsidRPr="006C68C4">
        <w:rPr>
          <w:rFonts w:ascii="Arial" w:hAnsi="Arial" w:cs="Arial"/>
          <w:sz w:val="16"/>
          <w:szCs w:val="16"/>
        </w:rPr>
        <w:t>IPTW, Inverse Probability Treatment Weighting</w:t>
      </w:r>
    </w:p>
    <w:p w14:paraId="126CE201" w14:textId="77777777" w:rsidR="002A0F5D" w:rsidRPr="006C68C4" w:rsidRDefault="002A0F5D" w:rsidP="002A0F5D">
      <w:pPr>
        <w:rPr>
          <w:rFonts w:ascii="Arial" w:hAnsi="Arial" w:cs="Arial"/>
        </w:rPr>
      </w:pPr>
    </w:p>
    <w:p w14:paraId="76270478" w14:textId="51E37411" w:rsidR="002A0F5D" w:rsidRPr="006C68C4" w:rsidRDefault="002A0F5D">
      <w:pPr>
        <w:rPr>
          <w:rFonts w:ascii="Arial" w:hAnsi="Arial" w:cs="Arial"/>
        </w:rPr>
      </w:pPr>
      <w:r w:rsidRPr="006C68C4">
        <w:rPr>
          <w:rFonts w:ascii="Arial" w:hAnsi="Arial" w:cs="Arial"/>
        </w:rPr>
        <w:br w:type="page"/>
      </w:r>
    </w:p>
    <w:p w14:paraId="57A44990" w14:textId="3F6CBA91" w:rsidR="00A74069" w:rsidRDefault="00A74069" w:rsidP="00354BE3">
      <w:pPr>
        <w:jc w:val="both"/>
        <w:rPr>
          <w:rFonts w:ascii="Arial" w:hAnsi="Arial" w:cs="Arial"/>
        </w:rPr>
      </w:pPr>
      <w:r w:rsidRPr="006C68C4">
        <w:rPr>
          <w:rFonts w:ascii="Arial" w:hAnsi="Arial" w:cs="Arial"/>
          <w:b/>
          <w:bCs/>
          <w:lang w:val="en-US"/>
        </w:rPr>
        <w:t>Supplementary Figure 1.</w:t>
      </w:r>
      <w:r w:rsidRPr="006C68C4">
        <w:rPr>
          <w:rFonts w:ascii="Arial" w:hAnsi="Arial" w:cs="Arial"/>
          <w:lang w:val="en-US"/>
        </w:rPr>
        <w:t xml:space="preserve"> </w:t>
      </w:r>
      <w:r w:rsidRPr="006C68C4">
        <w:rPr>
          <w:rFonts w:ascii="Arial" w:hAnsi="Arial" w:cs="Arial"/>
          <w:b/>
          <w:bCs/>
          <w:lang w:val="en-US"/>
        </w:rPr>
        <w:t>A)</w:t>
      </w:r>
      <w:r w:rsidRPr="006C68C4">
        <w:rPr>
          <w:rFonts w:ascii="Arial" w:hAnsi="Arial" w:cs="Arial"/>
          <w:lang w:val="en-US"/>
        </w:rPr>
        <w:t xml:space="preserve"> </w:t>
      </w:r>
      <w:r w:rsidR="00496925" w:rsidRPr="006C68C4">
        <w:rPr>
          <w:rFonts w:ascii="Arial" w:hAnsi="Arial" w:cs="Arial"/>
          <w:lang w:val="en-US"/>
        </w:rPr>
        <w:t xml:space="preserve">Percentage of patients with dose de-escalation (i.e., received an average daily dose &lt;20% </w:t>
      </w:r>
      <w:r w:rsidR="009F2C21">
        <w:rPr>
          <w:rFonts w:ascii="Arial" w:hAnsi="Arial" w:cs="Arial"/>
          <w:lang w:val="en-US"/>
        </w:rPr>
        <w:t>lower</w:t>
      </w:r>
      <w:r w:rsidR="00496925" w:rsidRPr="006C68C4">
        <w:rPr>
          <w:rFonts w:ascii="Arial" w:hAnsi="Arial" w:cs="Arial"/>
          <w:lang w:val="en-US"/>
        </w:rPr>
        <w:t xml:space="preserve"> than specified in the label)</w:t>
      </w:r>
      <w:r w:rsidR="009F2C21" w:rsidRPr="006C68C4">
        <w:rPr>
          <w:rFonts w:ascii="Arial" w:hAnsi="Arial" w:cs="Arial"/>
          <w:lang w:val="en-US"/>
        </w:rPr>
        <w:t xml:space="preserve">, according to the </w:t>
      </w:r>
      <w:r w:rsidR="0057613F">
        <w:rPr>
          <w:rFonts w:ascii="Arial" w:hAnsi="Arial" w:cs="Arial"/>
          <w:lang w:val="en-US"/>
        </w:rPr>
        <w:t>less</w:t>
      </w:r>
      <w:r w:rsidR="009F2C21" w:rsidRPr="006C68C4">
        <w:rPr>
          <w:rFonts w:ascii="Arial" w:hAnsi="Arial" w:cs="Arial"/>
          <w:lang w:val="en-US"/>
        </w:rPr>
        <w:t xml:space="preserve"> stringent criteria</w:t>
      </w:r>
      <w:r w:rsidR="009F2C21">
        <w:rPr>
          <w:rFonts w:ascii="Arial" w:hAnsi="Arial" w:cs="Arial"/>
          <w:lang w:val="en-US"/>
        </w:rPr>
        <w:t>,</w:t>
      </w:r>
      <w:r w:rsidR="009F2C21" w:rsidRPr="006C68C4">
        <w:rPr>
          <w:rFonts w:ascii="Arial" w:hAnsi="Arial" w:cs="Arial"/>
          <w:lang w:val="en-US"/>
        </w:rPr>
        <w:t xml:space="preserve"> </w:t>
      </w:r>
      <w:r w:rsidR="00496925" w:rsidRPr="006C68C4">
        <w:rPr>
          <w:rFonts w:ascii="Arial" w:hAnsi="Arial" w:cs="Arial"/>
          <w:lang w:val="en-US"/>
        </w:rPr>
        <w:t>during the maintenance phase until 24 months of follow-up, by treatment cohort.</w:t>
      </w:r>
      <w:r w:rsidR="00496925">
        <w:rPr>
          <w:rFonts w:ascii="Arial" w:hAnsi="Arial" w:cs="Arial"/>
          <w:lang w:val="en-US"/>
        </w:rPr>
        <w:t xml:space="preserve"> </w:t>
      </w:r>
      <w:r w:rsidRPr="006C68C4">
        <w:rPr>
          <w:rFonts w:ascii="Arial" w:hAnsi="Arial" w:cs="Arial"/>
          <w:b/>
          <w:bCs/>
        </w:rPr>
        <w:t>B)</w:t>
      </w:r>
      <w:r w:rsidRPr="006C68C4">
        <w:rPr>
          <w:rFonts w:ascii="Arial" w:hAnsi="Arial" w:cs="Arial"/>
        </w:rPr>
        <w:t xml:space="preserve"> </w:t>
      </w:r>
      <w:r w:rsidR="00496925" w:rsidRPr="006C68C4">
        <w:rPr>
          <w:rFonts w:ascii="Arial" w:hAnsi="Arial" w:cs="Arial"/>
          <w:lang w:val="en-US"/>
        </w:rPr>
        <w:t>Kaplan-Meier curve for time to first dose de-escalation by treatment cohort (</w:t>
      </w:r>
      <w:r w:rsidR="0057613F">
        <w:rPr>
          <w:rFonts w:ascii="Arial" w:hAnsi="Arial" w:cs="Arial"/>
          <w:lang w:val="en-US"/>
        </w:rPr>
        <w:t>less</w:t>
      </w:r>
      <w:r w:rsidR="00496925" w:rsidRPr="006C68C4">
        <w:rPr>
          <w:rFonts w:ascii="Arial" w:hAnsi="Arial" w:cs="Arial"/>
          <w:lang w:val="en-US"/>
        </w:rPr>
        <w:t xml:space="preserve"> stringent criteria)</w:t>
      </w:r>
      <w:r w:rsidR="00496925" w:rsidRPr="006C68C4">
        <w:rPr>
          <w:rFonts w:ascii="Arial" w:hAnsi="Arial" w:cs="Arial"/>
        </w:rPr>
        <w:t>.</w:t>
      </w:r>
    </w:p>
    <w:p w14:paraId="11F7348D" w14:textId="5DF254A6" w:rsidR="009F2C21" w:rsidRDefault="009F2C21">
      <w:pPr>
        <w:rPr>
          <w:rFonts w:ascii="Arial" w:hAnsi="Arial" w:cs="Arial"/>
        </w:rPr>
      </w:pPr>
    </w:p>
    <w:p w14:paraId="64D597A7" w14:textId="43E12863" w:rsidR="009F2C21" w:rsidRDefault="0090166A">
      <w:pPr>
        <w:rPr>
          <w:rFonts w:ascii="Arial" w:hAnsi="Arial" w:cs="Arial"/>
        </w:rPr>
      </w:pPr>
      <w:r>
        <w:rPr>
          <w:noProof/>
          <w:lang w:val="es-ES" w:eastAsia="es-ES"/>
        </w:rPr>
        <w:drawing>
          <wp:inline distT="0" distB="0" distL="0" distR="0" wp14:anchorId="2FD740DF" wp14:editId="19484B45">
            <wp:extent cx="6645910" cy="76193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7619365"/>
                    </a:xfrm>
                    <a:prstGeom prst="rect">
                      <a:avLst/>
                    </a:prstGeom>
                  </pic:spPr>
                </pic:pic>
              </a:graphicData>
            </a:graphic>
          </wp:inline>
        </w:drawing>
      </w:r>
    </w:p>
    <w:p w14:paraId="6D8AA806" w14:textId="77777777" w:rsidR="0090166A" w:rsidRPr="006C68C4" w:rsidRDefault="0090166A">
      <w:pPr>
        <w:rPr>
          <w:rFonts w:ascii="Arial" w:hAnsi="Arial" w:cs="Arial"/>
        </w:rPr>
        <w:sectPr w:rsidR="0090166A" w:rsidRPr="006C68C4" w:rsidSect="00A74069">
          <w:pgSz w:w="11906" w:h="16838"/>
          <w:pgMar w:top="720" w:right="720" w:bottom="720" w:left="720" w:header="708" w:footer="708" w:gutter="0"/>
          <w:cols w:space="708"/>
          <w:docGrid w:linePitch="360"/>
        </w:sectPr>
      </w:pPr>
    </w:p>
    <w:p w14:paraId="6A62F4AB" w14:textId="6FD0E301" w:rsidR="00A74069" w:rsidRDefault="00A74069" w:rsidP="00354BE3">
      <w:pPr>
        <w:jc w:val="both"/>
        <w:rPr>
          <w:rFonts w:ascii="Arial" w:hAnsi="Arial" w:cs="Arial"/>
        </w:rPr>
      </w:pPr>
      <w:r w:rsidRPr="006C68C4">
        <w:rPr>
          <w:rFonts w:ascii="Arial" w:hAnsi="Arial" w:cs="Arial"/>
          <w:b/>
          <w:bCs/>
          <w:lang w:val="en-US"/>
        </w:rPr>
        <w:t>Supplementary Figure 2.</w:t>
      </w:r>
      <w:r w:rsidRPr="006C68C4">
        <w:rPr>
          <w:rFonts w:ascii="Arial" w:hAnsi="Arial" w:cs="Arial"/>
          <w:lang w:val="en-US"/>
        </w:rPr>
        <w:t xml:space="preserve"> </w:t>
      </w:r>
      <w:r w:rsidRPr="006C68C4">
        <w:rPr>
          <w:rFonts w:ascii="Arial" w:hAnsi="Arial" w:cs="Arial"/>
          <w:b/>
          <w:bCs/>
          <w:lang w:val="en-US"/>
        </w:rPr>
        <w:t>A)</w:t>
      </w:r>
      <w:r w:rsidRPr="006C68C4">
        <w:rPr>
          <w:rFonts w:ascii="Arial" w:hAnsi="Arial" w:cs="Arial"/>
          <w:lang w:val="en-US"/>
        </w:rPr>
        <w:t xml:space="preserve"> </w:t>
      </w:r>
      <w:r w:rsidR="00496925" w:rsidRPr="006C68C4">
        <w:rPr>
          <w:rFonts w:ascii="Arial" w:hAnsi="Arial" w:cs="Arial"/>
          <w:lang w:val="en-US"/>
        </w:rPr>
        <w:t>Percentage of patients with dose escalation (i.e., received an average daily dose &gt;20% higher than specified in the label), according to the more stringent criteria, during the maintenance phase until 24 months of follow-up, by treatment cohort.</w:t>
      </w:r>
      <w:r w:rsidR="00496925">
        <w:rPr>
          <w:rFonts w:ascii="Arial" w:hAnsi="Arial" w:cs="Arial"/>
          <w:lang w:val="en-US"/>
        </w:rPr>
        <w:t xml:space="preserve"> </w:t>
      </w:r>
      <w:r w:rsidRPr="006C68C4">
        <w:rPr>
          <w:rFonts w:ascii="Arial" w:hAnsi="Arial" w:cs="Arial"/>
          <w:b/>
          <w:bCs/>
        </w:rPr>
        <w:t>B)</w:t>
      </w:r>
      <w:r w:rsidRPr="006C68C4">
        <w:rPr>
          <w:rFonts w:ascii="Arial" w:hAnsi="Arial" w:cs="Arial"/>
        </w:rPr>
        <w:t xml:space="preserve"> </w:t>
      </w:r>
      <w:r w:rsidR="00496925" w:rsidRPr="006C68C4">
        <w:rPr>
          <w:rFonts w:ascii="Arial" w:hAnsi="Arial" w:cs="Arial"/>
          <w:lang w:val="en-US"/>
        </w:rPr>
        <w:t>Kaplan-Meier Curve for Time to First Dose Escalation by treatment cohort (more stringent criteria)</w:t>
      </w:r>
      <w:r w:rsidR="00496925" w:rsidRPr="006C68C4">
        <w:rPr>
          <w:rFonts w:ascii="Arial" w:hAnsi="Arial" w:cs="Arial"/>
        </w:rPr>
        <w:t>.</w:t>
      </w:r>
    </w:p>
    <w:p w14:paraId="00F09707" w14:textId="28DEA68F" w:rsidR="009F2C21" w:rsidRDefault="009F2C21" w:rsidP="00354BE3">
      <w:pPr>
        <w:jc w:val="both"/>
        <w:rPr>
          <w:rFonts w:ascii="Arial" w:hAnsi="Arial" w:cs="Arial"/>
        </w:rPr>
      </w:pPr>
    </w:p>
    <w:p w14:paraId="00A88C94" w14:textId="6F818460" w:rsidR="009F2C21" w:rsidRDefault="0090166A" w:rsidP="00354BE3">
      <w:pPr>
        <w:jc w:val="both"/>
        <w:rPr>
          <w:rFonts w:ascii="Arial" w:hAnsi="Arial" w:cs="Arial"/>
        </w:rPr>
      </w:pPr>
      <w:r>
        <w:rPr>
          <w:noProof/>
          <w:lang w:val="es-ES" w:eastAsia="es-ES"/>
        </w:rPr>
        <w:drawing>
          <wp:inline distT="0" distB="0" distL="0" distR="0" wp14:anchorId="56C05427" wp14:editId="2B6950FC">
            <wp:extent cx="5600700" cy="6991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00700" cy="6991350"/>
                    </a:xfrm>
                    <a:prstGeom prst="rect">
                      <a:avLst/>
                    </a:prstGeom>
                  </pic:spPr>
                </pic:pic>
              </a:graphicData>
            </a:graphic>
          </wp:inline>
        </w:drawing>
      </w:r>
    </w:p>
    <w:p w14:paraId="0A62A614" w14:textId="77777777" w:rsidR="009F2C21" w:rsidRPr="006C68C4" w:rsidRDefault="009F2C21" w:rsidP="00354BE3">
      <w:pPr>
        <w:jc w:val="both"/>
        <w:rPr>
          <w:rFonts w:ascii="Arial" w:hAnsi="Arial" w:cs="Arial"/>
        </w:rPr>
      </w:pPr>
    </w:p>
    <w:p w14:paraId="5012D6BF" w14:textId="25A58D5B" w:rsidR="00A74069" w:rsidRPr="006C68C4" w:rsidRDefault="00A74069">
      <w:pPr>
        <w:rPr>
          <w:rFonts w:ascii="Arial" w:hAnsi="Arial" w:cs="Arial"/>
        </w:rPr>
      </w:pPr>
    </w:p>
    <w:p w14:paraId="456DA39E" w14:textId="77777777" w:rsidR="00A74069" w:rsidRPr="006C68C4" w:rsidRDefault="00A74069">
      <w:pPr>
        <w:rPr>
          <w:rFonts w:ascii="Arial" w:hAnsi="Arial" w:cs="Arial"/>
        </w:rPr>
        <w:sectPr w:rsidR="00A74069" w:rsidRPr="006C68C4" w:rsidSect="00A74069">
          <w:pgSz w:w="11906" w:h="16838"/>
          <w:pgMar w:top="720" w:right="720" w:bottom="720" w:left="720" w:header="708" w:footer="708" w:gutter="0"/>
          <w:cols w:space="708"/>
          <w:docGrid w:linePitch="360"/>
        </w:sectPr>
      </w:pPr>
    </w:p>
    <w:p w14:paraId="6AF66417" w14:textId="77777777" w:rsidR="00A74069" w:rsidRPr="006C68C4" w:rsidRDefault="00A74069" w:rsidP="00A74069">
      <w:pPr>
        <w:rPr>
          <w:rFonts w:ascii="Arial" w:hAnsi="Arial" w:cs="Arial"/>
        </w:rPr>
      </w:pPr>
      <w:r w:rsidRPr="006C68C4">
        <w:rPr>
          <w:rFonts w:ascii="Arial" w:hAnsi="Arial" w:cs="Arial"/>
          <w:b/>
          <w:bCs/>
          <w:lang w:val="en-US"/>
        </w:rPr>
        <w:t>Supplementary Figure 3.</w:t>
      </w:r>
      <w:r w:rsidRPr="006C68C4">
        <w:rPr>
          <w:rFonts w:ascii="Arial" w:hAnsi="Arial" w:cs="Arial"/>
          <w:lang w:val="en-US"/>
        </w:rPr>
        <w:t xml:space="preserve"> Prior and concomitant use of corticosteroids by treatment cohort and overall</w:t>
      </w:r>
    </w:p>
    <w:p w14:paraId="2AE59ABA" w14:textId="77777777" w:rsidR="00A74069" w:rsidRPr="006C68C4" w:rsidRDefault="00A74069">
      <w:pPr>
        <w:rPr>
          <w:rFonts w:ascii="Arial" w:hAnsi="Arial" w:cs="Arial"/>
        </w:rPr>
      </w:pPr>
    </w:p>
    <w:p w14:paraId="5C1B6B77" w14:textId="5B375FE2" w:rsidR="00A74069" w:rsidRPr="006C68C4" w:rsidRDefault="00A74069">
      <w:pPr>
        <w:rPr>
          <w:rFonts w:ascii="Arial" w:hAnsi="Arial" w:cs="Arial"/>
        </w:rPr>
      </w:pPr>
      <w:r w:rsidRPr="006C68C4">
        <w:rPr>
          <w:rFonts w:ascii="Arial" w:hAnsi="Arial" w:cs="Arial"/>
          <w:noProof/>
          <w:lang w:val="es-ES" w:eastAsia="es-ES"/>
        </w:rPr>
        <w:drawing>
          <wp:inline distT="0" distB="0" distL="0" distR="0" wp14:anchorId="6AD43642" wp14:editId="73C243C4">
            <wp:extent cx="6261811" cy="4079573"/>
            <wp:effectExtent l="0" t="0" r="5715" b="0"/>
            <wp:docPr id="1964083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4034" cy="4081021"/>
                    </a:xfrm>
                    <a:prstGeom prst="rect">
                      <a:avLst/>
                    </a:prstGeom>
                    <a:noFill/>
                  </pic:spPr>
                </pic:pic>
              </a:graphicData>
            </a:graphic>
          </wp:inline>
        </w:drawing>
      </w:r>
    </w:p>
    <w:sectPr w:rsidR="00A74069" w:rsidRPr="006C68C4" w:rsidSect="00A740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CCDC" w14:textId="77777777" w:rsidR="00951B1C" w:rsidRDefault="00951B1C" w:rsidP="00866208">
      <w:pPr>
        <w:spacing w:after="0" w:line="240" w:lineRule="auto"/>
      </w:pPr>
      <w:r>
        <w:separator/>
      </w:r>
    </w:p>
  </w:endnote>
  <w:endnote w:type="continuationSeparator" w:id="0">
    <w:p w14:paraId="748CF3BF" w14:textId="77777777" w:rsidR="00951B1C" w:rsidRDefault="00951B1C" w:rsidP="0086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D359" w14:textId="23020534" w:rsidR="00866208" w:rsidRDefault="00866208">
    <w:pPr>
      <w:pStyle w:val="Footer"/>
    </w:pPr>
    <w:r>
      <w:rPr>
        <w:noProof/>
      </w:rPr>
      <mc:AlternateContent>
        <mc:Choice Requires="wps">
          <w:drawing>
            <wp:anchor distT="0" distB="0" distL="0" distR="0" simplePos="0" relativeHeight="251659264" behindDoc="0" locked="0" layoutInCell="1" allowOverlap="1" wp14:anchorId="1F8E585C" wp14:editId="0DDB5221">
              <wp:simplePos x="635" y="635"/>
              <wp:positionH relativeFrom="page">
                <wp:align>left</wp:align>
              </wp:positionH>
              <wp:positionV relativeFrom="page">
                <wp:align>bottom</wp:align>
              </wp:positionV>
              <wp:extent cx="2085975" cy="335280"/>
              <wp:effectExtent l="0" t="0" r="9525" b="0"/>
              <wp:wrapNone/>
              <wp:docPr id="120180969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035D0C6" w14:textId="2B96E0B9" w:rsidR="00866208" w:rsidRPr="00866208" w:rsidRDefault="00866208" w:rsidP="00866208">
                          <w:pPr>
                            <w:spacing w:after="0"/>
                            <w:rPr>
                              <w:rFonts w:ascii="Rockwell" w:eastAsia="Rockwell" w:hAnsi="Rockwell" w:cs="Rockwell"/>
                              <w:noProof/>
                              <w:color w:val="0078D7"/>
                              <w:sz w:val="18"/>
                              <w:szCs w:val="18"/>
                            </w:rPr>
                          </w:pPr>
                          <w:r w:rsidRPr="0086620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8E585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textbox style="mso-fit-shape-to-text:t" inset="20pt,0,0,15pt">
                <w:txbxContent>
                  <w:p w14:paraId="0035D0C6" w14:textId="2B96E0B9" w:rsidR="00866208" w:rsidRPr="00866208" w:rsidRDefault="00866208" w:rsidP="00866208">
                    <w:pPr>
                      <w:spacing w:after="0"/>
                      <w:rPr>
                        <w:rFonts w:ascii="Rockwell" w:eastAsia="Rockwell" w:hAnsi="Rockwell" w:cs="Rockwell"/>
                        <w:noProof/>
                        <w:color w:val="0078D7"/>
                        <w:sz w:val="18"/>
                        <w:szCs w:val="18"/>
                      </w:rPr>
                    </w:pPr>
                    <w:r w:rsidRPr="0086620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3D27" w14:textId="0A1C15E6" w:rsidR="00866208" w:rsidRDefault="00866208">
    <w:pPr>
      <w:pStyle w:val="Footer"/>
    </w:pPr>
    <w:r>
      <w:rPr>
        <w:noProof/>
      </w:rPr>
      <mc:AlternateContent>
        <mc:Choice Requires="wps">
          <w:drawing>
            <wp:anchor distT="0" distB="0" distL="0" distR="0" simplePos="0" relativeHeight="251660288" behindDoc="0" locked="0" layoutInCell="1" allowOverlap="1" wp14:anchorId="7280BEEA" wp14:editId="068BE2C0">
              <wp:simplePos x="457200" y="6943725"/>
              <wp:positionH relativeFrom="page">
                <wp:align>left</wp:align>
              </wp:positionH>
              <wp:positionV relativeFrom="page">
                <wp:align>bottom</wp:align>
              </wp:positionV>
              <wp:extent cx="2085975" cy="335280"/>
              <wp:effectExtent l="0" t="0" r="9525" b="0"/>
              <wp:wrapNone/>
              <wp:docPr id="114560680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B878424" w14:textId="18E5498C" w:rsidR="00866208" w:rsidRPr="00866208" w:rsidRDefault="00866208" w:rsidP="00866208">
                          <w:pPr>
                            <w:spacing w:after="0"/>
                            <w:rPr>
                              <w:rFonts w:ascii="Rockwell" w:eastAsia="Rockwell" w:hAnsi="Rockwell" w:cs="Rockwell"/>
                              <w:noProof/>
                              <w:color w:val="0078D7"/>
                              <w:sz w:val="18"/>
                              <w:szCs w:val="18"/>
                            </w:rPr>
                          </w:pPr>
                          <w:r w:rsidRPr="0086620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80BEE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textbox style="mso-fit-shape-to-text:t" inset="20pt,0,0,15pt">
                <w:txbxContent>
                  <w:p w14:paraId="7B878424" w14:textId="18E5498C" w:rsidR="00866208" w:rsidRPr="00866208" w:rsidRDefault="00866208" w:rsidP="00866208">
                    <w:pPr>
                      <w:spacing w:after="0"/>
                      <w:rPr>
                        <w:rFonts w:ascii="Rockwell" w:eastAsia="Rockwell" w:hAnsi="Rockwell" w:cs="Rockwell"/>
                        <w:noProof/>
                        <w:color w:val="0078D7"/>
                        <w:sz w:val="18"/>
                        <w:szCs w:val="18"/>
                      </w:rPr>
                    </w:pPr>
                    <w:r w:rsidRPr="0086620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8E92" w14:textId="0DDC58E5" w:rsidR="00866208" w:rsidRDefault="00866208">
    <w:pPr>
      <w:pStyle w:val="Footer"/>
    </w:pPr>
    <w:r>
      <w:rPr>
        <w:noProof/>
      </w:rPr>
      <mc:AlternateContent>
        <mc:Choice Requires="wps">
          <w:drawing>
            <wp:anchor distT="0" distB="0" distL="0" distR="0" simplePos="0" relativeHeight="251658240" behindDoc="0" locked="0" layoutInCell="1" allowOverlap="1" wp14:anchorId="594B0B34" wp14:editId="55C9593E">
              <wp:simplePos x="635" y="635"/>
              <wp:positionH relativeFrom="page">
                <wp:align>left</wp:align>
              </wp:positionH>
              <wp:positionV relativeFrom="page">
                <wp:align>bottom</wp:align>
              </wp:positionV>
              <wp:extent cx="2085975" cy="335280"/>
              <wp:effectExtent l="0" t="0" r="9525" b="0"/>
              <wp:wrapNone/>
              <wp:docPr id="4500517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E069890" w14:textId="2E177B12" w:rsidR="00866208" w:rsidRPr="00866208" w:rsidRDefault="00866208" w:rsidP="00866208">
                          <w:pPr>
                            <w:spacing w:after="0"/>
                            <w:rPr>
                              <w:rFonts w:ascii="Rockwell" w:eastAsia="Rockwell" w:hAnsi="Rockwell" w:cs="Rockwell"/>
                              <w:noProof/>
                              <w:color w:val="0078D7"/>
                              <w:sz w:val="18"/>
                              <w:szCs w:val="18"/>
                            </w:rPr>
                          </w:pPr>
                          <w:r w:rsidRPr="0086620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4B0B3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textbox style="mso-fit-shape-to-text:t" inset="20pt,0,0,15pt">
                <w:txbxContent>
                  <w:p w14:paraId="0E069890" w14:textId="2E177B12" w:rsidR="00866208" w:rsidRPr="00866208" w:rsidRDefault="00866208" w:rsidP="00866208">
                    <w:pPr>
                      <w:spacing w:after="0"/>
                      <w:rPr>
                        <w:rFonts w:ascii="Rockwell" w:eastAsia="Rockwell" w:hAnsi="Rockwell" w:cs="Rockwell"/>
                        <w:noProof/>
                        <w:color w:val="0078D7"/>
                        <w:sz w:val="18"/>
                        <w:szCs w:val="18"/>
                      </w:rPr>
                    </w:pPr>
                    <w:r w:rsidRPr="0086620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E709" w14:textId="77777777" w:rsidR="00951B1C" w:rsidRDefault="00951B1C" w:rsidP="00866208">
      <w:pPr>
        <w:spacing w:after="0" w:line="240" w:lineRule="auto"/>
      </w:pPr>
      <w:r>
        <w:separator/>
      </w:r>
    </w:p>
  </w:footnote>
  <w:footnote w:type="continuationSeparator" w:id="0">
    <w:p w14:paraId="3AA4176C" w14:textId="77777777" w:rsidR="00951B1C" w:rsidRDefault="00951B1C" w:rsidP="00866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34C2"/>
    <w:multiLevelType w:val="multilevel"/>
    <w:tmpl w:val="68D2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180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69"/>
    <w:rsid w:val="000125C6"/>
    <w:rsid w:val="000205ED"/>
    <w:rsid w:val="00135616"/>
    <w:rsid w:val="00240518"/>
    <w:rsid w:val="00290248"/>
    <w:rsid w:val="002A0F5D"/>
    <w:rsid w:val="00354BE3"/>
    <w:rsid w:val="004139DD"/>
    <w:rsid w:val="00446E27"/>
    <w:rsid w:val="00496925"/>
    <w:rsid w:val="0057613F"/>
    <w:rsid w:val="006B6B6A"/>
    <w:rsid w:val="006C68C4"/>
    <w:rsid w:val="007F7AB0"/>
    <w:rsid w:val="00854E56"/>
    <w:rsid w:val="00866208"/>
    <w:rsid w:val="0090166A"/>
    <w:rsid w:val="00901F2F"/>
    <w:rsid w:val="00951B1C"/>
    <w:rsid w:val="009C30ED"/>
    <w:rsid w:val="009F2C21"/>
    <w:rsid w:val="009F355E"/>
    <w:rsid w:val="009F3560"/>
    <w:rsid w:val="00A37FA8"/>
    <w:rsid w:val="00A74069"/>
    <w:rsid w:val="00A87202"/>
    <w:rsid w:val="00AC54D3"/>
    <w:rsid w:val="00BA04E9"/>
    <w:rsid w:val="00D4749F"/>
    <w:rsid w:val="00E211ED"/>
    <w:rsid w:val="00F27F85"/>
    <w:rsid w:val="00FB12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9E1E"/>
  <w15:chartTrackingRefBased/>
  <w15:docId w15:val="{5F8ABA79-32E5-418A-90AA-7924A556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FStablefooter">
    <w:name w:val="TFS table footer"/>
    <w:basedOn w:val="Normal"/>
    <w:qFormat/>
    <w:rsid w:val="002A0F5D"/>
    <w:pPr>
      <w:spacing w:before="60" w:after="60" w:line="240" w:lineRule="auto"/>
      <w:jc w:val="both"/>
    </w:pPr>
    <w:rPr>
      <w:rFonts w:ascii="Arial" w:eastAsia="Times New Roman" w:hAnsi="Arial" w:cs="Times New Roman"/>
      <w:kern w:val="0"/>
      <w:sz w:val="16"/>
      <w:szCs w:val="20"/>
      <w:lang w:val="en-GB"/>
      <w14:ligatures w14:val="none"/>
    </w:rPr>
  </w:style>
  <w:style w:type="character" w:styleId="CommentReference">
    <w:name w:val="annotation reference"/>
    <w:basedOn w:val="DefaultParagraphFont"/>
    <w:uiPriority w:val="99"/>
    <w:semiHidden/>
    <w:unhideWhenUsed/>
    <w:rsid w:val="002A0F5D"/>
    <w:rPr>
      <w:sz w:val="16"/>
      <w:szCs w:val="16"/>
    </w:rPr>
  </w:style>
  <w:style w:type="paragraph" w:styleId="CommentText">
    <w:name w:val="annotation text"/>
    <w:basedOn w:val="Normal"/>
    <w:link w:val="CommentTextChar"/>
    <w:uiPriority w:val="99"/>
    <w:unhideWhenUsed/>
    <w:rsid w:val="002A0F5D"/>
    <w:pPr>
      <w:autoSpaceDE w:val="0"/>
      <w:autoSpaceDN w:val="0"/>
      <w:spacing w:after="0" w:line="240" w:lineRule="auto"/>
    </w:pPr>
    <w:rPr>
      <w:rFonts w:ascii="Times New Roman" w:eastAsiaTheme="minorEastAsia" w:hAnsi="Times New Roman" w:cs="Times New Roman"/>
      <w:kern w:val="0"/>
      <w:sz w:val="20"/>
      <w:szCs w:val="20"/>
      <w:lang w:val="en-US" w:eastAsia="ca-ES"/>
    </w:rPr>
  </w:style>
  <w:style w:type="character" w:customStyle="1" w:styleId="CommentTextChar">
    <w:name w:val="Comment Text Char"/>
    <w:basedOn w:val="DefaultParagraphFont"/>
    <w:link w:val="CommentText"/>
    <w:uiPriority w:val="99"/>
    <w:rsid w:val="002A0F5D"/>
    <w:rPr>
      <w:rFonts w:ascii="Times New Roman" w:eastAsiaTheme="minorEastAsia" w:hAnsi="Times New Roman" w:cs="Times New Roman"/>
      <w:kern w:val="0"/>
      <w:sz w:val="20"/>
      <w:szCs w:val="20"/>
      <w:lang w:val="en-US" w:eastAsia="ca-ES"/>
    </w:rPr>
  </w:style>
  <w:style w:type="paragraph" w:styleId="CommentSubject">
    <w:name w:val="annotation subject"/>
    <w:basedOn w:val="CommentText"/>
    <w:next w:val="CommentText"/>
    <w:link w:val="CommentSubjectChar"/>
    <w:uiPriority w:val="99"/>
    <w:semiHidden/>
    <w:unhideWhenUsed/>
    <w:rsid w:val="002A0F5D"/>
    <w:pPr>
      <w:autoSpaceDE/>
      <w:autoSpaceDN/>
      <w:spacing w:after="160"/>
    </w:pPr>
    <w:rPr>
      <w:rFonts w:asciiTheme="minorHAnsi" w:eastAsiaTheme="minorHAnsi" w:hAnsiTheme="minorHAnsi" w:cstheme="minorBidi"/>
      <w:b/>
      <w:bCs/>
      <w:kern w:val="2"/>
      <w:lang w:val="ca-ES" w:eastAsia="en-US"/>
    </w:rPr>
  </w:style>
  <w:style w:type="character" w:customStyle="1" w:styleId="CommentSubjectChar">
    <w:name w:val="Comment Subject Char"/>
    <w:basedOn w:val="CommentTextChar"/>
    <w:link w:val="CommentSubject"/>
    <w:uiPriority w:val="99"/>
    <w:semiHidden/>
    <w:rsid w:val="002A0F5D"/>
    <w:rPr>
      <w:rFonts w:ascii="Times New Roman" w:eastAsiaTheme="minorEastAsia" w:hAnsi="Times New Roman" w:cs="Times New Roman"/>
      <w:b/>
      <w:bCs/>
      <w:kern w:val="0"/>
      <w:sz w:val="20"/>
      <w:szCs w:val="20"/>
      <w:lang w:val="en-US" w:eastAsia="ca-ES"/>
    </w:rPr>
  </w:style>
  <w:style w:type="paragraph" w:styleId="Revision">
    <w:name w:val="Revision"/>
    <w:hidden/>
    <w:uiPriority w:val="99"/>
    <w:semiHidden/>
    <w:rsid w:val="002A0F5D"/>
    <w:pPr>
      <w:spacing w:after="0" w:line="240" w:lineRule="auto"/>
    </w:pPr>
  </w:style>
  <w:style w:type="character" w:styleId="Hyperlink">
    <w:name w:val="Hyperlink"/>
    <w:basedOn w:val="DefaultParagraphFont"/>
    <w:uiPriority w:val="99"/>
    <w:unhideWhenUsed/>
    <w:rsid w:val="002A0F5D"/>
    <w:rPr>
      <w:color w:val="0563C1" w:themeColor="hyperlink"/>
      <w:u w:val="single"/>
    </w:rPr>
  </w:style>
  <w:style w:type="character" w:customStyle="1" w:styleId="UnresolvedMention1">
    <w:name w:val="Unresolved Mention1"/>
    <w:basedOn w:val="DefaultParagraphFont"/>
    <w:uiPriority w:val="99"/>
    <w:semiHidden/>
    <w:unhideWhenUsed/>
    <w:rsid w:val="002A0F5D"/>
    <w:rPr>
      <w:color w:val="605E5C"/>
      <w:shd w:val="clear" w:color="auto" w:fill="E1DFDD"/>
    </w:rPr>
  </w:style>
  <w:style w:type="paragraph" w:customStyle="1" w:styleId="TFSBODYTEXT">
    <w:name w:val="TFS BODY TEXT"/>
    <w:basedOn w:val="BodyText"/>
    <w:link w:val="TFSBODYTEXTChar"/>
    <w:qFormat/>
    <w:rsid w:val="002A0F5D"/>
    <w:pPr>
      <w:spacing w:line="240" w:lineRule="auto"/>
      <w:jc w:val="both"/>
    </w:pPr>
    <w:rPr>
      <w:rFonts w:ascii="Arial" w:eastAsia="Times New Roman" w:hAnsi="Arial" w:cs="Times New Roman"/>
      <w:color w:val="000000"/>
      <w:kern w:val="0"/>
      <w:sz w:val="20"/>
      <w:szCs w:val="20"/>
      <w:lang w:val="en-GB"/>
      <w14:ligatures w14:val="none"/>
    </w:rPr>
  </w:style>
  <w:style w:type="character" w:customStyle="1" w:styleId="TFSBODYTEXTChar">
    <w:name w:val="TFS BODY TEXT Char"/>
    <w:link w:val="TFSBODYTEXT"/>
    <w:locked/>
    <w:rsid w:val="002A0F5D"/>
    <w:rPr>
      <w:rFonts w:ascii="Arial" w:eastAsia="Times New Roman" w:hAnsi="Arial" w:cs="Times New Roman"/>
      <w:color w:val="000000"/>
      <w:kern w:val="0"/>
      <w:sz w:val="20"/>
      <w:szCs w:val="20"/>
      <w:lang w:val="en-GB"/>
      <w14:ligatures w14:val="none"/>
    </w:rPr>
  </w:style>
  <w:style w:type="table" w:styleId="TableGrid">
    <w:name w:val="Table Grid"/>
    <w:basedOn w:val="TableNormal"/>
    <w:uiPriority w:val="59"/>
    <w:rsid w:val="002A0F5D"/>
    <w:pPr>
      <w:spacing w:after="0" w:line="240" w:lineRule="auto"/>
    </w:pPr>
    <w:rPr>
      <w:rFonts w:ascii="Arial" w:eastAsia="Times New Roman" w:hAnsi="Arial"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A0F5D"/>
    <w:pPr>
      <w:spacing w:after="120"/>
    </w:pPr>
  </w:style>
  <w:style w:type="character" w:customStyle="1" w:styleId="BodyTextChar">
    <w:name w:val="Body Text Char"/>
    <w:basedOn w:val="DefaultParagraphFont"/>
    <w:link w:val="BodyText"/>
    <w:uiPriority w:val="99"/>
    <w:semiHidden/>
    <w:rsid w:val="002A0F5D"/>
  </w:style>
  <w:style w:type="paragraph" w:styleId="ListParagraph">
    <w:name w:val="List Paragraph"/>
    <w:aliases w:val="Bullet1,Bullet List,Table Legend"/>
    <w:basedOn w:val="Normal"/>
    <w:link w:val="ListParagraphChar"/>
    <w:uiPriority w:val="34"/>
    <w:qFormat/>
    <w:rsid w:val="002A0F5D"/>
    <w:pPr>
      <w:ind w:left="720"/>
      <w:contextualSpacing/>
      <w:jc w:val="both"/>
    </w:pPr>
    <w:rPr>
      <w:rFonts w:ascii="Arial" w:hAnsi="Arial" w:cs="Arial"/>
      <w:kern w:val="0"/>
      <w:sz w:val="20"/>
      <w:szCs w:val="20"/>
      <w:lang w:val="en-GB"/>
      <w14:ligatures w14:val="none"/>
    </w:rPr>
  </w:style>
  <w:style w:type="character" w:customStyle="1" w:styleId="ListParagraphChar">
    <w:name w:val="List Paragraph Char"/>
    <w:aliases w:val="Bullet1 Char,Bullet List Char,Table Legend Char"/>
    <w:basedOn w:val="DefaultParagraphFont"/>
    <w:link w:val="ListParagraph"/>
    <w:uiPriority w:val="34"/>
    <w:rsid w:val="002A0F5D"/>
    <w:rPr>
      <w:rFonts w:ascii="Arial" w:hAnsi="Arial" w:cs="Arial"/>
      <w:kern w:val="0"/>
      <w:sz w:val="20"/>
      <w:szCs w:val="20"/>
      <w:lang w:val="en-GB"/>
      <w14:ligatures w14:val="none"/>
    </w:rPr>
  </w:style>
  <w:style w:type="paragraph" w:styleId="BalloonText">
    <w:name w:val="Balloon Text"/>
    <w:basedOn w:val="Normal"/>
    <w:link w:val="BalloonTextChar"/>
    <w:uiPriority w:val="99"/>
    <w:semiHidden/>
    <w:unhideWhenUsed/>
    <w:rsid w:val="009F3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560"/>
    <w:rPr>
      <w:rFonts w:ascii="Segoe UI" w:hAnsi="Segoe UI" w:cs="Segoe UI"/>
      <w:sz w:val="18"/>
      <w:szCs w:val="18"/>
    </w:rPr>
  </w:style>
  <w:style w:type="paragraph" w:styleId="Footer">
    <w:name w:val="footer"/>
    <w:basedOn w:val="Normal"/>
    <w:link w:val="FooterChar"/>
    <w:uiPriority w:val="99"/>
    <w:unhideWhenUsed/>
    <w:rsid w:val="00866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4450">
      <w:bodyDiv w:val="1"/>
      <w:marLeft w:val="0"/>
      <w:marRight w:val="0"/>
      <w:marTop w:val="0"/>
      <w:marBottom w:val="0"/>
      <w:divBdr>
        <w:top w:val="none" w:sz="0" w:space="0" w:color="auto"/>
        <w:left w:val="none" w:sz="0" w:space="0" w:color="auto"/>
        <w:bottom w:val="none" w:sz="0" w:space="0" w:color="auto"/>
        <w:right w:val="none" w:sz="0" w:space="0" w:color="auto"/>
      </w:divBdr>
    </w:div>
    <w:div w:id="1002780445">
      <w:bodyDiv w:val="1"/>
      <w:marLeft w:val="0"/>
      <w:marRight w:val="0"/>
      <w:marTop w:val="0"/>
      <w:marBottom w:val="0"/>
      <w:divBdr>
        <w:top w:val="none" w:sz="0" w:space="0" w:color="auto"/>
        <w:left w:val="none" w:sz="0" w:space="0" w:color="auto"/>
        <w:bottom w:val="none" w:sz="0" w:space="0" w:color="auto"/>
        <w:right w:val="none" w:sz="0" w:space="0" w:color="auto"/>
      </w:divBdr>
    </w:div>
    <w:div w:id="1028678549">
      <w:bodyDiv w:val="1"/>
      <w:marLeft w:val="0"/>
      <w:marRight w:val="0"/>
      <w:marTop w:val="0"/>
      <w:marBottom w:val="0"/>
      <w:divBdr>
        <w:top w:val="none" w:sz="0" w:space="0" w:color="auto"/>
        <w:left w:val="none" w:sz="0" w:space="0" w:color="auto"/>
        <w:bottom w:val="none" w:sz="0" w:space="0" w:color="auto"/>
        <w:right w:val="none" w:sz="0" w:space="0" w:color="auto"/>
      </w:divBdr>
    </w:div>
    <w:div w:id="1254707246">
      <w:bodyDiv w:val="1"/>
      <w:marLeft w:val="0"/>
      <w:marRight w:val="0"/>
      <w:marTop w:val="0"/>
      <w:marBottom w:val="0"/>
      <w:divBdr>
        <w:top w:val="none" w:sz="0" w:space="0" w:color="auto"/>
        <w:left w:val="none" w:sz="0" w:space="0" w:color="auto"/>
        <w:bottom w:val="none" w:sz="0" w:space="0" w:color="auto"/>
        <w:right w:val="none" w:sz="0" w:space="0" w:color="auto"/>
      </w:divBdr>
    </w:div>
    <w:div w:id="14041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21</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Anais Estrada</dc:creator>
  <cp:keywords/>
  <dc:description/>
  <cp:lastModifiedBy>Lidia Silva</cp:lastModifiedBy>
  <cp:revision>5</cp:revision>
  <dcterms:created xsi:type="dcterms:W3CDTF">2025-01-09T21:46:00Z</dcterms:created>
  <dcterms:modified xsi:type="dcterms:W3CDTF">2025-01-21T11:10:00Z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2aeb974,47a2291d,44489299</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2025-01-09T21:46:43Z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1a1d80d2-6682-454e-a186-410c6a991dbb</vt:lpwstr>
  </property>
  <property fmtid="{D5CDD505-2E9C-101B-9397-08002B2CF9AE}" pid="11" name="MSIP_Label_2bbab825-a111-45e4-86a1-18cee0005896_ContentBits">
    <vt:lpwstr>2</vt:lpwstr>
  </property>
</Properties>
</file>