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DE8D" w14:textId="77777777" w:rsidR="00294B53" w:rsidRPr="00F42228" w:rsidRDefault="00294B53">
      <w:pPr>
        <w:widowControl/>
        <w:textAlignment w:val="bottom"/>
        <w:rPr>
          <w:rFonts w:ascii="Times New Roman" w:eastAsia="SimSun" w:hAnsi="Times New Roman" w:cs="Times New Roman"/>
          <w:kern w:val="0"/>
          <w:sz w:val="14"/>
          <w:szCs w:val="14"/>
          <w:lang w:bidi="ar"/>
        </w:rPr>
      </w:pPr>
    </w:p>
    <w:p w14:paraId="45519711" w14:textId="79DD9FBC" w:rsidR="00D571F7" w:rsidRPr="00F42228" w:rsidRDefault="00D571F7" w:rsidP="00D571F7">
      <w:pPr>
        <w:pStyle w:val="BodyText"/>
        <w:tabs>
          <w:tab w:val="left" w:pos="315"/>
        </w:tabs>
        <w:spacing w:before="34" w:line="284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42228">
        <w:rPr>
          <w:rFonts w:ascii="Times New Roman" w:hAnsi="Times New Roman" w:cs="Times New Roman"/>
          <w:b/>
          <w:bCs/>
          <w:sz w:val="22"/>
          <w:szCs w:val="24"/>
        </w:rPr>
        <w:t xml:space="preserve">Supplementary Table </w:t>
      </w:r>
      <w:r w:rsidRPr="00F42228">
        <w:rPr>
          <w:rFonts w:ascii="Times New Roman" w:hAnsi="Times New Roman" w:cs="Times New Roman" w:hint="eastAsia"/>
          <w:b/>
          <w:bCs/>
          <w:sz w:val="22"/>
          <w:szCs w:val="24"/>
        </w:rPr>
        <w:t>1</w:t>
      </w:r>
      <w:r w:rsidRPr="00F42228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F42228"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  <w:t>The variance inflation factor</w:t>
      </w:r>
      <w:r w:rsidRPr="00F42228">
        <w:rPr>
          <w:rFonts w:ascii="Times New Roman" w:eastAsia="SimSun" w:hAnsi="Times New Roman" w:cs="Times New Roman"/>
          <w:sz w:val="22"/>
          <w:szCs w:val="22"/>
          <w:shd w:val="clear" w:color="auto" w:fill="FFFFFF"/>
        </w:rPr>
        <w:t xml:space="preserve"> (VIF)</w:t>
      </w:r>
      <w:r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assess</w:t>
      </w:r>
      <w:r w:rsidR="00BC3A83" w:rsidRPr="00F42228">
        <w:rPr>
          <w:rFonts w:ascii="Times New Roman" w:hAnsi="Times New Roman" w:cs="Times New Roman" w:hint="eastAsia"/>
          <w:sz w:val="22"/>
          <w:szCs w:val="22"/>
          <w:shd w:val="clear" w:color="auto" w:fill="FFFFFF"/>
        </w:rPr>
        <w:t>ed</w:t>
      </w:r>
      <w:r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multicollinearity</w:t>
      </w:r>
      <w:r w:rsidR="00BC3A83" w:rsidRPr="00F42228">
        <w:rPr>
          <w:rFonts w:ascii="Times New Roman" w:hAnsi="Times New Roman" w:cs="Times New Roman" w:hint="eastAsia"/>
          <w:sz w:val="22"/>
          <w:szCs w:val="22"/>
          <w:shd w:val="clear" w:color="auto" w:fill="FFFFFF"/>
        </w:rPr>
        <w:t xml:space="preserve">. A </w:t>
      </w:r>
      <w:r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>value &gt; 5 indicate</w:t>
      </w:r>
      <w:r w:rsidR="00BC3A83" w:rsidRPr="00F42228">
        <w:rPr>
          <w:rFonts w:ascii="Times New Roman" w:hAnsi="Times New Roman" w:cs="Times New Roman" w:hint="eastAsia"/>
          <w:sz w:val="22"/>
          <w:szCs w:val="22"/>
          <w:shd w:val="clear" w:color="auto" w:fill="FFFFFF"/>
        </w:rPr>
        <w:t>s</w:t>
      </w:r>
      <w:r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potential multicollinearity.</w:t>
      </w:r>
    </w:p>
    <w:tbl>
      <w:tblPr>
        <w:tblW w:w="4038" w:type="dxa"/>
        <w:tblInd w:w="96" w:type="dxa"/>
        <w:tblLook w:val="04A0" w:firstRow="1" w:lastRow="0" w:firstColumn="1" w:lastColumn="0" w:noHBand="0" w:noVBand="1"/>
      </w:tblPr>
      <w:tblGrid>
        <w:gridCol w:w="2228"/>
        <w:gridCol w:w="1810"/>
      </w:tblGrid>
      <w:tr w:rsidR="00F42228" w:rsidRPr="00F42228" w14:paraId="7F6E21A5" w14:textId="77777777">
        <w:trPr>
          <w:trHeight w:val="304"/>
        </w:trPr>
        <w:tc>
          <w:tcPr>
            <w:tcW w:w="0" w:type="auto"/>
            <w:tcBorders>
              <w:top w:val="single" w:sz="8" w:space="0" w:color="706E6E"/>
              <w:left w:val="nil"/>
              <w:bottom w:val="single" w:sz="8" w:space="0" w:color="706E6E"/>
              <w:right w:val="nil"/>
            </w:tcBorders>
            <w:shd w:val="clear" w:color="auto" w:fill="FFFFFF"/>
            <w:noWrap/>
            <w:vAlign w:val="bottom"/>
          </w:tcPr>
          <w:p w14:paraId="5F91DCD5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706E6E"/>
              <w:left w:val="nil"/>
              <w:bottom w:val="single" w:sz="8" w:space="0" w:color="706E6E"/>
              <w:right w:val="nil"/>
            </w:tcBorders>
            <w:shd w:val="clear" w:color="auto" w:fill="FFFFFF"/>
            <w:noWrap/>
            <w:vAlign w:val="bottom"/>
          </w:tcPr>
          <w:p w14:paraId="79D1C48C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VIF</w:t>
            </w:r>
          </w:p>
        </w:tc>
      </w:tr>
      <w:tr w:rsidR="00F42228" w:rsidRPr="00F42228" w14:paraId="23EF727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0DC1A2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CA4616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7.8786</w:t>
            </w:r>
          </w:p>
        </w:tc>
      </w:tr>
      <w:tr w:rsidR="00F42228" w:rsidRPr="00F42228" w14:paraId="4E411C8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07FD9A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198CEC5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3.0056</w:t>
            </w:r>
          </w:p>
        </w:tc>
      </w:tr>
      <w:tr w:rsidR="00F42228" w:rsidRPr="00F42228" w14:paraId="6CEC834F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F05364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BBEFD4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10.073</w:t>
            </w:r>
          </w:p>
        </w:tc>
      </w:tr>
      <w:tr w:rsidR="00F42228" w:rsidRPr="00F42228" w14:paraId="4BB76BF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767219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RDWSD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04016D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1.153</w:t>
            </w:r>
          </w:p>
        </w:tc>
      </w:tr>
      <w:tr w:rsidR="00F42228" w:rsidRPr="00F42228" w14:paraId="26294A4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B6CE5C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177D28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3.0774</w:t>
            </w:r>
          </w:p>
        </w:tc>
      </w:tr>
      <w:tr w:rsidR="00F42228" w:rsidRPr="00F42228" w14:paraId="2DD4029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13BBCC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183C74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3.0616</w:t>
            </w:r>
          </w:p>
        </w:tc>
      </w:tr>
      <w:tr w:rsidR="00F42228" w:rsidRPr="00F42228" w14:paraId="4BF7ECE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74032B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HDLC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AA57D2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1.0769</w:t>
            </w:r>
          </w:p>
        </w:tc>
      </w:tr>
      <w:tr w:rsidR="00F42228" w:rsidRPr="00F42228" w14:paraId="7794B4A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483D0D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LYM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5ADB1D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8.1835</w:t>
            </w:r>
          </w:p>
        </w:tc>
      </w:tr>
      <w:tr w:rsidR="00F42228" w:rsidRPr="00F42228" w14:paraId="7CB2E92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E2B300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LMR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F9BC1F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11.495</w:t>
            </w:r>
          </w:p>
        </w:tc>
      </w:tr>
      <w:tr w:rsidR="00F42228" w:rsidRPr="00F42228" w14:paraId="3D52045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A72241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DA1486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11.173</w:t>
            </w:r>
          </w:p>
        </w:tc>
      </w:tr>
      <w:tr w:rsidR="00F42228" w:rsidRPr="00F42228" w14:paraId="303E234C" w14:textId="77777777">
        <w:trPr>
          <w:trHeight w:val="30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E7E39A8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B769BA7" w14:textId="77777777" w:rsidR="00294B53" w:rsidRPr="00F42228" w:rsidRDefault="00F422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9.5827</w:t>
            </w:r>
          </w:p>
        </w:tc>
      </w:tr>
    </w:tbl>
    <w:p w14:paraId="5ADCD4FA" w14:textId="77777777" w:rsidR="00294B53" w:rsidRPr="00F42228" w:rsidRDefault="00294B53">
      <w:pPr>
        <w:widowControl/>
        <w:textAlignment w:val="bottom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64E367C4" w14:textId="77777777" w:rsidR="00294B53" w:rsidRPr="00F42228" w:rsidRDefault="00294B53">
      <w:pPr>
        <w:widowControl/>
        <w:textAlignment w:val="bottom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0310A818" w14:textId="77777777" w:rsidR="00294B53" w:rsidRPr="00F42228" w:rsidRDefault="00294B53">
      <w:pPr>
        <w:widowControl/>
        <w:textAlignment w:val="bottom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310D44B0" w14:textId="77777777" w:rsidR="00294B53" w:rsidRPr="00F42228" w:rsidRDefault="00294B53">
      <w:pPr>
        <w:widowControl/>
        <w:textAlignment w:val="bottom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6510CE9B" w14:textId="77777777" w:rsidR="00294B53" w:rsidRPr="00F42228" w:rsidRDefault="00F42228">
      <w:pPr>
        <w:widowControl/>
        <w:textAlignment w:val="bottom"/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Supplementary Table </w:t>
      </w:r>
      <w:r w:rsidRPr="00F42228">
        <w:rPr>
          <w:rFonts w:ascii="Times New Roman" w:hAnsi="Times New Roman" w:cs="Times New Roman" w:hint="eastAsia"/>
          <w:b/>
          <w:bCs/>
          <w:sz w:val="22"/>
        </w:rPr>
        <w:t>2</w:t>
      </w:r>
      <w:r w:rsidRPr="00F42228">
        <w:rPr>
          <w:rFonts w:ascii="Times New Roman" w:hAnsi="Times New Roman" w:cs="Times New Roman"/>
          <w:b/>
          <w:bCs/>
          <w:sz w:val="22"/>
        </w:rPr>
        <w:t xml:space="preserve"> </w:t>
      </w:r>
      <w:r w:rsidRPr="00F42228"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  <w:t xml:space="preserve">Calibration degree evaluated by the Hosmer–Lemeshow test. P &lt; 0.05: difference between the predicted and observed values, average calibration. P &gt; 0.05: no </w:t>
      </w:r>
      <w:r w:rsidRPr="00F42228"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  <w:t>significant difference, good fit.</w:t>
      </w:r>
    </w:p>
    <w:tbl>
      <w:tblPr>
        <w:tblW w:w="75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22"/>
        <w:gridCol w:w="1804"/>
        <w:gridCol w:w="1985"/>
        <w:gridCol w:w="1417"/>
      </w:tblGrid>
      <w:tr w:rsidR="00F42228" w:rsidRPr="00F42228" w14:paraId="6A7137AA" w14:textId="77777777" w:rsidTr="004A46C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BEC32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Goodness of Fit Test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12DED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Chi-square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BCF5D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degrees of freedom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EFCB2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P-value  </w:t>
            </w:r>
          </w:p>
        </w:tc>
      </w:tr>
      <w:tr w:rsidR="00F42228" w:rsidRPr="00F42228" w14:paraId="13114B66" w14:textId="77777777" w:rsidTr="004A46C9">
        <w:trPr>
          <w:trHeight w:val="300"/>
        </w:trPr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17078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T</w:t>
            </w: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raining set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5ACC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14.324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C2E95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E83E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"/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0.074</w:t>
            </w:r>
            <w:bookmarkEnd w:id="0"/>
          </w:p>
        </w:tc>
      </w:tr>
      <w:tr w:rsidR="00D571F7" w:rsidRPr="00F42228" w14:paraId="24849445" w14:textId="77777777" w:rsidTr="004A46C9">
        <w:trPr>
          <w:trHeight w:val="300"/>
        </w:trPr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6365D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 w:rsidRPr="00F42228">
              <w:rPr>
                <w:rFonts w:ascii="Times New Roman" w:hAnsi="Times New Roman" w:cs="Times New Roman"/>
                <w:sz w:val="22"/>
                <w:szCs w:val="22"/>
              </w:rPr>
              <w:t>alidation set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04B00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bookmarkStart w:id="1" w:name="OLE_LINK2"/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10.955</w:t>
            </w:r>
            <w:bookmarkEnd w:id="1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A2833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50744" w14:textId="77777777" w:rsidR="00D571F7" w:rsidRPr="00F42228" w:rsidRDefault="00D571F7" w:rsidP="004A46C9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 w:rsidRPr="00F42228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0.204</w:t>
            </w:r>
          </w:p>
        </w:tc>
      </w:tr>
    </w:tbl>
    <w:p w14:paraId="03C83488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329405EC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73B3F145" w14:textId="77777777" w:rsidR="00294B53" w:rsidRPr="00F42228" w:rsidRDefault="00F42228">
      <w:pPr>
        <w:widowControl/>
        <w:textAlignment w:val="bottom"/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</w:pPr>
      <w:r w:rsidRPr="00F42228"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593BC94B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65A62B5E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32DAAF48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0A8339D9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674EE164" w14:textId="77777777" w:rsidR="00294B53" w:rsidRPr="00F42228" w:rsidRDefault="00294B53">
      <w:pPr>
        <w:rPr>
          <w:rFonts w:ascii="Times New Roman" w:hAnsi="Times New Roman" w:cs="Times New Roman"/>
        </w:rPr>
      </w:pPr>
    </w:p>
    <w:p w14:paraId="5829B5EF" w14:textId="77777777" w:rsidR="00294B53" w:rsidRPr="00F42228" w:rsidRDefault="00F42228">
      <w:pPr>
        <w:rPr>
          <w:rFonts w:ascii="Times New Roman" w:hAnsi="Times New Roman" w:cs="Times New Roman"/>
        </w:rPr>
      </w:pPr>
      <w:r w:rsidRPr="00F42228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 wp14:anchorId="2D036668" wp14:editId="767C632B">
            <wp:extent cx="3330575" cy="4095750"/>
            <wp:effectExtent l="0" t="0" r="6985" b="381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28">
        <w:rPr>
          <w:rFonts w:ascii="Times New Roman" w:hAnsi="Times New Roman" w:cs="Times New Roman"/>
        </w:rPr>
        <w:t xml:space="preserve">                                              </w:t>
      </w:r>
    </w:p>
    <w:p w14:paraId="4946461D" w14:textId="1D6901B8" w:rsidR="00D571F7" w:rsidRPr="00F42228" w:rsidRDefault="00F42228">
      <w:pPr>
        <w:widowControl/>
        <w:rPr>
          <w:rFonts w:ascii="Times New Roman" w:eastAsia="SimSun" w:hAnsi="Times New Roman" w:cs="Times New Roman"/>
          <w:sz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Supplementary Figure 1 </w:t>
      </w:r>
      <w:r w:rsidRPr="00F42228">
        <w:rPr>
          <w:rFonts w:ascii="Times New Roman" w:eastAsia="SimSun" w:hAnsi="Times New Roman" w:cs="Times New Roman"/>
          <w:sz w:val="22"/>
        </w:rPr>
        <w:t>Forest plot</w:t>
      </w:r>
      <w:r w:rsidR="00D210E8" w:rsidRPr="00F42228">
        <w:rPr>
          <w:rFonts w:ascii="Times New Roman" w:eastAsia="SimSun" w:hAnsi="Times New Roman" w:cs="Times New Roman" w:hint="eastAsia"/>
          <w:sz w:val="22"/>
        </w:rPr>
        <w:t>s</w:t>
      </w:r>
      <w:r w:rsidRPr="00F42228">
        <w:rPr>
          <w:rFonts w:ascii="Times New Roman" w:eastAsia="SimSun" w:hAnsi="Times New Roman" w:cs="Times New Roman"/>
          <w:sz w:val="22"/>
        </w:rPr>
        <w:t xml:space="preserve"> of risk factors for MS</w:t>
      </w:r>
      <w:r w:rsidR="00FC7C8B" w:rsidRPr="00F42228">
        <w:rPr>
          <w:rFonts w:ascii="Times New Roman" w:eastAsia="SimSun" w:hAnsi="Times New Roman" w:cs="Times New Roman" w:hint="eastAsia"/>
          <w:sz w:val="22"/>
        </w:rPr>
        <w:t xml:space="preserve"> with </w:t>
      </w:r>
      <w:r w:rsidR="00FC7C8B" w:rsidRPr="00F42228">
        <w:rPr>
          <w:rFonts w:ascii="Times New Roman" w:eastAsia="SimSun" w:hAnsi="Times New Roman" w:cs="Times New Roman"/>
          <w:sz w:val="22"/>
        </w:rPr>
        <w:t>single factor independent prognosis</w:t>
      </w:r>
      <w:r w:rsidR="00FC7C8B" w:rsidRPr="00F42228">
        <w:rPr>
          <w:rFonts w:ascii="Times New Roman" w:eastAsia="SimSun" w:hAnsi="Times New Roman" w:cs="Times New Roman" w:hint="eastAsia"/>
          <w:sz w:val="22"/>
        </w:rPr>
        <w:t xml:space="preserve"> (A) and </w:t>
      </w:r>
      <w:r w:rsidR="00FC7C8B" w:rsidRPr="00F42228">
        <w:rPr>
          <w:rFonts w:ascii="Times New Roman" w:eastAsia="SimSun" w:hAnsi="Times New Roman" w:cs="Times New Roman"/>
          <w:sz w:val="22"/>
        </w:rPr>
        <w:t>multifactor independent prognosis</w:t>
      </w:r>
      <w:r w:rsidR="00FC7C8B" w:rsidRPr="00F42228">
        <w:rPr>
          <w:rFonts w:ascii="Times New Roman" w:eastAsia="SimSun" w:hAnsi="Times New Roman" w:cs="Times New Roman" w:hint="eastAsia"/>
          <w:sz w:val="22"/>
        </w:rPr>
        <w:t xml:space="preserve"> (B). </w:t>
      </w:r>
    </w:p>
    <w:p w14:paraId="43D4C5E7" w14:textId="2587DDEE" w:rsidR="00294B53" w:rsidRPr="00F42228" w:rsidRDefault="00F42228">
      <w:pPr>
        <w:widowControl/>
        <w:rPr>
          <w:rFonts w:ascii="Times New Roman" w:eastAsia="DengXian" w:hAnsi="Times New Roman" w:cs="Times New Roman"/>
          <w:kern w:val="0"/>
          <w:sz w:val="22"/>
          <w:szCs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Abbreviations: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NEU, neutrophil; RBC, red blood cell; MON, monocyte; RDW, red blood cell distribution width; PLT, platelet; HGB, hemoglobin; HDLC,</w:t>
      </w:r>
      <w:r w:rsidRPr="00F42228">
        <w:rPr>
          <w:rFonts w:ascii="Times New Roman" w:eastAsia="SimSun" w:hAnsi="Times New Roman" w:cs="Times New Roman"/>
          <w:sz w:val="22"/>
        </w:rPr>
        <w:t xml:space="preserve"> high-density lipoprotein cholesterol;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LYM, </w:t>
      </w:r>
      <w:r w:rsidRPr="00F42228">
        <w:rPr>
          <w:rFonts w:ascii="Times New Roman" w:eastAsia="SimSun" w:hAnsi="Times New Roman" w:cs="Times New Roman"/>
          <w:sz w:val="22"/>
        </w:rPr>
        <w:t>monocyte-to lymphocyte ratio;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 LMR, l</w:t>
      </w:r>
      <w:r w:rsidRPr="00F42228">
        <w:rPr>
          <w:rFonts w:ascii="Times New Roman" w:eastAsia="SimSun" w:hAnsi="Times New Roman" w:cs="Times New Roman"/>
          <w:sz w:val="22"/>
        </w:rPr>
        <w:t>ymphocyte-to-monocyte ratio NMR, neutrophil-to-</w:t>
      </w:r>
      <w:bookmarkStart w:id="2" w:name="OLE_LINK29"/>
      <w:r w:rsidRPr="00F42228">
        <w:rPr>
          <w:rFonts w:ascii="Times New Roman" w:eastAsia="SimSun" w:hAnsi="Times New Roman" w:cs="Times New Roman"/>
          <w:sz w:val="22"/>
        </w:rPr>
        <w:t>monocyte</w:t>
      </w:r>
      <w:bookmarkEnd w:id="2"/>
      <w:r w:rsidRPr="00F42228">
        <w:rPr>
          <w:rFonts w:ascii="Times New Roman" w:eastAsia="SimSun" w:hAnsi="Times New Roman" w:cs="Times New Roman"/>
          <w:sz w:val="22"/>
        </w:rPr>
        <w:t xml:space="preserve"> ratio; SII, systemic immune‐inflammation inde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x; OR, odds ratio.</w:t>
      </w:r>
    </w:p>
    <w:p w14:paraId="54B91186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5AE21D04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2F800C67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5E689F1D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6EACF140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7BB01CA8" w14:textId="77777777" w:rsidR="00294B53" w:rsidRPr="00F42228" w:rsidRDefault="00F42228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  <w:r w:rsidRPr="00F42228">
        <w:rPr>
          <w:rFonts w:ascii="Times New Roman" w:eastAsia="DengXian" w:hAnsi="Times New Roman" w:cs="Times New Roman"/>
          <w:noProof/>
          <w:kern w:val="0"/>
          <w:sz w:val="22"/>
          <w:szCs w:val="22"/>
        </w:rPr>
        <w:lastRenderedPageBreak/>
        <w:drawing>
          <wp:inline distT="0" distB="0" distL="114300" distR="114300" wp14:anchorId="1CF55C17" wp14:editId="0BDA8E63">
            <wp:extent cx="3143250" cy="2620010"/>
            <wp:effectExtent l="0" t="0" r="11430" b="1270"/>
            <wp:docPr id="13" name="图片 13" descr="随机森林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随机森林图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5557" w14:textId="7B8384F3" w:rsidR="00294B53" w:rsidRPr="00F42228" w:rsidRDefault="00F42228">
      <w:pPr>
        <w:widowControl/>
        <w:rPr>
          <w:rFonts w:ascii="Times New Roman" w:eastAsia="DengXian" w:hAnsi="Times New Roman" w:cs="Times New Roman"/>
          <w:kern w:val="0"/>
          <w:sz w:val="22"/>
          <w:szCs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Supplementary Figure </w:t>
      </w:r>
      <w:r w:rsidRPr="00F42228">
        <w:rPr>
          <w:rFonts w:ascii="Times New Roman" w:hAnsi="Times New Roman" w:cs="Times New Roman" w:hint="eastAsia"/>
          <w:b/>
          <w:bCs/>
          <w:sz w:val="22"/>
        </w:rPr>
        <w:t>2</w:t>
      </w:r>
      <w:r w:rsidRPr="00F42228">
        <w:rPr>
          <w:rFonts w:ascii="Times New Roman" w:hAnsi="Times New Roman" w:cs="Times New Roman"/>
          <w:b/>
          <w:bCs/>
          <w:sz w:val="22"/>
        </w:rPr>
        <w:t xml:space="preserve">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Importance of features from the random forest model.</w:t>
      </w:r>
    </w:p>
    <w:p w14:paraId="27FEAB45" w14:textId="6768D057" w:rsidR="00294B53" w:rsidRPr="00F42228" w:rsidRDefault="00F42228">
      <w:pPr>
        <w:widowControl/>
        <w:rPr>
          <w:rFonts w:ascii="Times New Roman" w:eastAsia="SimSun" w:hAnsi="Times New Roman" w:cs="Times New Roman"/>
          <w:sz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Abbreviations: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HGB, hemoglobin; LMR, l</w:t>
      </w:r>
      <w:r w:rsidRPr="00F42228">
        <w:rPr>
          <w:rFonts w:ascii="Times New Roman" w:eastAsia="SimSun" w:hAnsi="Times New Roman" w:cs="Times New Roman"/>
          <w:sz w:val="22"/>
        </w:rPr>
        <w:t xml:space="preserve">ymphocyte-to-monocyte ratio;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RBC, red blood cell; </w:t>
      </w:r>
      <w:r w:rsidRPr="00F42228">
        <w:rPr>
          <w:rFonts w:ascii="Times New Roman" w:eastAsia="SimSun" w:hAnsi="Times New Roman" w:cs="Times New Roman"/>
          <w:sz w:val="22"/>
        </w:rPr>
        <w:t xml:space="preserve">NMR, neutrophil-to-monocyte ratio;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PLT, platelet; RDW, red blood cell distribution width; </w:t>
      </w:r>
      <w:r w:rsidRPr="00F42228">
        <w:rPr>
          <w:rFonts w:ascii="Times New Roman" w:eastAsia="SimSun" w:hAnsi="Times New Roman" w:cs="Times New Roman"/>
          <w:sz w:val="22"/>
        </w:rPr>
        <w:t xml:space="preserve">SII, systemic immune‐inflammation index;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HDLC,</w:t>
      </w:r>
      <w:r w:rsidRPr="00F42228">
        <w:rPr>
          <w:rFonts w:ascii="Times New Roman" w:eastAsia="SimSun" w:hAnsi="Times New Roman" w:cs="Times New Roman"/>
          <w:sz w:val="22"/>
        </w:rPr>
        <w:t xml:space="preserve"> high-density lipoprotein cholesterol;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LYM, </w:t>
      </w:r>
      <w:r w:rsidRPr="00F42228">
        <w:rPr>
          <w:rFonts w:ascii="Times New Roman" w:eastAsia="SimSun" w:hAnsi="Times New Roman" w:cs="Times New Roman"/>
          <w:sz w:val="22"/>
        </w:rPr>
        <w:t xml:space="preserve">monocyte-to lymphocyte ratio;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NEU, neutrophil; MON, monocyte</w:t>
      </w:r>
      <w:r w:rsidR="004D4904" w:rsidRPr="00F42228">
        <w:rPr>
          <w:rFonts w:ascii="Times New Roman" w:eastAsia="DengXian" w:hAnsi="Times New Roman" w:cs="Times New Roman" w:hint="eastAsia"/>
          <w:kern w:val="0"/>
          <w:sz w:val="22"/>
          <w:szCs w:val="22"/>
        </w:rPr>
        <w:t>.</w:t>
      </w:r>
    </w:p>
    <w:p w14:paraId="6FFD4689" w14:textId="77777777" w:rsidR="00294B53" w:rsidRPr="00F42228" w:rsidRDefault="00294B53">
      <w:pPr>
        <w:widowControl/>
        <w:rPr>
          <w:rFonts w:ascii="Times New Roman" w:eastAsia="SimSun" w:hAnsi="Times New Roman" w:cs="Times New Roman"/>
          <w:kern w:val="0"/>
          <w:sz w:val="22"/>
          <w:szCs w:val="22"/>
        </w:rPr>
      </w:pPr>
    </w:p>
    <w:p w14:paraId="6287F91E" w14:textId="77777777" w:rsidR="00294B53" w:rsidRPr="00F42228" w:rsidRDefault="00F42228">
      <w:pPr>
        <w:widowControl/>
        <w:rPr>
          <w:rFonts w:ascii="Times New Roman" w:eastAsia="SimSun" w:hAnsi="Times New Roman" w:cs="Times New Roman"/>
          <w:kern w:val="0"/>
          <w:sz w:val="22"/>
          <w:szCs w:val="22"/>
        </w:rPr>
      </w:pPr>
      <w:r w:rsidRPr="00F42228">
        <w:rPr>
          <w:rFonts w:ascii="Times New Roman" w:eastAsia="SimSun" w:hAnsi="Times New Roman" w:cs="Times New Roman"/>
          <w:noProof/>
          <w:kern w:val="0"/>
          <w:sz w:val="22"/>
          <w:szCs w:val="22"/>
        </w:rPr>
        <w:drawing>
          <wp:inline distT="0" distB="0" distL="114300" distR="114300" wp14:anchorId="5A953000" wp14:editId="285F4725">
            <wp:extent cx="2714625" cy="2714625"/>
            <wp:effectExtent l="0" t="0" r="13335" b="13335"/>
            <wp:docPr id="14" name="图片 14" descr="相关性热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相关性热图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CDDC6" w14:textId="5D6550D6" w:rsidR="00294B53" w:rsidRPr="00F42228" w:rsidRDefault="00F42228">
      <w:pPr>
        <w:widowControl/>
        <w:rPr>
          <w:rFonts w:ascii="Times New Roman" w:eastAsia="DengXian" w:hAnsi="Times New Roman" w:cs="Times New Roman"/>
          <w:kern w:val="0"/>
          <w:sz w:val="22"/>
          <w:szCs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>Supplementary Figure</w:t>
      </w:r>
      <w:r w:rsidRPr="00F42228">
        <w:rPr>
          <w:rFonts w:ascii="Times New Roman" w:hAnsi="Times New Roman" w:cs="Times New Roman" w:hint="eastAsia"/>
          <w:b/>
          <w:bCs/>
          <w:sz w:val="22"/>
        </w:rPr>
        <w:t xml:space="preserve"> 3</w:t>
      </w:r>
      <w:r w:rsidRPr="00F42228">
        <w:rPr>
          <w:rFonts w:ascii="Times New Roman" w:hAnsi="Times New Roman" w:cs="Times New Roman"/>
          <w:b/>
          <w:bCs/>
          <w:sz w:val="22"/>
        </w:rPr>
        <w:t xml:space="preserve"> </w:t>
      </w:r>
      <w:r w:rsidR="005056F5" w:rsidRPr="00F42228">
        <w:rPr>
          <w:rFonts w:ascii="Times New Roman" w:eastAsia="DengXian" w:hAnsi="Times New Roman" w:cs="Times New Roman"/>
          <w:kern w:val="0"/>
          <w:sz w:val="22"/>
          <w:szCs w:val="22"/>
        </w:rPr>
        <w:t>Heatmap of pairwise correlation coefficients among variables in the dataset.</w:t>
      </w:r>
    </w:p>
    <w:p w14:paraId="0C84C1A9" w14:textId="02C2FBFC" w:rsidR="00294B53" w:rsidRPr="00F42228" w:rsidRDefault="00F42228">
      <w:pPr>
        <w:widowControl/>
        <w:rPr>
          <w:rFonts w:ascii="Times New Roman" w:eastAsia="SimSun" w:hAnsi="Times New Roman" w:cs="Times New Roman"/>
          <w:sz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Abbreviations: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NEU, neutrophil; RBC, red blood cell; MON, monocyte; RDW, red blood cell distribution width; PLT, platelet; HGB, hemoglobin; HDLC,</w:t>
      </w:r>
      <w:r w:rsidRPr="00F42228">
        <w:rPr>
          <w:rFonts w:ascii="Times New Roman" w:eastAsia="SimSun" w:hAnsi="Times New Roman" w:cs="Times New Roman"/>
          <w:sz w:val="22"/>
        </w:rPr>
        <w:t xml:space="preserve"> high-density lipoprotein cholesterol;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LYM, </w:t>
      </w:r>
      <w:r w:rsidRPr="00F42228">
        <w:rPr>
          <w:rFonts w:ascii="Times New Roman" w:eastAsia="SimSun" w:hAnsi="Times New Roman" w:cs="Times New Roman"/>
          <w:sz w:val="22"/>
        </w:rPr>
        <w:t>monocyte-to lymphocyte ratio;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 xml:space="preserve"> LMR, l</w:t>
      </w:r>
      <w:r w:rsidRPr="00F42228">
        <w:rPr>
          <w:rFonts w:ascii="Times New Roman" w:eastAsia="SimSun" w:hAnsi="Times New Roman" w:cs="Times New Roman"/>
          <w:sz w:val="22"/>
        </w:rPr>
        <w:t>ymphocyte-to-monocyte ratio</w:t>
      </w:r>
      <w:r w:rsidR="003E64D6" w:rsidRPr="00F42228">
        <w:rPr>
          <w:rFonts w:ascii="Times New Roman" w:eastAsia="SimSun" w:hAnsi="Times New Roman" w:cs="Times New Roman" w:hint="eastAsia"/>
          <w:sz w:val="22"/>
        </w:rPr>
        <w:t xml:space="preserve">; </w:t>
      </w:r>
      <w:r w:rsidRPr="00F42228">
        <w:rPr>
          <w:rFonts w:ascii="Times New Roman" w:eastAsia="SimSun" w:hAnsi="Times New Roman" w:cs="Times New Roman"/>
          <w:sz w:val="22"/>
        </w:rPr>
        <w:t>NMR, neutrophil-to-monocyte ratio; SII, systemic immune‐inflammation index.</w:t>
      </w:r>
    </w:p>
    <w:p w14:paraId="5C0623DE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729AF3AE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3D8359F7" w14:textId="77777777" w:rsidR="00294B53" w:rsidRPr="00F42228" w:rsidRDefault="00F42228">
      <w:pPr>
        <w:widowControl/>
        <w:jc w:val="left"/>
        <w:rPr>
          <w:rFonts w:ascii="Times New Roman" w:eastAsia="SimSun" w:hAnsi="Times New Roman" w:cs="Times New Roman"/>
          <w:kern w:val="0"/>
          <w:sz w:val="19"/>
          <w:szCs w:val="19"/>
          <w:lang w:bidi="ar"/>
        </w:rPr>
      </w:pPr>
      <w:r w:rsidRPr="00F42228">
        <w:rPr>
          <w:rFonts w:ascii="Times New Roman" w:eastAsia="SimSun" w:hAnsi="Times New Roman" w:cs="Times New Roman"/>
          <w:noProof/>
          <w:kern w:val="0"/>
          <w:sz w:val="19"/>
          <w:szCs w:val="19"/>
          <w:lang w:bidi="ar"/>
        </w:rPr>
        <w:lastRenderedPageBreak/>
        <w:drawing>
          <wp:inline distT="0" distB="0" distL="114300" distR="114300" wp14:anchorId="6A39136E" wp14:editId="2AAB5D9F">
            <wp:extent cx="4079240" cy="2834005"/>
            <wp:effectExtent l="0" t="0" r="5080" b="635"/>
            <wp:docPr id="1" name="图片 1" descr="Figure 2. nomogram实例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2. nomogram实例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2861" w14:textId="1F5E91BA" w:rsidR="005056F5" w:rsidRPr="00F42228" w:rsidRDefault="00F42228" w:rsidP="005056F5">
      <w:pPr>
        <w:widowControl/>
        <w:jc w:val="left"/>
        <w:rPr>
          <w:rFonts w:ascii="Times New Roman" w:eastAsia="SimSun" w:hAnsi="Times New Roman" w:cs="Times New Roman"/>
          <w:sz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>Supplementary Figure</w:t>
      </w:r>
      <w:r w:rsidRPr="00F42228">
        <w:rPr>
          <w:rFonts w:ascii="Times New Roman" w:hAnsi="Times New Roman" w:cs="Times New Roman" w:hint="eastAsia"/>
          <w:b/>
          <w:bCs/>
          <w:sz w:val="22"/>
        </w:rPr>
        <w:t xml:space="preserve"> 4</w:t>
      </w:r>
      <w:r w:rsidRPr="00F42228">
        <w:rPr>
          <w:rFonts w:ascii="Times New Roman" w:hAnsi="Times New Roman" w:cs="Times New Roman"/>
          <w:b/>
          <w:bCs/>
          <w:sz w:val="22"/>
        </w:rPr>
        <w:t xml:space="preserve"> </w:t>
      </w:r>
      <w:r w:rsidR="005056F5" w:rsidRPr="00F42228">
        <w:rPr>
          <w:rFonts w:ascii="Times New Roman" w:eastAsia="SimSun" w:hAnsi="Times New Roman" w:cs="Times New Roman"/>
          <w:sz w:val="22"/>
        </w:rPr>
        <w:t xml:space="preserve">Example of </w:t>
      </w:r>
      <w:r w:rsidR="005056F5" w:rsidRPr="00F42228">
        <w:rPr>
          <w:rFonts w:ascii="Times New Roman" w:eastAsia="SimSun" w:hAnsi="Times New Roman" w:cs="Times New Roman" w:hint="eastAsia"/>
          <w:sz w:val="22"/>
        </w:rPr>
        <w:t>the MS disease risk prediction</w:t>
      </w:r>
      <w:r w:rsidR="003B67D3" w:rsidRPr="00F42228">
        <w:rPr>
          <w:rFonts w:ascii="Times New Roman" w:eastAsia="SimSun" w:hAnsi="Times New Roman" w:cs="Times New Roman" w:hint="eastAsia"/>
          <w:sz w:val="22"/>
        </w:rPr>
        <w:t>.</w:t>
      </w:r>
    </w:p>
    <w:p w14:paraId="6F3163EF" w14:textId="298C2021" w:rsidR="005056F5" w:rsidRPr="00F42228" w:rsidRDefault="005056F5" w:rsidP="005056F5">
      <w:pPr>
        <w:widowControl/>
        <w:jc w:val="left"/>
        <w:rPr>
          <w:rFonts w:ascii="Times New Roman" w:eastAsia="SimSun" w:hAnsi="Times New Roman" w:cs="Times New Roman"/>
          <w:sz w:val="22"/>
        </w:rPr>
      </w:pPr>
      <w:r w:rsidRPr="00F42228">
        <w:rPr>
          <w:rFonts w:ascii="Times New Roman" w:eastAsia="SimSun" w:hAnsi="Times New Roman" w:cs="Times New Roman"/>
          <w:sz w:val="22"/>
        </w:rPr>
        <w:t>The blue line</w:t>
      </w:r>
      <w:r w:rsidR="006B3B42" w:rsidRPr="00F42228">
        <w:rPr>
          <w:rFonts w:ascii="Times New Roman" w:eastAsia="SimSun" w:hAnsi="Times New Roman" w:cs="Times New Roman" w:hint="eastAsia"/>
          <w:sz w:val="22"/>
        </w:rPr>
        <w:t>s</w:t>
      </w:r>
      <w:r w:rsidRPr="00F42228">
        <w:rPr>
          <w:rFonts w:ascii="Times New Roman" w:eastAsia="SimSun" w:hAnsi="Times New Roman" w:cs="Times New Roman"/>
          <w:sz w:val="22"/>
        </w:rPr>
        <w:t xml:space="preserve"> represent values of a randomly selected patient from the development dataset who is 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RDW of 41.4 </w:t>
      </w:r>
      <w:r w:rsidRPr="00F42228">
        <w:rPr>
          <w:rFonts w:ascii="Times New Roman" w:eastAsia="SimSun" w:hAnsi="Times New Roman" w:cs="Times New Roman"/>
          <w:sz w:val="22"/>
        </w:rPr>
        <w:t>(</w:t>
      </w:r>
      <w:r w:rsidRPr="00F42228">
        <w:rPr>
          <w:rFonts w:ascii="Times New Roman" w:eastAsia="SimSun" w:hAnsi="Times New Roman" w:cs="Times New Roman" w:hint="eastAsia"/>
          <w:sz w:val="22"/>
        </w:rPr>
        <w:t>15.75</w:t>
      </w:r>
      <w:r w:rsidRPr="00F42228">
        <w:rPr>
          <w:rFonts w:ascii="Times New Roman" w:eastAsia="SimSun" w:hAnsi="Times New Roman" w:cs="Times New Roman"/>
          <w:sz w:val="22"/>
        </w:rPr>
        <w:t xml:space="preserve"> points), with 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HGB </w:t>
      </w:r>
      <w:r w:rsidRPr="00F42228">
        <w:rPr>
          <w:rFonts w:ascii="Times New Roman" w:eastAsia="SimSun" w:hAnsi="Times New Roman" w:cs="Times New Roman"/>
          <w:sz w:val="22"/>
        </w:rPr>
        <w:t>of 1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19 </w:t>
      </w:r>
      <w:r w:rsidRPr="00F42228">
        <w:rPr>
          <w:rFonts w:ascii="Times New Roman" w:eastAsia="SimSun" w:hAnsi="Times New Roman" w:cs="Times New Roman"/>
          <w:sz w:val="22"/>
        </w:rPr>
        <w:t>g/L (</w:t>
      </w:r>
      <w:r w:rsidRPr="00F42228">
        <w:rPr>
          <w:rFonts w:ascii="Times New Roman" w:eastAsia="SimSun" w:hAnsi="Times New Roman" w:cs="Times New Roman" w:hint="eastAsia"/>
          <w:sz w:val="22"/>
        </w:rPr>
        <w:t>41.59</w:t>
      </w:r>
      <w:r w:rsidRPr="00F42228">
        <w:rPr>
          <w:rFonts w:ascii="Times New Roman" w:eastAsia="SimSun" w:hAnsi="Times New Roman" w:cs="Times New Roman"/>
          <w:sz w:val="22"/>
        </w:rPr>
        <w:t xml:space="preserve"> point), 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HDL-C </w:t>
      </w:r>
      <w:r w:rsidRPr="00F42228">
        <w:rPr>
          <w:rFonts w:ascii="Times New Roman" w:eastAsia="SimSun" w:hAnsi="Times New Roman" w:cs="Times New Roman"/>
          <w:sz w:val="22"/>
        </w:rPr>
        <w:t xml:space="preserve">of </w:t>
      </w:r>
      <w:r w:rsidRPr="00F42228">
        <w:rPr>
          <w:rFonts w:ascii="Times New Roman" w:eastAsia="SimSun" w:hAnsi="Times New Roman" w:cs="Times New Roman" w:hint="eastAsia"/>
          <w:sz w:val="22"/>
        </w:rPr>
        <w:t>1.11</w:t>
      </w:r>
      <w:r w:rsidRPr="00F42228">
        <w:rPr>
          <w:rFonts w:ascii="Times New Roman" w:eastAsia="SimSun" w:hAnsi="Times New Roman" w:cs="Times New Roman"/>
          <w:sz w:val="22"/>
        </w:rPr>
        <w:t xml:space="preserve"> g/L (</w:t>
      </w:r>
      <w:r w:rsidRPr="00F42228">
        <w:rPr>
          <w:rFonts w:ascii="Times New Roman" w:eastAsia="SimSun" w:hAnsi="Times New Roman" w:cs="Times New Roman" w:hint="eastAsia"/>
          <w:sz w:val="22"/>
        </w:rPr>
        <w:t>6.36</w:t>
      </w:r>
      <w:r w:rsidRPr="00F42228">
        <w:rPr>
          <w:rFonts w:ascii="Times New Roman" w:eastAsia="SimSun" w:hAnsi="Times New Roman" w:cs="Times New Roman"/>
          <w:sz w:val="22"/>
        </w:rPr>
        <w:t xml:space="preserve">points), </w:t>
      </w:r>
      <w:r w:rsidRPr="00F42228">
        <w:rPr>
          <w:rFonts w:ascii="Times New Roman" w:eastAsia="SimSun" w:hAnsi="Times New Roman" w:cs="Times New Roman" w:hint="eastAsia"/>
          <w:sz w:val="22"/>
        </w:rPr>
        <w:t>LMR of 5.58</w:t>
      </w:r>
      <w:r w:rsidRPr="00F42228">
        <w:rPr>
          <w:rFonts w:ascii="Times New Roman" w:eastAsia="SimSun" w:hAnsi="Times New Roman" w:cs="Times New Roman"/>
          <w:sz w:val="22"/>
        </w:rPr>
        <w:t xml:space="preserve"> (</w:t>
      </w:r>
      <w:r w:rsidRPr="00F42228">
        <w:rPr>
          <w:rFonts w:ascii="Times New Roman" w:eastAsia="SimSun" w:hAnsi="Times New Roman" w:cs="Times New Roman" w:hint="eastAsia"/>
          <w:sz w:val="22"/>
        </w:rPr>
        <w:t>66.71</w:t>
      </w:r>
      <w:r w:rsidRPr="00F42228">
        <w:rPr>
          <w:rFonts w:ascii="Times New Roman" w:eastAsia="SimSun" w:hAnsi="Times New Roman" w:cs="Times New Roman"/>
          <w:sz w:val="22"/>
        </w:rPr>
        <w:t xml:space="preserve"> points) and 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SII </w:t>
      </w:r>
      <w:r w:rsidRPr="00F42228">
        <w:rPr>
          <w:rFonts w:ascii="Times New Roman" w:eastAsia="SimSun" w:hAnsi="Times New Roman" w:cs="Times New Roman"/>
          <w:sz w:val="22"/>
        </w:rPr>
        <w:t xml:space="preserve">of </w:t>
      </w:r>
      <w:r w:rsidRPr="00F42228">
        <w:rPr>
          <w:rFonts w:ascii="Times New Roman" w:eastAsia="SimSun" w:hAnsi="Times New Roman" w:cs="Times New Roman" w:hint="eastAsia"/>
          <w:sz w:val="22"/>
        </w:rPr>
        <w:t>3.22</w:t>
      </w:r>
      <w:r w:rsidRPr="00F42228">
        <w:rPr>
          <w:rFonts w:ascii="Times New Roman" w:eastAsia="SimSun" w:hAnsi="Times New Roman" w:cs="Times New Roman"/>
          <w:sz w:val="22"/>
        </w:rPr>
        <w:t xml:space="preserve"> (</w:t>
      </w:r>
      <w:r w:rsidRPr="00F42228">
        <w:rPr>
          <w:rFonts w:ascii="Times New Roman" w:eastAsia="SimSun" w:hAnsi="Times New Roman" w:cs="Times New Roman" w:hint="eastAsia"/>
          <w:sz w:val="22"/>
        </w:rPr>
        <w:t>87.62</w:t>
      </w:r>
      <w:r w:rsidRPr="00F42228">
        <w:rPr>
          <w:rFonts w:ascii="Times New Roman" w:eastAsia="SimSun" w:hAnsi="Times New Roman" w:cs="Times New Roman"/>
          <w:sz w:val="22"/>
        </w:rPr>
        <w:t xml:space="preserve"> points). These values when plotted, correspond to the points scale and points are then summed to give a total point score. The presented patient has a total point’s score of </w:t>
      </w:r>
      <w:r w:rsidRPr="00F42228">
        <w:rPr>
          <w:rFonts w:ascii="Times New Roman" w:eastAsia="SimSun" w:hAnsi="Times New Roman" w:cs="Times New Roman" w:hint="eastAsia"/>
          <w:sz w:val="22"/>
        </w:rPr>
        <w:t>218.03</w:t>
      </w:r>
      <w:r w:rsidRPr="00F42228">
        <w:rPr>
          <w:rFonts w:ascii="Times New Roman" w:eastAsia="SimSun" w:hAnsi="Times New Roman" w:cs="Times New Roman"/>
          <w:sz w:val="22"/>
        </w:rPr>
        <w:t xml:space="preserve">. </w:t>
      </w:r>
    </w:p>
    <w:p w14:paraId="003B5859" w14:textId="55DB18C5" w:rsidR="00294B53" w:rsidRPr="00F42228" w:rsidRDefault="00F42228" w:rsidP="0096545F">
      <w:pPr>
        <w:widowControl/>
        <w:rPr>
          <w:rFonts w:ascii="Times New Roman" w:eastAsia="DengXian" w:hAnsi="Times New Roman" w:cs="Times New Roman"/>
          <w:kern w:val="0"/>
          <w:sz w:val="22"/>
          <w:szCs w:val="22"/>
        </w:rPr>
      </w:pPr>
      <w:r w:rsidRPr="00F42228">
        <w:rPr>
          <w:rFonts w:ascii="Times New Roman" w:hAnsi="Times New Roman" w:cs="Times New Roman"/>
          <w:b/>
          <w:bCs/>
          <w:sz w:val="22"/>
        </w:rPr>
        <w:t xml:space="preserve">Abbreviations: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RDW, red blood cell distribution width;</w:t>
      </w:r>
      <w:r w:rsidRPr="00F42228">
        <w:rPr>
          <w:rFonts w:ascii="Times New Roman" w:eastAsia="DengXian" w:hAnsi="Times New Roman" w:cs="Times New Roman" w:hint="eastAsia"/>
          <w:kern w:val="0"/>
          <w:sz w:val="22"/>
          <w:szCs w:val="22"/>
        </w:rPr>
        <w:t xml:space="preserve">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HGB, hemoglobin; HDL</w:t>
      </w:r>
      <w:r w:rsidRPr="00F42228">
        <w:rPr>
          <w:rFonts w:ascii="Times New Roman" w:eastAsia="DengXian" w:hAnsi="Times New Roman" w:cs="Times New Roman" w:hint="eastAsia"/>
          <w:kern w:val="0"/>
          <w:sz w:val="22"/>
          <w:szCs w:val="22"/>
        </w:rPr>
        <w:t>-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C,</w:t>
      </w:r>
      <w:r w:rsidRPr="00F42228">
        <w:rPr>
          <w:rFonts w:ascii="Times New Roman" w:eastAsia="SimSun" w:hAnsi="Times New Roman" w:cs="Times New Roman"/>
          <w:sz w:val="22"/>
        </w:rPr>
        <w:t xml:space="preserve"> high-density lipoprotein cholesterol;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 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LMR, l</w:t>
      </w:r>
      <w:r w:rsidRPr="00F42228">
        <w:rPr>
          <w:rFonts w:ascii="Times New Roman" w:eastAsia="SimSun" w:hAnsi="Times New Roman" w:cs="Times New Roman"/>
          <w:sz w:val="22"/>
        </w:rPr>
        <w:t>ymphocyte-to-monocyte</w:t>
      </w:r>
      <w:r w:rsidR="00DA3927" w:rsidRPr="00F42228">
        <w:rPr>
          <w:rFonts w:ascii="Times New Roman" w:eastAsia="SimSun" w:hAnsi="Times New Roman" w:cs="Times New Roman" w:hint="eastAsia"/>
          <w:sz w:val="22"/>
        </w:rPr>
        <w:t>2</w:t>
      </w:r>
      <w:r w:rsidRPr="00F42228">
        <w:rPr>
          <w:rFonts w:ascii="Times New Roman" w:eastAsia="SimSun" w:hAnsi="Times New Roman" w:cs="Times New Roman"/>
          <w:sz w:val="22"/>
        </w:rPr>
        <w:t xml:space="preserve"> ratio</w:t>
      </w:r>
      <w:r w:rsidRPr="00F42228">
        <w:rPr>
          <w:rFonts w:ascii="Times New Roman" w:eastAsia="SimSun" w:hAnsi="Times New Roman" w:cs="Times New Roman" w:hint="eastAsia"/>
          <w:sz w:val="22"/>
        </w:rPr>
        <w:t xml:space="preserve">; </w:t>
      </w:r>
      <w:r w:rsidRPr="00F42228">
        <w:rPr>
          <w:rFonts w:ascii="Times New Roman" w:eastAsia="SimSun" w:hAnsi="Times New Roman" w:cs="Times New Roman"/>
          <w:sz w:val="22"/>
        </w:rPr>
        <w:t>SII, systemic immune‐inflammation inde</w:t>
      </w:r>
      <w:r w:rsidRPr="00F42228">
        <w:rPr>
          <w:rFonts w:ascii="Times New Roman" w:eastAsia="DengXian" w:hAnsi="Times New Roman" w:cs="Times New Roman"/>
          <w:kern w:val="0"/>
          <w:sz w:val="22"/>
          <w:szCs w:val="22"/>
        </w:rPr>
        <w:t>x</w:t>
      </w:r>
      <w:r w:rsidRPr="00F42228">
        <w:rPr>
          <w:rFonts w:ascii="Times New Roman" w:eastAsia="DengXian" w:hAnsi="Times New Roman" w:cs="Times New Roman" w:hint="eastAsia"/>
          <w:kern w:val="0"/>
          <w:sz w:val="22"/>
          <w:szCs w:val="22"/>
        </w:rPr>
        <w:t>.</w:t>
      </w:r>
    </w:p>
    <w:p w14:paraId="7FB90939" w14:textId="77777777" w:rsidR="00294B53" w:rsidRPr="00F42228" w:rsidRDefault="00294B53">
      <w:pPr>
        <w:widowControl/>
        <w:jc w:val="left"/>
        <w:rPr>
          <w:rFonts w:ascii="Times New Roman" w:eastAsia="DengXian" w:hAnsi="Times New Roman" w:cs="Times New Roman"/>
          <w:kern w:val="0"/>
          <w:sz w:val="22"/>
          <w:szCs w:val="22"/>
        </w:rPr>
      </w:pPr>
    </w:p>
    <w:p w14:paraId="78A3C711" w14:textId="77777777" w:rsidR="00294B53" w:rsidRPr="00F42228" w:rsidRDefault="00F42228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 w:rsidRPr="00F42228"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114300" distR="114300" wp14:anchorId="0B335D81" wp14:editId="4C96CEF1">
            <wp:extent cx="2464435" cy="2464435"/>
            <wp:effectExtent l="0" t="0" r="4445" b="4445"/>
            <wp:docPr id="2" name="图片 2" descr="交叉验证AUC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叉验证AUC_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CD0A" w14:textId="77777777" w:rsidR="00294B53" w:rsidRPr="00F42228" w:rsidRDefault="00294B53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</w:p>
    <w:p w14:paraId="587EC7D5" w14:textId="062F77A9" w:rsidR="00294B53" w:rsidRPr="00F42228" w:rsidRDefault="00F42228">
      <w:pPr>
        <w:widowControl/>
        <w:textAlignment w:val="bottom"/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</w:pPr>
      <w:r w:rsidRPr="00F42228">
        <w:rPr>
          <w:rFonts w:ascii="Times New Roman" w:hAnsi="Times New Roman" w:cs="Times New Roman"/>
          <w:b/>
          <w:bCs/>
          <w:sz w:val="22"/>
        </w:rPr>
        <w:t>Supplementary Figure</w:t>
      </w:r>
      <w:r w:rsidRPr="00F42228">
        <w:rPr>
          <w:rFonts w:ascii="Times New Roman" w:hAnsi="Times New Roman" w:cs="Times New Roman" w:hint="eastAsia"/>
          <w:b/>
          <w:bCs/>
          <w:sz w:val="22"/>
        </w:rPr>
        <w:t xml:space="preserve"> 5 </w:t>
      </w:r>
      <w:r w:rsidR="00426528"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Model validation was conducted via </w:t>
      </w:r>
      <w:r w:rsidR="001C2E51" w:rsidRPr="00F42228">
        <w:rPr>
          <w:rFonts w:ascii="Times New Roman" w:hAnsi="Times New Roman" w:cs="Times New Roman" w:hint="eastAsia"/>
          <w:sz w:val="22"/>
          <w:szCs w:val="22"/>
          <w:shd w:val="clear" w:color="auto" w:fill="FFFFFF"/>
        </w:rPr>
        <w:t>Five</w:t>
      </w:r>
      <w:r w:rsidR="00426528" w:rsidRPr="00F42228">
        <w:rPr>
          <w:rFonts w:ascii="Times New Roman" w:hAnsi="Times New Roman" w:cs="Times New Roman"/>
          <w:sz w:val="22"/>
          <w:szCs w:val="22"/>
          <w:shd w:val="clear" w:color="auto" w:fill="FFFFFF"/>
        </w:rPr>
        <w:t>-fold cross-validation, with the average AUC serving as the metric for assessment.</w:t>
      </w:r>
    </w:p>
    <w:p w14:paraId="12C50FFF" w14:textId="77777777" w:rsidR="00294B53" w:rsidRPr="00F42228" w:rsidRDefault="00F42228">
      <w:pPr>
        <w:widowControl/>
        <w:textAlignment w:val="bottom"/>
        <w:rPr>
          <w:rFonts w:ascii="Times New Roman" w:hAnsi="Times New Roman" w:cs="Times New Roman"/>
        </w:rPr>
      </w:pPr>
      <w:r w:rsidRPr="00F42228">
        <w:rPr>
          <w:rFonts w:ascii="Times New Roman" w:hAnsi="Times New Roman" w:cs="Times New Roman"/>
          <w:b/>
          <w:bCs/>
          <w:sz w:val="22"/>
        </w:rPr>
        <w:t>Abbreviations:</w:t>
      </w:r>
      <w:r w:rsidRPr="00F4222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Pr="00F42228">
        <w:rPr>
          <w:rFonts w:ascii="Times New Roman" w:eastAsia="Segoe UI" w:hAnsi="Times New Roman" w:cs="Times New Roman"/>
          <w:sz w:val="22"/>
          <w:szCs w:val="22"/>
          <w:shd w:val="clear" w:color="auto" w:fill="FFFFFF"/>
        </w:rPr>
        <w:t>AUC</w:t>
      </w:r>
      <w:r w:rsidRPr="00F42228">
        <w:rPr>
          <w:rFonts w:ascii="Times New Roman" w:eastAsia="Segoe UI" w:hAnsi="Times New Roman" w:cs="Times New Roman" w:hint="eastAsia"/>
          <w:sz w:val="22"/>
          <w:szCs w:val="22"/>
          <w:shd w:val="clear" w:color="auto" w:fill="FFFFFF"/>
        </w:rPr>
        <w:t>, Area Under Curve.</w:t>
      </w:r>
    </w:p>
    <w:sectPr w:rsidR="00294B53" w:rsidRPr="00F42228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07CA" w14:textId="77777777" w:rsidR="00190950" w:rsidRDefault="00190950" w:rsidP="00D210E8">
      <w:r>
        <w:separator/>
      </w:r>
    </w:p>
  </w:endnote>
  <w:endnote w:type="continuationSeparator" w:id="0">
    <w:p w14:paraId="1829979A" w14:textId="77777777" w:rsidR="00190950" w:rsidRDefault="00190950" w:rsidP="00D2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1096C" w14:textId="616E1E3B" w:rsidR="00F42228" w:rsidRDefault="00F42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8AB0AC" wp14:editId="7AB665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581728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14B5" w14:textId="0F142B04" w:rsidR="00F42228" w:rsidRPr="00F42228" w:rsidRDefault="00F42228" w:rsidP="00F422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22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B0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D114B5" w14:textId="0F142B04" w:rsidR="00F42228" w:rsidRPr="00F42228" w:rsidRDefault="00F42228" w:rsidP="00F422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22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BC1E" w14:textId="35973A3C" w:rsidR="00F42228" w:rsidRDefault="00F42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A1EA2A" wp14:editId="2D0146BD">
              <wp:simplePos x="1144921" y="992008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184011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5534" w14:textId="5ACA855B" w:rsidR="00F42228" w:rsidRPr="00F42228" w:rsidRDefault="00F42228" w:rsidP="00F422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22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1EA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D4D5534" w14:textId="5ACA855B" w:rsidR="00F42228" w:rsidRPr="00F42228" w:rsidRDefault="00F42228" w:rsidP="00F422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22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E163" w14:textId="618D7FB0" w:rsidR="00F42228" w:rsidRDefault="00F422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686579" wp14:editId="1DEE92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550181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BDB01" w14:textId="641DB4F7" w:rsidR="00F42228" w:rsidRPr="00F42228" w:rsidRDefault="00F42228" w:rsidP="00F4222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22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865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74BDB01" w14:textId="641DB4F7" w:rsidR="00F42228" w:rsidRPr="00F42228" w:rsidRDefault="00F42228" w:rsidP="00F4222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22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AC1F2" w14:textId="77777777" w:rsidR="00190950" w:rsidRDefault="00190950" w:rsidP="00D210E8">
      <w:r>
        <w:separator/>
      </w:r>
    </w:p>
  </w:footnote>
  <w:footnote w:type="continuationSeparator" w:id="0">
    <w:p w14:paraId="18E2B621" w14:textId="77777777" w:rsidR="00190950" w:rsidRDefault="00190950" w:rsidP="00D2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294B53"/>
    <w:rsid w:val="00022280"/>
    <w:rsid w:val="000250AF"/>
    <w:rsid w:val="00056B93"/>
    <w:rsid w:val="000D5FAC"/>
    <w:rsid w:val="000E68F0"/>
    <w:rsid w:val="0010549F"/>
    <w:rsid w:val="00116DF7"/>
    <w:rsid w:val="00190950"/>
    <w:rsid w:val="001C2E51"/>
    <w:rsid w:val="00242979"/>
    <w:rsid w:val="00294B53"/>
    <w:rsid w:val="00347B0A"/>
    <w:rsid w:val="00391861"/>
    <w:rsid w:val="003B4ED1"/>
    <w:rsid w:val="003B67D3"/>
    <w:rsid w:val="003E64D6"/>
    <w:rsid w:val="00420065"/>
    <w:rsid w:val="00426528"/>
    <w:rsid w:val="004D4904"/>
    <w:rsid w:val="005056F5"/>
    <w:rsid w:val="00515E9D"/>
    <w:rsid w:val="005F731F"/>
    <w:rsid w:val="0062291D"/>
    <w:rsid w:val="006252AA"/>
    <w:rsid w:val="006846B8"/>
    <w:rsid w:val="006A7521"/>
    <w:rsid w:val="006B3B42"/>
    <w:rsid w:val="006E4C2B"/>
    <w:rsid w:val="006F22A9"/>
    <w:rsid w:val="0072089D"/>
    <w:rsid w:val="007324B3"/>
    <w:rsid w:val="007D54FA"/>
    <w:rsid w:val="007E50C4"/>
    <w:rsid w:val="00846DE5"/>
    <w:rsid w:val="00871059"/>
    <w:rsid w:val="00880B7D"/>
    <w:rsid w:val="009520C8"/>
    <w:rsid w:val="0096545F"/>
    <w:rsid w:val="00A05BC5"/>
    <w:rsid w:val="00A86EBA"/>
    <w:rsid w:val="00AD3210"/>
    <w:rsid w:val="00AF1BFB"/>
    <w:rsid w:val="00B73C7F"/>
    <w:rsid w:val="00BC3A83"/>
    <w:rsid w:val="00C87EDE"/>
    <w:rsid w:val="00D06681"/>
    <w:rsid w:val="00D210E8"/>
    <w:rsid w:val="00D23F6D"/>
    <w:rsid w:val="00D2405F"/>
    <w:rsid w:val="00D37F2B"/>
    <w:rsid w:val="00D571F7"/>
    <w:rsid w:val="00DA3927"/>
    <w:rsid w:val="00E376B9"/>
    <w:rsid w:val="00E76E90"/>
    <w:rsid w:val="00F42228"/>
    <w:rsid w:val="00FC611A"/>
    <w:rsid w:val="00FC7C8B"/>
    <w:rsid w:val="01B45647"/>
    <w:rsid w:val="023A153F"/>
    <w:rsid w:val="02852076"/>
    <w:rsid w:val="114258BB"/>
    <w:rsid w:val="1A845156"/>
    <w:rsid w:val="1F685B2E"/>
    <w:rsid w:val="32C973C3"/>
    <w:rsid w:val="3B691AE1"/>
    <w:rsid w:val="49004F63"/>
    <w:rsid w:val="49EA6C69"/>
    <w:rsid w:val="4B1150D3"/>
    <w:rsid w:val="73B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2CDFD"/>
  <w15:docId w15:val="{629BD8D7-2C43-4CAA-9FDD-629D4250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character" w:styleId="Strong">
    <w:name w:val="Strong"/>
    <w:basedOn w:val="DefaultParagraphFont"/>
    <w:qFormat/>
    <w:rPr>
      <w:b/>
    </w:rPr>
  </w:style>
  <w:style w:type="paragraph" w:styleId="Header">
    <w:name w:val="header"/>
    <w:basedOn w:val="Normal"/>
    <w:link w:val="HeaderChar"/>
    <w:rsid w:val="00D210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210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D2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210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Olliver, Tania</cp:lastModifiedBy>
  <cp:revision>2</cp:revision>
  <dcterms:created xsi:type="dcterms:W3CDTF">2024-10-17T03:40:00Z</dcterms:created>
  <dcterms:modified xsi:type="dcterms:W3CDTF">2024-10-17T03:40:00Z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B53B2CA22D654C069051DB92AA8F8D04_13</vt:lpwstr>
  </property>
  <property fmtid="{D5CDD505-2E9C-101B-9397-08002B2CF9AE}" pid="4" name="ClassificationContentMarkingFooterShapeIds">
    <vt:lpwstr>56b9d086,450850ce,525d34f7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2024-10-17T03:40:10Z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08361c22-11cd-4143-91d1-002a88ed198e</vt:lpwstr>
  </property>
  <property fmtid="{D5CDD505-2E9C-101B-9397-08002B2CF9AE}" pid="13" name="MSIP_Label_2bbab825-a111-45e4-86a1-18cee0005896_ContentBits">
    <vt:lpwstr>2</vt:lpwstr>
  </property>
</Properties>
</file>