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522C1" w14:textId="77777777" w:rsidR="00A83233" w:rsidRDefault="00000000">
      <w:pPr>
        <w:spacing w:line="480" w:lineRule="auto"/>
        <w:rPr>
          <w:rFonts w:ascii="Arial" w:eastAsia="宋体" w:hAnsi="Arial" w:cs="Arial"/>
          <w:b/>
          <w:bCs/>
          <w:sz w:val="28"/>
          <w:szCs w:val="40"/>
          <w14:ligatures w14:val="none"/>
        </w:rPr>
      </w:pPr>
      <w:bookmarkStart w:id="0" w:name="OLE_LINK258"/>
      <w:r>
        <w:rPr>
          <w:rFonts w:ascii="Arial" w:eastAsia="宋体" w:hAnsi="Arial" w:cs="Arial"/>
          <w:b/>
          <w:bCs/>
          <w:sz w:val="28"/>
          <w:szCs w:val="40"/>
          <w14:ligatures w14:val="none"/>
        </w:rPr>
        <w:t>Graphene Oxide Quantum Dots-Preactivated Dental Pulp Stem Cells/GelMA Facilitates Mitophagy-Driven Bone Regeneration</w:t>
      </w:r>
    </w:p>
    <w:p w14:paraId="09C326ED" w14:textId="77777777" w:rsidR="00A83233" w:rsidRDefault="00A83233">
      <w:pPr>
        <w:spacing w:line="480" w:lineRule="auto"/>
        <w:rPr>
          <w:rFonts w:ascii="Arial" w:eastAsia="宋体" w:hAnsi="Arial" w:cs="Arial"/>
          <w:sz w:val="20"/>
          <w:szCs w:val="24"/>
          <w14:ligatures w14:val="none"/>
        </w:rPr>
      </w:pPr>
    </w:p>
    <w:p w14:paraId="1EB8F94A" w14:textId="2B997D5D" w:rsidR="00A83233" w:rsidRDefault="00000000">
      <w:pPr>
        <w:spacing w:line="480" w:lineRule="auto"/>
        <w:rPr>
          <w:rFonts w:ascii="Arial" w:eastAsia="宋体" w:hAnsi="Arial" w:cs="Arial"/>
          <w:sz w:val="20"/>
          <w:szCs w:val="24"/>
          <w14:ligatures w14:val="none"/>
        </w:rPr>
      </w:pPr>
      <w:bookmarkStart w:id="1" w:name="_Hlk166907158"/>
      <w:bookmarkEnd w:id="0"/>
      <w:r>
        <w:rPr>
          <w:rFonts w:ascii="Arial" w:eastAsia="宋体" w:hAnsi="Arial" w:cs="Arial"/>
          <w:sz w:val="24"/>
          <w:szCs w:val="36"/>
          <w14:ligatures w14:val="none"/>
        </w:rPr>
        <w:t>Xiaoyuan Yan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14:ligatures w14:val="none"/>
        </w:rPr>
        <w:t>, Na An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2</w:t>
      </w:r>
      <w:r>
        <w:rPr>
          <w:rFonts w:ascii="Arial" w:eastAsia="宋体" w:hAnsi="Arial" w:cs="Arial"/>
          <w:sz w:val="24"/>
          <w:szCs w:val="36"/>
          <w14:ligatures w14:val="none"/>
        </w:rPr>
        <w:t>, Zeying Zhang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14:ligatures w14:val="none"/>
        </w:rPr>
        <w:t>, Qiujing Qiu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14:ligatures w14:val="none"/>
        </w:rPr>
        <w:t>, Di Yang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14:ligatures w14:val="none"/>
        </w:rPr>
        <w:t>, Penggong Wei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14:ligatures w14:val="none"/>
        </w:rPr>
        <w:t>, Xiyue Zhang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14:ligatures w14:val="none"/>
        </w:rPr>
        <w:t>, Lihong Qiu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:vertAlign w:val="superscript"/>
          <w14:ligatures w14:val="none"/>
        </w:rPr>
        <w:t>, *</w:t>
      </w:r>
      <w:r>
        <w:rPr>
          <w:rFonts w:ascii="Arial" w:eastAsia="宋体" w:hAnsi="Arial" w:cs="Arial"/>
          <w:sz w:val="24"/>
          <w:szCs w:val="36"/>
          <w14:ligatures w14:val="none"/>
        </w:rPr>
        <w:t>, Jiajie Guo</w:t>
      </w:r>
      <w:r w:rsidR="00532DC0"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>
        <w:rPr>
          <w:rFonts w:ascii="Arial" w:eastAsia="宋体" w:hAnsi="Arial" w:cs="Arial"/>
          <w:sz w:val="24"/>
          <w:szCs w:val="36"/>
          <w:vertAlign w:val="superscript"/>
          <w14:ligatures w14:val="none"/>
        </w:rPr>
        <w:t>, *</w:t>
      </w:r>
    </w:p>
    <w:p w14:paraId="39403F49" w14:textId="77777777" w:rsidR="00A83233" w:rsidRDefault="00A83233">
      <w:pPr>
        <w:spacing w:line="480" w:lineRule="auto"/>
        <w:rPr>
          <w:rFonts w:ascii="Arial" w:eastAsia="宋体" w:hAnsi="Arial" w:cs="Arial"/>
          <w:sz w:val="20"/>
          <w:szCs w:val="24"/>
          <w14:ligatures w14:val="none"/>
        </w:rPr>
      </w:pPr>
    </w:p>
    <w:p w14:paraId="70C89E38" w14:textId="66C91064" w:rsidR="00A83233" w:rsidRDefault="00532DC0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  <w:r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1</w:t>
      </w:r>
      <w:r w:rsidR="00000000">
        <w:rPr>
          <w:rFonts w:ascii="Arial" w:eastAsia="宋体" w:hAnsi="Arial" w:cs="Arial"/>
          <w:sz w:val="24"/>
          <w:szCs w:val="36"/>
          <w:vertAlign w:val="superscript"/>
          <w14:ligatures w14:val="none"/>
        </w:rPr>
        <w:t xml:space="preserve"> </w:t>
      </w:r>
      <w:r w:rsidR="00000000">
        <w:rPr>
          <w:rFonts w:ascii="Arial" w:eastAsia="宋体" w:hAnsi="Arial" w:cs="Arial"/>
          <w:sz w:val="24"/>
          <w:szCs w:val="36"/>
          <w14:ligatures w14:val="none"/>
        </w:rPr>
        <w:t>Department of Endodontics, School and Hospital of Stomatology, China Medical University, Liaoning Provincial Key Laboratory of Oral Diseases, Shenyang 110002, China</w:t>
      </w:r>
    </w:p>
    <w:p w14:paraId="5B6ACE37" w14:textId="1A48291F" w:rsidR="00A83233" w:rsidRDefault="00532DC0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  <w:r>
        <w:rPr>
          <w:rFonts w:ascii="Arial" w:eastAsia="等线" w:hAnsi="Arial" w:cs="Arial" w:hint="eastAsia"/>
          <w:sz w:val="24"/>
          <w:szCs w:val="36"/>
          <w:vertAlign w:val="superscript"/>
          <w14:ligatures w14:val="none"/>
        </w:rPr>
        <w:t>2</w:t>
      </w:r>
      <w:r w:rsidR="00000000">
        <w:rPr>
          <w:rFonts w:ascii="Arial" w:eastAsia="宋体" w:hAnsi="Arial" w:cs="Arial"/>
          <w:sz w:val="24"/>
          <w:szCs w:val="36"/>
          <w:vertAlign w:val="superscript"/>
          <w14:ligatures w14:val="none"/>
        </w:rPr>
        <w:t xml:space="preserve"> </w:t>
      </w:r>
      <w:r w:rsidR="00000000">
        <w:rPr>
          <w:rFonts w:ascii="Arial" w:eastAsia="宋体" w:hAnsi="Arial" w:cs="Arial"/>
          <w:sz w:val="24"/>
          <w:szCs w:val="36"/>
          <w14:ligatures w14:val="none"/>
        </w:rPr>
        <w:t>Department of Orthodontics, School and Hospital of Stomatology, China Medical University, Liaoning Provincial Key Laboratory of Oral Diseases, Shenyang 110002, China</w:t>
      </w:r>
      <w:bookmarkEnd w:id="1"/>
    </w:p>
    <w:p w14:paraId="2B760832" w14:textId="77777777" w:rsidR="00A83233" w:rsidRDefault="00A83233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</w:p>
    <w:p w14:paraId="6A253570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  <w:r>
        <w:rPr>
          <w:rFonts w:ascii="Arial" w:eastAsia="宋体" w:hAnsi="Arial" w:cs="Arial"/>
          <w:sz w:val="24"/>
          <w:szCs w:val="36"/>
          <w14:ligatures w14:val="none"/>
        </w:rPr>
        <w:t>*Correspondence to:</w:t>
      </w:r>
    </w:p>
    <w:p w14:paraId="307FEA45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  <w:r>
        <w:rPr>
          <w:rFonts w:ascii="Arial" w:eastAsia="宋体" w:hAnsi="Arial" w:cs="Arial"/>
          <w:sz w:val="24"/>
          <w:szCs w:val="36"/>
          <w14:ligatures w14:val="none"/>
        </w:rPr>
        <w:t>Professor Lihong Qiu, DDS, PhD</w:t>
      </w:r>
    </w:p>
    <w:p w14:paraId="364B3814" w14:textId="77777777" w:rsidR="00A83233" w:rsidRDefault="00000000">
      <w:pPr>
        <w:spacing w:line="480" w:lineRule="auto"/>
        <w:rPr>
          <w:rFonts w:ascii="Arial" w:eastAsia="宋体" w:hAnsi="Arial" w:cs="Arial"/>
          <w:sz w:val="20"/>
          <w:szCs w:val="24"/>
          <w14:ligatures w14:val="none"/>
        </w:rPr>
      </w:pPr>
      <w:r>
        <w:rPr>
          <w:rFonts w:ascii="Arial" w:eastAsia="宋体" w:hAnsi="Arial" w:cs="Arial"/>
          <w:sz w:val="24"/>
          <w:szCs w:val="36"/>
          <w14:ligatures w14:val="none"/>
        </w:rPr>
        <w:t>Department of Endodontics, School and Hospital of Stomatology, China Medical University, Liaoning Provincial Key Laboratory of Oral Diseases, Shenyang 110002, China.</w:t>
      </w:r>
    </w:p>
    <w:p w14:paraId="40EAD7D3" w14:textId="00227F22" w:rsidR="00532DC0" w:rsidRDefault="00532DC0">
      <w:pPr>
        <w:spacing w:line="480" w:lineRule="auto"/>
        <w:rPr>
          <w:rFonts w:ascii="Arial" w:eastAsia="宋体" w:hAnsi="Arial" w:cs="Arial"/>
          <w:sz w:val="24"/>
          <w:szCs w:val="24"/>
          <w14:ligatures w14:val="none"/>
        </w:rPr>
      </w:pPr>
      <w:r w:rsidRPr="00532DC0">
        <w:rPr>
          <w:rFonts w:ascii="Arial" w:eastAsia="宋体" w:hAnsi="Arial" w:cs="Arial"/>
          <w:sz w:val="24"/>
          <w:szCs w:val="24"/>
          <w14:ligatures w14:val="none"/>
        </w:rPr>
        <w:t>No. 117 Nanjing North Street, Heping District, Shenyang, Liaoning Province, China</w:t>
      </w:r>
    </w:p>
    <w:p w14:paraId="7EB31707" w14:textId="193C7F42" w:rsidR="00A83233" w:rsidRDefault="00000000">
      <w:pPr>
        <w:spacing w:line="480" w:lineRule="auto"/>
        <w:rPr>
          <w:rFonts w:ascii="Arial" w:eastAsia="等线" w:hAnsi="Arial" w:cs="Arial"/>
          <w:sz w:val="24"/>
          <w:szCs w:val="24"/>
          <w14:ligatures w14:val="none"/>
        </w:rPr>
      </w:pPr>
      <w:r>
        <w:rPr>
          <w:rFonts w:ascii="Arial" w:eastAsia="宋体" w:hAnsi="Arial" w:cs="Arial"/>
          <w:sz w:val="24"/>
          <w:szCs w:val="24"/>
          <w14:ligatures w14:val="none"/>
        </w:rPr>
        <w:t xml:space="preserve">Email: </w:t>
      </w:r>
      <w:hyperlink r:id="rId7" w:history="1">
        <w:r>
          <w:rPr>
            <w:rFonts w:ascii="Arial" w:eastAsia="宋体" w:hAnsi="Arial" w:cs="Arial"/>
            <w:color w:val="0563C1"/>
            <w:sz w:val="24"/>
            <w:szCs w:val="24"/>
            <w:u w:val="single"/>
            <w14:ligatures w14:val="none"/>
          </w:rPr>
          <w:t>lhqiu@cmu.edu.cn</w:t>
        </w:r>
      </w:hyperlink>
    </w:p>
    <w:p w14:paraId="3787577D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  <w:r>
        <w:rPr>
          <w:rFonts w:ascii="Arial" w:eastAsia="宋体" w:hAnsi="Arial" w:cs="Arial"/>
          <w:sz w:val="24"/>
          <w:szCs w:val="36"/>
          <w14:ligatures w14:val="none"/>
        </w:rPr>
        <w:t>and</w:t>
      </w:r>
    </w:p>
    <w:p w14:paraId="5E341845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36"/>
          <w14:ligatures w14:val="none"/>
        </w:rPr>
      </w:pPr>
      <w:r>
        <w:rPr>
          <w:rFonts w:ascii="Arial" w:eastAsia="宋体" w:hAnsi="Arial" w:cs="Arial"/>
          <w:sz w:val="24"/>
          <w:szCs w:val="36"/>
          <w14:ligatures w14:val="none"/>
        </w:rPr>
        <w:lastRenderedPageBreak/>
        <w:t>Professor Jiajie Guo, DDS, PhD</w:t>
      </w:r>
    </w:p>
    <w:p w14:paraId="0F94024F" w14:textId="77777777" w:rsidR="00A83233" w:rsidRDefault="00000000">
      <w:pPr>
        <w:spacing w:line="480" w:lineRule="auto"/>
        <w:rPr>
          <w:rFonts w:ascii="Arial" w:eastAsia="宋体" w:hAnsi="Arial" w:cs="Arial"/>
          <w:sz w:val="20"/>
          <w:szCs w:val="24"/>
          <w14:ligatures w14:val="none"/>
        </w:rPr>
      </w:pPr>
      <w:r>
        <w:rPr>
          <w:rFonts w:ascii="Arial" w:eastAsia="宋体" w:hAnsi="Arial" w:cs="Arial"/>
          <w:sz w:val="24"/>
          <w:szCs w:val="36"/>
          <w14:ligatures w14:val="none"/>
        </w:rPr>
        <w:t>Department of Endodontics, School and Hospital of Stomatology, China Medical University, Liaoning Provincial Key Laboratory of Oral Diseases, Shenyang 110002, China.</w:t>
      </w:r>
    </w:p>
    <w:p w14:paraId="2D5D6A07" w14:textId="5D525DF1" w:rsidR="00532DC0" w:rsidRDefault="00532DC0">
      <w:pPr>
        <w:spacing w:line="480" w:lineRule="auto"/>
        <w:rPr>
          <w:rFonts w:ascii="Arial" w:eastAsia="宋体" w:hAnsi="Arial" w:cs="Arial"/>
          <w:sz w:val="24"/>
          <w:szCs w:val="24"/>
          <w14:ligatures w14:val="none"/>
        </w:rPr>
      </w:pPr>
      <w:r w:rsidRPr="00532DC0">
        <w:rPr>
          <w:rFonts w:ascii="Arial" w:eastAsia="宋体" w:hAnsi="Arial" w:cs="Arial"/>
          <w:sz w:val="24"/>
          <w:szCs w:val="24"/>
          <w14:ligatures w14:val="none"/>
        </w:rPr>
        <w:t>No. 117 Nanjing North Street, Heping District, Shenyang, Liaoning Province, China</w:t>
      </w:r>
    </w:p>
    <w:p w14:paraId="3C29521D" w14:textId="052D13CE" w:rsidR="00A83233" w:rsidRDefault="00000000">
      <w:pPr>
        <w:spacing w:line="480" w:lineRule="auto"/>
        <w:rPr>
          <w:rFonts w:ascii="Arial" w:eastAsia="等线" w:hAnsi="Arial" w:cs="Arial"/>
          <w:sz w:val="24"/>
          <w:szCs w:val="24"/>
          <w14:ligatures w14:val="none"/>
        </w:rPr>
      </w:pPr>
      <w:r>
        <w:rPr>
          <w:rFonts w:ascii="Arial" w:eastAsia="宋体" w:hAnsi="Arial" w:cs="Arial"/>
          <w:sz w:val="24"/>
          <w:szCs w:val="24"/>
          <w14:ligatures w14:val="none"/>
        </w:rPr>
        <w:t xml:space="preserve">Email: </w:t>
      </w:r>
      <w:hyperlink r:id="rId8" w:history="1">
        <w:r>
          <w:rPr>
            <w:rFonts w:ascii="Arial" w:eastAsia="宋体" w:hAnsi="Arial" w:cs="Arial"/>
            <w:color w:val="0563C1"/>
            <w:sz w:val="24"/>
            <w:szCs w:val="24"/>
            <w:u w:val="single"/>
            <w14:ligatures w14:val="none"/>
          </w:rPr>
          <w:t>guojiajie@cmu.edu.cn</w:t>
        </w:r>
      </w:hyperlink>
    </w:p>
    <w:p w14:paraId="183FEBF8" w14:textId="77777777" w:rsidR="00A83233" w:rsidRDefault="00000000">
      <w:pPr>
        <w:spacing w:line="480" w:lineRule="auto"/>
        <w:rPr>
          <w:rFonts w:ascii="Arial" w:eastAsia="黑体" w:hAnsi="Arial" w:cs="Arial"/>
          <w:sz w:val="20"/>
          <w:szCs w:val="24"/>
          <w14:ligatures w14:val="none"/>
        </w:rPr>
      </w:pPr>
      <w:r>
        <w:rPr>
          <w:rFonts w:ascii="Arial" w:eastAsia="宋体" w:hAnsi="Arial" w:cs="Arial"/>
          <w:sz w:val="20"/>
          <w:szCs w:val="24"/>
          <w14:ligatures w14:val="none"/>
        </w:rPr>
        <w:br w:type="page"/>
      </w:r>
    </w:p>
    <w:p w14:paraId="674C3CDE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24"/>
          <w14:ligatures w14:val="none"/>
        </w:rPr>
      </w:pPr>
      <w:r>
        <w:rPr>
          <w:rFonts w:ascii="Arial" w:eastAsia="等线" w:hAnsi="Arial" w:cs="Arial"/>
          <w:noProof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47B6BD51" wp14:editId="4889958E">
            <wp:simplePos x="0" y="0"/>
            <wp:positionH relativeFrom="column">
              <wp:posOffset>1457325</wp:posOffset>
            </wp:positionH>
            <wp:positionV relativeFrom="paragraph">
              <wp:posOffset>64770</wp:posOffset>
            </wp:positionV>
            <wp:extent cx="2498725" cy="3163570"/>
            <wp:effectExtent l="0" t="0" r="6350" b="8255"/>
            <wp:wrapTopAndBottom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OLE_LINK263"/>
      <w:r>
        <w:rPr>
          <w:rFonts w:ascii="Arial" w:eastAsia="宋体" w:hAnsi="Arial" w:cs="Arial"/>
          <w:b/>
          <w:sz w:val="24"/>
          <w:szCs w:val="24"/>
          <w14:ligatures w14:val="none"/>
        </w:rPr>
        <w:t>Figure S1</w:t>
      </w:r>
      <w:bookmarkEnd w:id="2"/>
      <w:r>
        <w:rPr>
          <w:rFonts w:ascii="Arial" w:eastAsia="宋体" w:hAnsi="Arial" w:cs="Arial"/>
          <w:b/>
          <w:sz w:val="24"/>
          <w:szCs w:val="24"/>
          <w14:ligatures w14:val="none"/>
        </w:rPr>
        <w:t>.</w:t>
      </w:r>
      <w:r>
        <w:rPr>
          <w:rFonts w:ascii="Arial" w:eastAsia="宋体" w:hAnsi="Arial" w:cs="Arial"/>
          <w:sz w:val="24"/>
          <w:szCs w:val="24"/>
          <w14:ligatures w14:val="none"/>
        </w:rPr>
        <w:t xml:space="preserve"> Dispersibility and fluorescence of GOQDs aqueous solution. 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Digital photographs of GOQDs aqueous solution (50 μg/mL) under (</w:t>
      </w:r>
      <w:r>
        <w:rPr>
          <w:rFonts w:ascii="Arial" w:eastAsia="宋体" w:hAnsi="Arial" w:cs="Arial"/>
          <w:b/>
          <w:bCs/>
          <w:sz w:val="24"/>
          <w:szCs w:val="24"/>
          <w:highlight w:val="yellow"/>
          <w14:ligatures w14:val="none"/>
        </w:rPr>
        <w:t>A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) 405</w:t>
      </w:r>
      <w:r>
        <w:rPr>
          <w:rFonts w:ascii="Arial" w:eastAsia="宋体" w:hAnsi="Arial" w:cs="Arial" w:hint="eastAsia"/>
          <w:sz w:val="24"/>
          <w:szCs w:val="24"/>
          <w:highlight w:val="yellow"/>
          <w14:ligatures w14:val="none"/>
        </w:rPr>
        <w:t>-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nm UV light and (</w:t>
      </w:r>
      <w:r>
        <w:rPr>
          <w:rFonts w:ascii="Arial" w:eastAsia="宋体" w:hAnsi="Arial" w:cs="Arial"/>
          <w:b/>
          <w:bCs/>
          <w:sz w:val="24"/>
          <w:szCs w:val="24"/>
          <w:highlight w:val="yellow"/>
          <w14:ligatures w14:val="none"/>
        </w:rPr>
        <w:t>B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) daylight with deionized water as the control group.</w:t>
      </w:r>
    </w:p>
    <w:p w14:paraId="72C7FE31" w14:textId="77777777" w:rsidR="00A83233" w:rsidRDefault="00000000">
      <w:pPr>
        <w:rPr>
          <w:rFonts w:ascii="Arial" w:eastAsia="宋体" w:hAnsi="Arial" w:cs="Arial"/>
          <w:sz w:val="24"/>
          <w:szCs w:val="24"/>
          <w14:ligatures w14:val="none"/>
        </w:rPr>
      </w:pPr>
      <w:r>
        <w:rPr>
          <w:rFonts w:ascii="Arial" w:eastAsia="宋体" w:hAnsi="Arial" w:cs="Arial"/>
          <w:sz w:val="24"/>
          <w:szCs w:val="24"/>
          <w14:ligatures w14:val="none"/>
        </w:rPr>
        <w:br w:type="page"/>
      </w:r>
    </w:p>
    <w:p w14:paraId="7D6F8D11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24"/>
          <w14:ligatures w14:val="none"/>
        </w:rPr>
      </w:pPr>
      <w:r>
        <w:rPr>
          <w:rFonts w:ascii="Arial" w:eastAsia="宋体" w:hAnsi="Arial" w:cs="Arial"/>
          <w:b/>
          <w:bCs/>
          <w:sz w:val="24"/>
          <w:szCs w:val="24"/>
          <w:highlight w:val="yellow"/>
          <w14:ligatures w14:val="none"/>
        </w:rPr>
        <w:lastRenderedPageBreak/>
        <w:t>Figure S2.</w:t>
      </w:r>
      <w:r>
        <w:rPr>
          <w:rFonts w:ascii="Arial" w:eastAsia="宋体" w:hAnsi="Arial" w:cs="Arial"/>
          <w:noProof/>
          <w:sz w:val="24"/>
          <w:szCs w:val="24"/>
          <w:highlight w:val="yellow"/>
          <w14:ligatures w14:val="none"/>
        </w:rPr>
        <w:drawing>
          <wp:anchor distT="0" distB="0" distL="114300" distR="114300" simplePos="0" relativeHeight="251660288" behindDoc="0" locked="0" layoutInCell="1" allowOverlap="1" wp14:anchorId="613B4D37" wp14:editId="3B0E0EA6">
            <wp:simplePos x="0" y="0"/>
            <wp:positionH relativeFrom="column">
              <wp:posOffset>24130</wp:posOffset>
            </wp:positionH>
            <wp:positionV relativeFrom="paragraph">
              <wp:posOffset>180975</wp:posOffset>
            </wp:positionV>
            <wp:extent cx="5230495" cy="2496185"/>
            <wp:effectExtent l="0" t="0" r="8255" b="8890"/>
            <wp:wrapTopAndBottom/>
            <wp:docPr id="2" name="图片 2" descr="染前照片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染前照片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 xml:space="preserve"> </w:t>
      </w:r>
      <w:r>
        <w:rPr>
          <w:rFonts w:ascii="Arial" w:eastAsia="宋体" w:hAnsi="Arial" w:cs="Arial" w:hint="eastAsia"/>
          <w:sz w:val="24"/>
          <w:szCs w:val="24"/>
          <w:highlight w:val="yellow"/>
          <w14:ligatures w14:val="none"/>
        </w:rPr>
        <w:t>I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mages of DPSCs treated with different concentrations of GOQDs for 7 days taken with a microscope (</w:t>
      </w:r>
      <w:r>
        <w:rPr>
          <w:rFonts w:ascii="Arial" w:eastAsia="宋体" w:hAnsi="Arial" w:cs="Arial" w:hint="eastAsia"/>
          <w:sz w:val="24"/>
          <w:szCs w:val="24"/>
          <w:highlight w:val="yellow"/>
          <w14:ligatures w14:val="none"/>
        </w:rPr>
        <w:t>scale bar of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 xml:space="preserve"> the</w:t>
      </w:r>
      <w:r>
        <w:rPr>
          <w:rFonts w:ascii="Arial" w:eastAsia="宋体" w:hAnsi="Arial" w:cs="Arial" w:hint="eastAsia"/>
          <w:sz w:val="24"/>
          <w:szCs w:val="24"/>
          <w:highlight w:val="yellow"/>
          <w14:ligatures w14:val="none"/>
        </w:rPr>
        <w:t xml:space="preserve"> u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pper panel</w:t>
      </w:r>
      <w:r>
        <w:rPr>
          <w:rFonts w:ascii="Arial" w:eastAsia="宋体" w:hAnsi="Arial" w:cs="Arial" w:hint="eastAsia"/>
          <w:sz w:val="24"/>
          <w:szCs w:val="24"/>
          <w:highlight w:val="yellow"/>
          <w14:ligatures w14:val="none"/>
        </w:rPr>
        <w:t xml:space="preserve"> = 500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 xml:space="preserve"> </w:t>
      </w:r>
      <w:r>
        <w:rPr>
          <w:rFonts w:ascii="Arial" w:eastAsia="宋体" w:hAnsi="Arial" w:cs="Arial"/>
          <w:sz w:val="24"/>
          <w:szCs w:val="24"/>
          <w:highlight w:val="yellow"/>
          <w:lang w:val="el-GR"/>
          <w14:ligatures w14:val="none"/>
        </w:rPr>
        <w:t>μ</w:t>
      </w:r>
      <w:r>
        <w:rPr>
          <w:rFonts w:ascii="Arial" w:eastAsia="宋体" w:hAnsi="Arial" w:cs="Arial" w:hint="eastAsia"/>
          <w:sz w:val="24"/>
          <w:szCs w:val="24"/>
          <w:highlight w:val="yellow"/>
          <w14:ligatures w14:val="none"/>
        </w:rPr>
        <w:t>m</w:t>
      </w:r>
      <w:r>
        <w:rPr>
          <w:rFonts w:ascii="Arial" w:eastAsia="宋体" w:hAnsi="Arial" w:cs="Arial"/>
          <w:sz w:val="24"/>
          <w:szCs w:val="24"/>
          <w:highlight w:val="yellow"/>
          <w14:ligatures w14:val="none"/>
        </w:rPr>
        <w:t>; scale bar of the lower panel = 200 μm).</w:t>
      </w:r>
      <w:r>
        <w:rPr>
          <w:rFonts w:ascii="Arial" w:eastAsia="宋体" w:hAnsi="Arial" w:cs="Arial"/>
          <w:sz w:val="24"/>
          <w:szCs w:val="24"/>
          <w14:ligatures w14:val="none"/>
        </w:rPr>
        <w:br w:type="page"/>
      </w:r>
    </w:p>
    <w:p w14:paraId="3B83BB57" w14:textId="77777777" w:rsidR="00A83233" w:rsidRDefault="00000000">
      <w:pPr>
        <w:spacing w:line="480" w:lineRule="auto"/>
        <w:rPr>
          <w:rFonts w:ascii="Arial" w:eastAsia="宋体" w:hAnsi="Arial" w:cs="Arial"/>
          <w:sz w:val="24"/>
          <w:szCs w:val="24"/>
          <w14:ligatures w14:val="none"/>
        </w:rPr>
      </w:pPr>
      <w:r>
        <w:rPr>
          <w:rFonts w:ascii="Arial" w:eastAsia="宋体" w:hAnsi="Arial" w:cs="Arial"/>
          <w:noProof/>
          <w:sz w:val="24"/>
          <w:szCs w:val="24"/>
          <w:highlight w:val="yellow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2554BDB7" wp14:editId="3EFECCEE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2406650" cy="2328545"/>
            <wp:effectExtent l="0" t="0" r="0" b="0"/>
            <wp:wrapTopAndBottom/>
            <wp:docPr id="679357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5753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宋体" w:hAnsi="Arial" w:cs="Arial"/>
          <w:b/>
          <w:sz w:val="24"/>
          <w:szCs w:val="24"/>
          <w:highlight w:val="yellow"/>
          <w14:ligatures w14:val="none"/>
        </w:rPr>
        <w:t>Figure S3</w:t>
      </w:r>
      <w:r>
        <w:rPr>
          <w:rFonts w:ascii="Arial" w:eastAsia="宋体" w:hAnsi="Arial" w:cs="Arial"/>
          <w:b/>
          <w:sz w:val="24"/>
          <w:szCs w:val="24"/>
          <w14:ligatures w14:val="none"/>
        </w:rPr>
        <w:t>.</w:t>
      </w:r>
      <w:r>
        <w:rPr>
          <w:rFonts w:ascii="Arial" w:eastAsia="宋体" w:hAnsi="Arial" w:cs="Arial"/>
          <w:sz w:val="24"/>
          <w:szCs w:val="24"/>
          <w14:ligatures w14:val="none"/>
        </w:rPr>
        <w:t xml:space="preserve"> Creation of the calvarial bone defect in a rat (diameter = 5 mm).</w:t>
      </w:r>
    </w:p>
    <w:sectPr w:rsidR="00A83233">
      <w:footerReference w:type="default" r:id="rId12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AA6EB" w14:textId="77777777" w:rsidR="00216869" w:rsidRDefault="00216869">
      <w:pPr>
        <w:rPr>
          <w:rFonts w:hint="eastAsia"/>
        </w:rPr>
      </w:pPr>
      <w:r>
        <w:separator/>
      </w:r>
    </w:p>
  </w:endnote>
  <w:endnote w:type="continuationSeparator" w:id="0">
    <w:p w14:paraId="39F7A877" w14:textId="77777777" w:rsidR="00216869" w:rsidRDefault="0021686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E02C8" w14:textId="77777777" w:rsidR="00A83233" w:rsidRDefault="00000000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4F5077" wp14:editId="64CEB07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54606D" w14:textId="77777777" w:rsidR="00A83233" w:rsidRDefault="00000000">
                          <w:pPr>
                            <w:pStyle w:val="a3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>
                              <w:t>39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F507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6854606D" w14:textId="77777777" w:rsidR="00A83233" w:rsidRDefault="00000000">
                    <w:pPr>
                      <w:pStyle w:val="a3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>
                        <w:t>39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71BCC" w14:textId="77777777" w:rsidR="00216869" w:rsidRDefault="00216869">
      <w:pPr>
        <w:rPr>
          <w:rFonts w:hint="eastAsia"/>
        </w:rPr>
      </w:pPr>
      <w:r>
        <w:separator/>
      </w:r>
    </w:p>
  </w:footnote>
  <w:footnote w:type="continuationSeparator" w:id="0">
    <w:p w14:paraId="022E85EF" w14:textId="77777777" w:rsidR="00216869" w:rsidRDefault="0021686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M1MTY4NjA2YTg5YjY4MzdhNjJhZTY5YmU0NGUzN2YifQ=="/>
  </w:docVars>
  <w:rsids>
    <w:rsidRoot w:val="00571757"/>
    <w:rsid w:val="000607D8"/>
    <w:rsid w:val="00123E0C"/>
    <w:rsid w:val="00125D5F"/>
    <w:rsid w:val="00216869"/>
    <w:rsid w:val="00532DC0"/>
    <w:rsid w:val="00571757"/>
    <w:rsid w:val="00646A0E"/>
    <w:rsid w:val="00715CDB"/>
    <w:rsid w:val="009818FE"/>
    <w:rsid w:val="00A83233"/>
    <w:rsid w:val="00CA60C7"/>
    <w:rsid w:val="00F66E40"/>
    <w:rsid w:val="158E4113"/>
    <w:rsid w:val="1A51734C"/>
    <w:rsid w:val="1D5438CD"/>
    <w:rsid w:val="76D737BE"/>
    <w:rsid w:val="7C54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F6B19EA"/>
  <w14:defaultImageDpi w14:val="32767"/>
  <w15:docId w15:val="{51C5F8F7-409E-42A2-8383-C03FAD375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line number"/>
    <w:basedOn w:val="a0"/>
    <w:uiPriority w:val="99"/>
    <w:semiHidden/>
    <w:unhideWhenUsed/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2DC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32DC0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ojiajie@cmu.edu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hqiu@cmu.edu.c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Yan</dc:creator>
  <cp:lastModifiedBy>Sharon Yan</cp:lastModifiedBy>
  <cp:revision>3</cp:revision>
  <dcterms:created xsi:type="dcterms:W3CDTF">2024-05-26T07:49:00Z</dcterms:created>
  <dcterms:modified xsi:type="dcterms:W3CDTF">2024-09-21T14:21:00Z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2052-12.1.0.16364</vt:lpwstr>
  </property>
  <property fmtid="{D5CDD505-2E9C-101B-9397-08002B2CF9AE}" pid="3" name="ICV">
    <vt:lpwstr>C9065665B2AD4D6A92760059AE9BD5F5_13</vt:lpwstr>
  </property>
</Properties>
</file>