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F1EE5" w14:textId="31600806" w:rsidR="00695C94" w:rsidRPr="005D5DFF" w:rsidRDefault="00695C94" w:rsidP="00AA2D3D">
      <w:pPr>
        <w:pStyle w:val="ListParagraph"/>
        <w:overflowPunct w:val="0"/>
        <w:adjustRightInd w:val="0"/>
        <w:snapToGrid w:val="0"/>
        <w:spacing w:line="360" w:lineRule="auto"/>
        <w:ind w:firstLineChars="0" w:firstLine="0"/>
        <w:rPr>
          <w:b/>
          <w:bCs/>
          <w:color w:val="000000"/>
          <w:sz w:val="24"/>
          <w:lang w:bidi="ar"/>
        </w:rPr>
      </w:pPr>
      <w:r w:rsidRPr="005D5DFF">
        <w:rPr>
          <w:b/>
          <w:bCs/>
          <w:color w:val="000000"/>
          <w:sz w:val="24"/>
          <w:lang w:bidi="ar"/>
        </w:rPr>
        <w:t>Supplementary Figure 1. Study design and procedures of animal experiments.</w:t>
      </w:r>
      <w:r w:rsidRPr="005D5DFF">
        <w:rPr>
          <w:color w:val="000000"/>
        </w:rPr>
        <w:drawing>
          <wp:inline distT="0" distB="0" distL="0" distR="0" wp14:anchorId="3B70EFD2" wp14:editId="428CF70B">
            <wp:extent cx="5274310" cy="1945005"/>
            <wp:effectExtent l="0" t="0" r="2540" b="0"/>
            <wp:docPr id="7763044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2E3DD" w14:textId="5F449F3B" w:rsidR="00AA2D3D" w:rsidRPr="005D5DFF" w:rsidRDefault="00AA2D3D" w:rsidP="00AA2D3D">
      <w:pPr>
        <w:pStyle w:val="ListParagraph"/>
        <w:overflowPunct w:val="0"/>
        <w:adjustRightInd w:val="0"/>
        <w:snapToGrid w:val="0"/>
        <w:spacing w:line="360" w:lineRule="auto"/>
        <w:ind w:firstLineChars="0" w:firstLine="0"/>
        <w:rPr>
          <w:color w:val="000000"/>
          <w:sz w:val="24"/>
        </w:rPr>
      </w:pPr>
      <w:r w:rsidRPr="005D5DFF">
        <w:rPr>
          <w:b/>
          <w:bCs/>
          <w:color w:val="000000"/>
          <w:sz w:val="24"/>
          <w:lang w:bidi="ar"/>
        </w:rPr>
        <w:t xml:space="preserve">Supplementary Figure </w:t>
      </w:r>
      <w:r w:rsidR="00695C94" w:rsidRPr="005D5DFF">
        <w:rPr>
          <w:rFonts w:hint="eastAsia"/>
          <w:b/>
          <w:bCs/>
          <w:color w:val="000000"/>
          <w:sz w:val="24"/>
          <w:lang w:bidi="ar"/>
        </w:rPr>
        <w:t>2</w:t>
      </w:r>
      <w:r w:rsidRPr="005D5DFF">
        <w:rPr>
          <w:b/>
          <w:bCs/>
          <w:color w:val="000000"/>
          <w:sz w:val="24"/>
          <w:lang w:bidi="ar"/>
        </w:rPr>
        <w:t xml:space="preserve">. </w:t>
      </w:r>
      <w:r w:rsidRPr="005D5DFF">
        <w:rPr>
          <w:b/>
          <w:bCs/>
          <w:color w:val="000000"/>
          <w:sz w:val="24"/>
        </w:rPr>
        <w:t xml:space="preserve">The protein-protein interaction (PPI) network analysis. (A) </w:t>
      </w:r>
      <w:r w:rsidRPr="005D5DFF">
        <w:rPr>
          <w:color w:val="000000"/>
          <w:sz w:val="24"/>
        </w:rPr>
        <w:t xml:space="preserve">The PPI network of FDEGs. </w:t>
      </w:r>
      <w:r w:rsidRPr="005D5DFF">
        <w:rPr>
          <w:b/>
          <w:bCs/>
          <w:color w:val="000000"/>
          <w:sz w:val="24"/>
        </w:rPr>
        <w:t xml:space="preserve">(B) </w:t>
      </w:r>
      <w:r w:rsidRPr="005D5DFF">
        <w:rPr>
          <w:color w:val="000000"/>
          <w:sz w:val="24"/>
        </w:rPr>
        <w:t xml:space="preserve">A gene cluster of FDEGs identified by the plug-in Molecular Complex Detection. </w:t>
      </w:r>
      <w:r w:rsidRPr="005D5DFF">
        <w:rPr>
          <w:b/>
          <w:bCs/>
          <w:color w:val="000000"/>
          <w:sz w:val="24"/>
        </w:rPr>
        <w:t xml:space="preserve">(C) </w:t>
      </w:r>
      <w:r w:rsidRPr="005D5DFF">
        <w:rPr>
          <w:color w:val="000000"/>
          <w:sz w:val="24"/>
        </w:rPr>
        <w:t xml:space="preserve">Degrees of genes were calculated by the degree algorithms of CytoHubba. </w:t>
      </w:r>
    </w:p>
    <w:p w14:paraId="421D0949" w14:textId="62BC5439" w:rsidR="00AA2D3D" w:rsidRPr="005D5DFF" w:rsidRDefault="00AA2D3D" w:rsidP="00AA2D3D">
      <w:pPr>
        <w:pStyle w:val="ListParagraph"/>
        <w:overflowPunct w:val="0"/>
        <w:adjustRightInd w:val="0"/>
        <w:snapToGrid w:val="0"/>
        <w:spacing w:line="360" w:lineRule="auto"/>
        <w:ind w:firstLineChars="0" w:firstLine="0"/>
        <w:rPr>
          <w:color w:val="000000"/>
          <w:sz w:val="24"/>
        </w:rPr>
      </w:pPr>
      <w:r w:rsidRPr="005D5DFF">
        <w:rPr>
          <w:rFonts w:hint="eastAsia"/>
          <w:b/>
          <w:bCs/>
          <w:color w:val="000000"/>
          <w14:ligatures w14:val="standardContextual"/>
        </w:rPr>
        <w:drawing>
          <wp:inline distT="0" distB="0" distL="0" distR="0" wp14:anchorId="66B8CCE9" wp14:editId="5A99EF18">
            <wp:extent cx="5274310" cy="22733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7FEB9" w14:textId="669D8235" w:rsidR="00AA2D3D" w:rsidRPr="005D5DFF" w:rsidRDefault="00AA2D3D" w:rsidP="00AA2D3D">
      <w:pPr>
        <w:pStyle w:val="ListParagraph"/>
        <w:overflowPunct w:val="0"/>
        <w:adjustRightInd w:val="0"/>
        <w:snapToGrid w:val="0"/>
        <w:spacing w:line="360" w:lineRule="auto"/>
        <w:ind w:firstLineChars="0" w:firstLine="0"/>
        <w:rPr>
          <w:color w:val="000000"/>
          <w:sz w:val="24"/>
        </w:rPr>
      </w:pPr>
      <w:r w:rsidRPr="005D5DFF">
        <w:rPr>
          <w:b/>
          <w:bCs/>
          <w:color w:val="000000"/>
          <w:sz w:val="24"/>
          <w:lang w:bidi="ar"/>
        </w:rPr>
        <w:t xml:space="preserve">Supplementary Figure </w:t>
      </w:r>
      <w:r w:rsidR="00695C94" w:rsidRPr="005D5DFF">
        <w:rPr>
          <w:rFonts w:hint="eastAsia"/>
          <w:b/>
          <w:bCs/>
          <w:color w:val="000000"/>
          <w:sz w:val="24"/>
          <w:lang w:bidi="ar"/>
        </w:rPr>
        <w:t>3</w:t>
      </w:r>
      <w:r w:rsidRPr="005D5DFF">
        <w:rPr>
          <w:b/>
          <w:bCs/>
          <w:color w:val="000000"/>
          <w:sz w:val="24"/>
          <w:lang w:bidi="ar"/>
        </w:rPr>
        <w:t>.</w:t>
      </w:r>
      <w:r w:rsidRPr="005D5DFF">
        <w:rPr>
          <w:color w:val="000000"/>
          <w:sz w:val="24"/>
        </w:rPr>
        <w:t xml:space="preserve"> </w:t>
      </w:r>
      <w:r w:rsidRPr="005D5DFF">
        <w:rPr>
          <w:b/>
          <w:bCs/>
          <w:color w:val="000000"/>
          <w:sz w:val="24"/>
          <w:lang w:bidi="ar"/>
        </w:rPr>
        <w:t>Receiver operating characteristic curves of hub genes.</w:t>
      </w:r>
      <w:r w:rsidRPr="005D5DFF">
        <w:rPr>
          <w:color w:val="000000"/>
          <w:sz w:val="24"/>
        </w:rPr>
        <w:t xml:space="preserve"> The horizontal coordinate was the false positive rate, and the vertical coordinate was the true positive rate.</w:t>
      </w:r>
    </w:p>
    <w:p w14:paraId="6EFA0025" w14:textId="5DF3EE40" w:rsidR="00AA2D3D" w:rsidRPr="005D5DFF" w:rsidRDefault="00AA2D3D" w:rsidP="00AA2D3D">
      <w:pPr>
        <w:pStyle w:val="ListParagraph"/>
        <w:overflowPunct w:val="0"/>
        <w:adjustRightInd w:val="0"/>
        <w:snapToGrid w:val="0"/>
        <w:spacing w:line="360" w:lineRule="auto"/>
        <w:ind w:firstLineChars="0" w:firstLine="0"/>
        <w:rPr>
          <w:color w:val="000000"/>
          <w:sz w:val="24"/>
        </w:rPr>
      </w:pPr>
      <w:r w:rsidRPr="005D5DFF">
        <w:rPr>
          <w:color w:val="000000"/>
          <w:sz w:val="24"/>
          <w14:ligatures w14:val="standardContextual"/>
        </w:rPr>
        <w:lastRenderedPageBreak/>
        <w:drawing>
          <wp:inline distT="0" distB="0" distL="0" distR="0" wp14:anchorId="2BE49590" wp14:editId="2ABF7C5E">
            <wp:extent cx="5274310" cy="30092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FA667" w14:textId="77777777" w:rsidR="00695C94" w:rsidRPr="005D5DFF" w:rsidRDefault="00695C94" w:rsidP="00644001">
      <w:pPr>
        <w:rPr>
          <w:color w:val="000000"/>
        </w:rPr>
      </w:pPr>
      <w:r w:rsidRPr="005D5DFF">
        <w:rPr>
          <w:rFonts w:hint="eastAsia"/>
          <w:b/>
          <w:bCs/>
          <w:color w:val="000000"/>
        </w:rPr>
        <w:t>Supplementary Figure 4.</w:t>
      </w:r>
      <w:r w:rsidRPr="005D5DFF">
        <w:rPr>
          <w:rFonts w:hint="eastAsia"/>
          <w:color w:val="000000"/>
        </w:rPr>
        <w:t xml:space="preserve"> </w:t>
      </w:r>
      <w:r w:rsidRPr="005D5DFF">
        <w:rPr>
          <w:b/>
          <w:bCs/>
          <w:color w:val="000000"/>
        </w:rPr>
        <w:t xml:space="preserve">ATF4 validation in the GSE100085 dataset. </w:t>
      </w:r>
      <w:r w:rsidRPr="005D5DFF">
        <w:rPr>
          <w:rFonts w:hint="eastAsia"/>
          <w:b/>
          <w:bCs/>
          <w:color w:val="000000"/>
        </w:rPr>
        <w:t xml:space="preserve">(A) </w:t>
      </w:r>
      <w:r w:rsidRPr="005D5DFF">
        <w:rPr>
          <w:rFonts w:hint="eastAsia"/>
          <w:color w:val="000000"/>
        </w:rPr>
        <w:t xml:space="preserve">A box line plot showed the expression difference of ATF4 between the Control group and the Anxiety group in GSE100085. </w:t>
      </w:r>
      <w:r w:rsidRPr="005D5DFF">
        <w:rPr>
          <w:rFonts w:hint="eastAsia"/>
          <w:b/>
          <w:bCs/>
          <w:color w:val="000000"/>
        </w:rPr>
        <w:t xml:space="preserve">(B) </w:t>
      </w:r>
      <w:r w:rsidRPr="005D5DFF">
        <w:rPr>
          <w:rFonts w:hint="eastAsia"/>
          <w:color w:val="000000"/>
        </w:rPr>
        <w:t>The receiver operating characteristic curve of ATF4. The horizontal coordinate was the false positive rate, and the vertical coordinate was the true positive rate.</w:t>
      </w:r>
    </w:p>
    <w:p w14:paraId="1EE67080" w14:textId="3EFFD733" w:rsidR="00644001" w:rsidRPr="005D5DFF" w:rsidRDefault="00644001" w:rsidP="00644001">
      <w:pPr>
        <w:rPr>
          <w:color w:val="000000"/>
        </w:rPr>
      </w:pPr>
      <w:r w:rsidRPr="005D5DFF">
        <w:rPr>
          <w:color w:val="000000"/>
        </w:rPr>
        <w:drawing>
          <wp:inline distT="0" distB="0" distL="114300" distR="114300" wp14:anchorId="09769C9F" wp14:editId="26632321">
            <wp:extent cx="5039995" cy="3097530"/>
            <wp:effectExtent l="0" t="0" r="8255" b="7620"/>
            <wp:docPr id="5" name="图片 5" descr="FigS3 revi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S3 revis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C5E54" w14:textId="77777777" w:rsidR="00093FB7" w:rsidRPr="005D5DFF" w:rsidRDefault="00093FB7" w:rsidP="00AA2D3D">
      <w:pPr>
        <w:pStyle w:val="ListParagraph"/>
        <w:overflowPunct w:val="0"/>
        <w:adjustRightInd w:val="0"/>
        <w:snapToGrid w:val="0"/>
        <w:spacing w:line="360" w:lineRule="auto"/>
        <w:ind w:firstLineChars="0" w:firstLine="0"/>
        <w:rPr>
          <w:color w:val="000000"/>
          <w:sz w:val="24"/>
        </w:rPr>
      </w:pPr>
    </w:p>
    <w:p w14:paraId="1B3E5A5B" w14:textId="5E97E735" w:rsidR="00AA2D3D" w:rsidRPr="005D5DFF" w:rsidRDefault="00AA2D3D" w:rsidP="00F1505F">
      <w:pPr>
        <w:pStyle w:val="ListParagraph"/>
        <w:widowControl/>
        <w:overflowPunct w:val="0"/>
        <w:adjustRightInd w:val="0"/>
        <w:snapToGrid w:val="0"/>
        <w:spacing w:line="360" w:lineRule="auto"/>
        <w:ind w:firstLine="422"/>
        <w:jc w:val="center"/>
        <w:rPr>
          <w:b/>
          <w:bCs/>
          <w:color w:val="000000"/>
        </w:rPr>
      </w:pPr>
    </w:p>
    <w:p w14:paraId="5AA30320" w14:textId="69E2BB33" w:rsidR="00F1505F" w:rsidRPr="005D5DFF" w:rsidRDefault="00F1505F" w:rsidP="00F1505F">
      <w:pPr>
        <w:pStyle w:val="ListParagraph"/>
        <w:widowControl/>
        <w:overflowPunct w:val="0"/>
        <w:adjustRightInd w:val="0"/>
        <w:snapToGrid w:val="0"/>
        <w:spacing w:line="360" w:lineRule="auto"/>
        <w:ind w:firstLine="422"/>
        <w:jc w:val="center"/>
        <w:rPr>
          <w:b/>
          <w:color w:val="000000"/>
          <w:sz w:val="24"/>
        </w:rPr>
      </w:pPr>
      <w:r w:rsidRPr="005D5DFF">
        <w:rPr>
          <w:b/>
          <w:bCs/>
          <w:color w:val="000000"/>
        </w:rPr>
        <w:t xml:space="preserve">Supplementary Table 1. </w:t>
      </w:r>
      <w:r w:rsidRPr="005D5DFF">
        <w:rPr>
          <w:b/>
          <w:color w:val="000000"/>
          <w:sz w:val="24"/>
        </w:rPr>
        <w:t>The sequences of primers</w:t>
      </w:r>
    </w:p>
    <w:tbl>
      <w:tblPr>
        <w:tblStyle w:val="TableGrid"/>
        <w:tblW w:w="0" w:type="auto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37"/>
        <w:gridCol w:w="4757"/>
      </w:tblGrid>
      <w:tr w:rsidR="00F1505F" w:rsidRPr="005D5DFF" w14:paraId="13A52BCD" w14:textId="77777777" w:rsidTr="0070055D">
        <w:trPr>
          <w:jc w:val="center"/>
        </w:trPr>
        <w:tc>
          <w:tcPr>
            <w:tcW w:w="2737" w:type="dxa"/>
            <w:tcBorders>
              <w:left w:val="nil"/>
              <w:right w:val="nil"/>
            </w:tcBorders>
            <w:vAlign w:val="center"/>
          </w:tcPr>
          <w:p w14:paraId="5330FDDE" w14:textId="05C82E1D" w:rsidR="00F1505F" w:rsidRPr="005D5DFF" w:rsidRDefault="00F1505F" w:rsidP="0070055D">
            <w:pPr>
              <w:snapToGrid w:val="0"/>
              <w:spacing w:before="50" w:after="50"/>
              <w:jc w:val="center"/>
              <w:rPr>
                <w:color w:val="000000"/>
                <w:szCs w:val="21"/>
              </w:rPr>
            </w:pPr>
            <w:r w:rsidRPr="005D5DFF">
              <w:rPr>
                <w:rFonts w:eastAsia="KaiTi"/>
                <w:color w:val="000000"/>
                <w:sz w:val="21"/>
                <w:szCs w:val="21"/>
              </w:rPr>
              <w:lastRenderedPageBreak/>
              <w:br w:type="page"/>
            </w:r>
            <w:r w:rsidRPr="005D5DFF">
              <w:rPr>
                <w:color w:val="000000"/>
                <w:sz w:val="21"/>
                <w:szCs w:val="21"/>
              </w:rPr>
              <w:t>Name</w:t>
            </w:r>
          </w:p>
        </w:tc>
        <w:tc>
          <w:tcPr>
            <w:tcW w:w="4757" w:type="dxa"/>
            <w:tcBorders>
              <w:left w:val="nil"/>
              <w:right w:val="nil"/>
            </w:tcBorders>
            <w:vAlign w:val="center"/>
          </w:tcPr>
          <w:p w14:paraId="19880E9C" w14:textId="0BD83123" w:rsidR="00F1505F" w:rsidRPr="005D5DFF" w:rsidRDefault="00F1505F" w:rsidP="0070055D">
            <w:pPr>
              <w:snapToGrid w:val="0"/>
              <w:spacing w:before="50" w:after="50"/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Sequence</w:t>
            </w:r>
            <w:r w:rsidRPr="005D5DFF">
              <w:rPr>
                <w:rStyle w:val="font01"/>
                <w:rFonts w:ascii="Times New Roman" w:hAnsi="Times New Roman" w:cs="Times New Roman" w:hint="default"/>
                <w:lang w:bidi="ar"/>
              </w:rPr>
              <w:t>（</w:t>
            </w:r>
            <w:r w:rsidRPr="005D5DFF">
              <w:rPr>
                <w:rStyle w:val="font11"/>
                <w:lang w:bidi="ar"/>
              </w:rPr>
              <w:t>5’-3’</w:t>
            </w:r>
            <w:r w:rsidRPr="005D5DFF">
              <w:rPr>
                <w:rStyle w:val="font01"/>
                <w:rFonts w:ascii="Times New Roman" w:hAnsi="Times New Roman" w:cs="Times New Roman" w:hint="default"/>
                <w:lang w:bidi="ar"/>
              </w:rPr>
              <w:t>）</w:t>
            </w:r>
          </w:p>
        </w:tc>
      </w:tr>
      <w:tr w:rsidR="00F1505F" w:rsidRPr="005D5DFF" w14:paraId="0F35A2CE" w14:textId="77777777" w:rsidTr="0070055D">
        <w:trPr>
          <w:trHeight w:val="90"/>
          <w:jc w:val="center"/>
        </w:trPr>
        <w:tc>
          <w:tcPr>
            <w:tcW w:w="2737" w:type="dxa"/>
            <w:tcBorders>
              <w:left w:val="nil"/>
              <w:bottom w:val="nil"/>
              <w:right w:val="nil"/>
            </w:tcBorders>
            <w:vAlign w:val="center"/>
          </w:tcPr>
          <w:p w14:paraId="428E02A2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rFonts w:eastAsia="Microsoft YaHei"/>
                <w:color w:val="000000"/>
                <w:sz w:val="20"/>
                <w:szCs w:val="20"/>
              </w:rPr>
              <w:t>M-GAPDH-F</w:t>
            </w:r>
          </w:p>
        </w:tc>
        <w:tc>
          <w:tcPr>
            <w:tcW w:w="4757" w:type="dxa"/>
            <w:tcBorders>
              <w:left w:val="nil"/>
              <w:bottom w:val="nil"/>
              <w:right w:val="nil"/>
            </w:tcBorders>
            <w:vAlign w:val="center"/>
          </w:tcPr>
          <w:p w14:paraId="5D07CC4E" w14:textId="77777777" w:rsidR="00F1505F" w:rsidRPr="005D5DFF" w:rsidRDefault="00F1505F" w:rsidP="0070055D">
            <w:pPr>
              <w:pStyle w:val="HTMLPreformatted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5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CTCATGACCACAGTCCATGC</w:t>
            </w:r>
          </w:p>
        </w:tc>
      </w:tr>
      <w:tr w:rsidR="00F1505F" w:rsidRPr="005D5DFF" w14:paraId="0AB9895C" w14:textId="77777777" w:rsidTr="0070055D">
        <w:trPr>
          <w:trHeight w:val="23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83D8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rFonts w:eastAsia="Microsoft YaHei"/>
                <w:color w:val="000000"/>
                <w:sz w:val="20"/>
                <w:szCs w:val="20"/>
              </w:rPr>
              <w:t>M-GAPDH-R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5A220" w14:textId="77777777" w:rsidR="00F1505F" w:rsidRPr="005D5DFF" w:rsidRDefault="00F1505F" w:rsidP="0070055D">
            <w:pPr>
              <w:pStyle w:val="HTMLPreformatted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5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TTCAGCTCTGGGATGACCTT</w:t>
            </w:r>
          </w:p>
        </w:tc>
      </w:tr>
      <w:tr w:rsidR="00F1505F" w:rsidRPr="005D5DFF" w14:paraId="4DD00BB0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738D6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M-MTOR-F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C15DF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AATGCTATGGAGGTTACGGGTCTG</w:t>
            </w:r>
          </w:p>
        </w:tc>
      </w:tr>
      <w:tr w:rsidR="00F1505F" w:rsidRPr="005D5DFF" w14:paraId="73073F41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D4C8F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M-MTOR-R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ED9D3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CGCTTATTGCCTTTGGTATTTGTG</w:t>
            </w:r>
          </w:p>
        </w:tc>
      </w:tr>
      <w:tr w:rsidR="00F1505F" w:rsidRPr="005D5DFF" w14:paraId="1E12A89D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28504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M-PKM-F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5D393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GGTGACGGAGGTGGAGAATGGTGG</w:t>
            </w:r>
          </w:p>
        </w:tc>
      </w:tr>
      <w:tr w:rsidR="00F1505F" w:rsidRPr="005D5DFF" w14:paraId="1922164D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B4C67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M-PKM-R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DC32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CGATTTTGCTGATGATCTTGATGT</w:t>
            </w:r>
          </w:p>
        </w:tc>
      </w:tr>
      <w:tr w:rsidR="00F1505F" w:rsidRPr="005D5DFF" w14:paraId="55F53BEE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E3AEC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M-ATF4-F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75D5A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CTGACTCTGCTGCTTACATTACTC</w:t>
            </w:r>
          </w:p>
        </w:tc>
      </w:tr>
      <w:tr w:rsidR="00F1505F" w:rsidRPr="005D5DFF" w14:paraId="507F9E20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90B6D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M-ATF4-R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83900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TGTCTTGTTTTGCTCCATCTTTTT</w:t>
            </w:r>
          </w:p>
        </w:tc>
      </w:tr>
      <w:tr w:rsidR="00F1505F" w:rsidRPr="005D5DFF" w14:paraId="0047E72B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20565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M-DLD-F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5D060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CTACAAAAGCCGATGGCAGCACTC</w:t>
            </w:r>
          </w:p>
        </w:tc>
      </w:tr>
      <w:tr w:rsidR="00F1505F" w:rsidRPr="005D5DFF" w14:paraId="4A92D923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C0C80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M-DLD-R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866F6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TCCACCCACATGACCCAAAAATTC</w:t>
            </w:r>
          </w:p>
        </w:tc>
      </w:tr>
      <w:tr w:rsidR="00F1505F" w:rsidRPr="005D5DFF" w14:paraId="575D3D76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0F199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M-MAP3K5-F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16B45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AGAAAAGGACGGGAAAGGGATACG</w:t>
            </w:r>
          </w:p>
        </w:tc>
      </w:tr>
      <w:tr w:rsidR="00F1505F" w:rsidRPr="005D5DFF" w14:paraId="7F28B04D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BBA66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M-MAP3K5-R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AAF6C" w14:textId="77777777" w:rsidR="00F1505F" w:rsidRPr="005D5DFF" w:rsidRDefault="00F1505F" w:rsidP="0070055D">
            <w:pPr>
              <w:rPr>
                <w:b/>
                <w:bCs/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GCTCGAGATGAGGGTTGTGATGTG</w:t>
            </w:r>
          </w:p>
        </w:tc>
      </w:tr>
      <w:tr w:rsidR="00F1505F" w:rsidRPr="005D5DFF" w14:paraId="7C56007A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073BB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M-PRDX2-F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4AD37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ATTACGGCGTGTTGAAAAATGATG</w:t>
            </w:r>
          </w:p>
        </w:tc>
      </w:tr>
      <w:tr w:rsidR="00F1505F" w:rsidRPr="005D5DFF" w14:paraId="6E6559F3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D3EEF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M-PRDX2-R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41EFB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AAAGGCCTGGACTAGGCGGAGAGC</w:t>
            </w:r>
          </w:p>
        </w:tc>
      </w:tr>
      <w:tr w:rsidR="00F1505F" w:rsidRPr="005D5DFF" w14:paraId="1B90C447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8A627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M-KRAS-F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B0F25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GGGGAGGGCTTTCTTTGTGTATTT</w:t>
            </w:r>
          </w:p>
        </w:tc>
      </w:tr>
      <w:tr w:rsidR="00F1505F" w:rsidRPr="005D5DFF" w14:paraId="3BBA0EDE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6965C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M-KRAS-R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31499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CCCATCTTTGCTCATCTTTTCTTT</w:t>
            </w:r>
          </w:p>
        </w:tc>
      </w:tr>
      <w:tr w:rsidR="00F1505F" w:rsidRPr="005D5DFF" w14:paraId="6B763E1C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939F4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M-HDDC3-F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147A5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CTGGTGAAGCTGGCAGACAAGCTA</w:t>
            </w:r>
          </w:p>
        </w:tc>
      </w:tr>
      <w:tr w:rsidR="00F1505F" w:rsidRPr="005D5DFF" w14:paraId="4A6E7CD7" w14:textId="77777777" w:rsidTr="0070055D">
        <w:trPr>
          <w:jc w:val="center"/>
        </w:trPr>
        <w:tc>
          <w:tcPr>
            <w:tcW w:w="2737" w:type="dxa"/>
            <w:tcBorders>
              <w:top w:val="nil"/>
              <w:left w:val="nil"/>
              <w:right w:val="nil"/>
            </w:tcBorders>
            <w:vAlign w:val="center"/>
          </w:tcPr>
          <w:p w14:paraId="3239A8B7" w14:textId="77777777" w:rsidR="00F1505F" w:rsidRPr="005D5DFF" w:rsidRDefault="00F1505F" w:rsidP="0070055D">
            <w:pPr>
              <w:jc w:val="center"/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M-HDDC3-R</w:t>
            </w:r>
          </w:p>
        </w:tc>
        <w:tc>
          <w:tcPr>
            <w:tcW w:w="4757" w:type="dxa"/>
            <w:tcBorders>
              <w:top w:val="nil"/>
              <w:left w:val="nil"/>
              <w:right w:val="nil"/>
            </w:tcBorders>
            <w:vAlign w:val="center"/>
          </w:tcPr>
          <w:p w14:paraId="690A47B9" w14:textId="77777777" w:rsidR="00F1505F" w:rsidRPr="005D5DFF" w:rsidRDefault="00F1505F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sz w:val="21"/>
                <w:szCs w:val="21"/>
              </w:rPr>
              <w:t>TTTTGGGGAGGACTGTGGAAGGAC</w:t>
            </w:r>
          </w:p>
        </w:tc>
      </w:tr>
    </w:tbl>
    <w:p w14:paraId="62438422" w14:textId="77777777" w:rsidR="00F1505F" w:rsidRPr="005D5DFF" w:rsidRDefault="00F1505F" w:rsidP="007A41F5">
      <w:pPr>
        <w:rPr>
          <w:b/>
          <w:bCs/>
          <w:color w:val="000000"/>
        </w:rPr>
      </w:pPr>
    </w:p>
    <w:p w14:paraId="0ED71F0A" w14:textId="75EE864C" w:rsidR="007A41F5" w:rsidRPr="005D5DFF" w:rsidRDefault="007A41F5" w:rsidP="007A41F5">
      <w:pPr>
        <w:rPr>
          <w:b/>
          <w:bCs/>
          <w:color w:val="000000"/>
        </w:rPr>
      </w:pPr>
      <w:r w:rsidRPr="005D5DFF">
        <w:rPr>
          <w:b/>
          <w:bCs/>
          <w:color w:val="000000"/>
        </w:rPr>
        <w:t>Supplementary Table 2. The top 15 up-regulated and down-regulated DEGs</w:t>
      </w:r>
    </w:p>
    <w:tbl>
      <w:tblPr>
        <w:tblpPr w:leftFromText="180" w:rightFromText="180" w:vertAnchor="text" w:horzAnchor="page" w:tblpXSpec="center" w:tblpY="606"/>
        <w:tblOverlap w:val="never"/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1176"/>
        <w:gridCol w:w="4524"/>
        <w:gridCol w:w="1800"/>
        <w:gridCol w:w="1155"/>
        <w:gridCol w:w="1050"/>
      </w:tblGrid>
      <w:tr w:rsidR="007A41F5" w:rsidRPr="005D5DFF" w14:paraId="3CF1B496" w14:textId="77777777" w:rsidTr="0070055D">
        <w:trPr>
          <w:trHeight w:val="285"/>
          <w:jc w:val="center"/>
        </w:trPr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DCE6B2B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Name</w:t>
            </w:r>
          </w:p>
        </w:tc>
        <w:tc>
          <w:tcPr>
            <w:tcW w:w="4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2F234BA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0DD90D2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log2FoldChange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F09AC8C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pval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12D2BB0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up/down</w:t>
            </w:r>
          </w:p>
        </w:tc>
      </w:tr>
      <w:tr w:rsidR="007A41F5" w:rsidRPr="005D5DFF" w14:paraId="10F01089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9BA6F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Hbb-b2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1EE65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hemoglobin, beta adult minor chain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369C4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6.5064503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D4C36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9.86E-15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17C73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2F346D68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7198E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Glo1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C48DB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glyoxalase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3E574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1.7245354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6828E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4.45E-10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B85AF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2E55E901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5F8AA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Sox11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148FB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SRY (sex determining region Y)-box 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99A00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2.0983425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5E385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5.78E-10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61FFD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3C6F9AD9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898C4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Mvb12b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96309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multivesicular body subunit 12B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8FCDA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2.0568936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913F6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1.12E-09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F8148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4C46AF82" w14:textId="77777777" w:rsidTr="0070055D">
        <w:trPr>
          <w:trHeight w:val="9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452C5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Hddc3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82488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HD domain containing 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E74DD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2.5710878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5F4B6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1.22E-09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9CD53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520D4AE4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7FD92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Ssbp2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7A0BB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single-stranded DNA binding protein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E05D7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3.5623226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2F620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1.51E-09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90E7A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40B5BDC5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EEE4F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Gadd45gip1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93299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growth arrest and DNA-damage-inducible, gamma interacting protein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718FC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1.9927148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6499F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5.87E-09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33CF1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5034116D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E0EB4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Kras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6C497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Kirsten rat sarcoma viral oncogene homolog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0AD58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1.5703301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6F6AA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7.33E-09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1AE9A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568EF11B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D6760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Wdfy1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3B37A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WD repeat and FYVE domain containing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934D9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2.0720929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D4764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7.35E-09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8AA01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33B662EC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485AE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lastRenderedPageBreak/>
              <w:t>Zfp775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93B21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zinc finger protein 775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E2F71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2.3807197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EBC59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1.02E-08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C61F3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3158903A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DC1B0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Dbpht2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C617D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DNA binding protein with his-thr domain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4EFA0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2.5578083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9804D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1.16E-08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BE623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6E6CFE15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1CDCC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Lrp6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0E4F3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low density lipoprotein receptor-related protein 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C0FF3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2.8709523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CB6AB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1.22E-08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88C59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1CF55675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C5DF8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Ppfibp1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DD421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PTPRF interacting protein, binding protein 1 (liprin beta 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FB214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1.8352535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F9D08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1.59E-08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81332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35217093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2928F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Zbtb46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D396F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zinc finger and BTB domain containing 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14E17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2.1879842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D7817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1.63E-08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4B285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5462F9CC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880E8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Cuedc1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62564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CUE domain containing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53064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2.6435527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E359C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1.75E-08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B6DE0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up</w:t>
            </w:r>
          </w:p>
        </w:tc>
      </w:tr>
      <w:tr w:rsidR="007A41F5" w:rsidRPr="005D5DFF" w14:paraId="13D26C8E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5F5A0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Prdx2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CF842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peroxiredoxin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CBCA4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-4.9428957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DB00E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1.67E-13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7BFB6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2D47EC49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B4959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Prrt4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992EF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proline-rich transmembrane protein 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685C2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-5.5438662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64065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9.76E-13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10FCC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52101C60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08B01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B3galt6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18114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UDP-Gal:betaGal beta 1,3-galactosyltransferase, polypeptide 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19C54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-3.3115053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727F8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1.49E-12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52CB0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63028451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D70CE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Ooep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D7830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oocyte expressed protein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88BBF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-3.1647661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61513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2.47E-12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348F3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45118F49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B02F2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Abhd16a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CF0DB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abhydrolase domain containing 16A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0CD9D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-6.0527516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CC186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4.13E-12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90214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1DF50E02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2AB13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Chchd4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9E3A6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coiled-coil-helix-coiled-coil-helix domain containing 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F38C9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-4.0467373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25CEC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1.47E-11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3A4C6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2151C43C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7208A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Mboat2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848B7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membrane bound O-acyltransferase domain containing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A749D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-2.0354458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88699" w14:textId="77777777" w:rsidR="007A41F5" w:rsidRPr="005D5DFF" w:rsidRDefault="007A41F5" w:rsidP="0070055D">
            <w:pPr>
              <w:rPr>
                <w:b/>
                <w:bCs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1.07E-10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07413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1142648B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208A3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Coq2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2430F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coenzyme Q2 4-hydroxybenzoate polyprenyltransferase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37B3B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-5.3730939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B45BF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1.47E-10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F9CE2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1D5D9C05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7E530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Srp9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04139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signal recognition particle 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2F8EE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-2.449183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49868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2.66E-10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78E5E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4FC7E808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726A3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Prcp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2053E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prolylcarboxypeptidase (angiotensinase C)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0070B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-2.6773358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B2403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2.82E-10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15A09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78346E00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D4FCD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Rpl29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B3D98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ribosomal protein L29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6CD0E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-4.3150285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56DF4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2.96E-10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7D147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2705B063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CF4B5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Psmd8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47D3A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proteasome (prosome, macropain) 26S subunit, non-ATPase, 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4D9C3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-2.0850849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2D073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3.29E-10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3B7F8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728F466E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C9338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Arl5a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8893C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ADP-ribosylation factor-like 5A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59DFD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-3.9056038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AA890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3.36E-10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151E3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5A2F2078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DE969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Ndufb10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0604C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NADH dehydrogenase (ubiquinone) 1 beta subcomplex, 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B26E3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-2.7155257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FC627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3.98E-10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1B164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  <w:tr w:rsidR="007A41F5" w:rsidRPr="005D5DFF" w14:paraId="016F41C2" w14:textId="77777777" w:rsidTr="0070055D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FD7EF2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Runx1t1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FC0493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runt-related transcription factor 1; translocated to, 1 (cyclin D-related)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483C23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-3.6874671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380885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4.97E-10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ABAF42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down</w:t>
            </w:r>
          </w:p>
        </w:tc>
      </w:tr>
    </w:tbl>
    <w:p w14:paraId="243A6D98" w14:textId="77777777" w:rsidR="007A41F5" w:rsidRPr="005D5DFF" w:rsidRDefault="007A41F5" w:rsidP="007A41F5">
      <w:pPr>
        <w:rPr>
          <w:color w:val="000000"/>
        </w:rPr>
      </w:pPr>
    </w:p>
    <w:p w14:paraId="67D5CD7F" w14:textId="43728E97" w:rsidR="007A41F5" w:rsidRPr="005D5DFF" w:rsidRDefault="007A41F5" w:rsidP="007A41F5">
      <w:pPr>
        <w:rPr>
          <w:color w:val="000000"/>
        </w:rPr>
      </w:pPr>
      <w:r w:rsidRPr="005D5DFF">
        <w:rPr>
          <w:b/>
          <w:bCs/>
          <w:color w:val="000000"/>
        </w:rPr>
        <w:t>Supplementary Table 3. GO terms for FDEGs</w:t>
      </w:r>
    </w:p>
    <w:tbl>
      <w:tblPr>
        <w:tblStyle w:val="TableGrid"/>
        <w:tblW w:w="9687" w:type="dxa"/>
        <w:jc w:val="center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82"/>
        <w:gridCol w:w="1704"/>
        <w:gridCol w:w="1432"/>
        <w:gridCol w:w="1200"/>
        <w:gridCol w:w="873"/>
        <w:gridCol w:w="1186"/>
        <w:gridCol w:w="1810"/>
      </w:tblGrid>
      <w:tr w:rsidR="007A41F5" w:rsidRPr="005D5DFF" w14:paraId="484510AF" w14:textId="77777777" w:rsidTr="0070055D">
        <w:trPr>
          <w:trHeight w:val="370"/>
          <w:jc w:val="center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103962FF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GOTERM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04978CA9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Term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 w14:paraId="44FBCF77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PValue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B52D82F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Fold enrichme</w:t>
            </w:r>
            <w:r w:rsidRPr="005D5DFF">
              <w:rPr>
                <w:color w:val="000000"/>
                <w:lang w:bidi="ar"/>
              </w:rPr>
              <w:lastRenderedPageBreak/>
              <w:t>nt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043C2F49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lastRenderedPageBreak/>
              <w:t>Count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13EEBD71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GeneRatio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vAlign w:val="center"/>
          </w:tcPr>
          <w:p w14:paraId="48E65B30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Genes</w:t>
            </w:r>
          </w:p>
        </w:tc>
      </w:tr>
      <w:tr w:rsidR="007A41F5" w:rsidRPr="005D5DFF" w14:paraId="3CE84CF4" w14:textId="77777777" w:rsidTr="0070055D">
        <w:trPr>
          <w:trHeight w:val="397"/>
          <w:jc w:val="center"/>
        </w:trPr>
        <w:tc>
          <w:tcPr>
            <w:tcW w:w="1482" w:type="dxa"/>
            <w:tcBorders>
              <w:bottom w:val="nil"/>
              <w:right w:val="nil"/>
              <w:tl2br w:val="nil"/>
              <w:tr2bl w:val="nil"/>
            </w:tcBorders>
            <w:vAlign w:val="center"/>
          </w:tcPr>
          <w:p w14:paraId="1C9DF805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GOTERM_BP_DIRECT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340A79D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GO:0032869~cellular response to insulin stimulus</w:t>
            </w:r>
          </w:p>
        </w:tc>
        <w:tc>
          <w:tcPr>
            <w:tcW w:w="1432" w:type="dxa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26B1D09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4.67E-04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245A46F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25.31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4C1F8B6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4</w:t>
            </w:r>
          </w:p>
        </w:tc>
        <w:tc>
          <w:tcPr>
            <w:tcW w:w="1186" w:type="dxa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06F3569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12.90</w:t>
            </w:r>
          </w:p>
        </w:tc>
        <w:tc>
          <w:tcPr>
            <w:tcW w:w="1810" w:type="dxa"/>
            <w:tcBorders>
              <w:left w:val="nil"/>
              <w:bottom w:val="nil"/>
              <w:tl2br w:val="nil"/>
              <w:tr2bl w:val="nil"/>
            </w:tcBorders>
            <w:vAlign w:val="center"/>
          </w:tcPr>
          <w:p w14:paraId="1560C813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PKM, SLC39A14, MTOR, YWHAG</w:t>
            </w:r>
          </w:p>
        </w:tc>
      </w:tr>
      <w:tr w:rsidR="007A41F5" w:rsidRPr="005D5DFF" w14:paraId="5404FB1D" w14:textId="77777777" w:rsidTr="0070055D">
        <w:trPr>
          <w:trHeight w:val="397"/>
          <w:jc w:val="center"/>
        </w:trPr>
        <w:tc>
          <w:tcPr>
            <w:tcW w:w="1482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36DD147E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GOTERM_BP_DIRECT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A67F62C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GO:0034198~cellular response to amino acid starvation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15BCC00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0.002163212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9AE09EC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41.92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4BF681E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E0A2860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9.68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66BBF724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MTOR, ATF4, MAP3K5</w:t>
            </w:r>
          </w:p>
        </w:tc>
      </w:tr>
      <w:tr w:rsidR="007A41F5" w:rsidRPr="005D5DFF" w14:paraId="558B95FB" w14:textId="77777777" w:rsidTr="0070055D">
        <w:trPr>
          <w:trHeight w:val="397"/>
          <w:jc w:val="center"/>
        </w:trPr>
        <w:tc>
          <w:tcPr>
            <w:tcW w:w="1482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5E227BF9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GOTERM_BP_DIRECT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BFAE3A2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GO:0031667~response to nutrient levels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2FBB870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0.002630935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DDF5A75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37.97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C9E1611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7C162AB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9.68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10F30175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ZEB1, MTOR, ATF4</w:t>
            </w:r>
          </w:p>
        </w:tc>
      </w:tr>
      <w:tr w:rsidR="007A41F5" w:rsidRPr="005D5DFF" w14:paraId="49ABBA3D" w14:textId="77777777" w:rsidTr="0070055D">
        <w:trPr>
          <w:trHeight w:val="397"/>
          <w:jc w:val="center"/>
        </w:trPr>
        <w:tc>
          <w:tcPr>
            <w:tcW w:w="1482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6705AC07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GOTERM_BP_DIRECT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FA56D52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GO:1990253~cellular response to leucine starvation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85FC864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0.018556693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D9789DB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103.20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990751D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5E9E294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6.45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68A62A25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MTOR, ATF4</w:t>
            </w:r>
          </w:p>
        </w:tc>
      </w:tr>
      <w:tr w:rsidR="007A41F5" w:rsidRPr="005D5DFF" w14:paraId="0BFAD38F" w14:textId="77777777" w:rsidTr="0070055D">
        <w:trPr>
          <w:trHeight w:val="397"/>
          <w:jc w:val="center"/>
        </w:trPr>
        <w:tc>
          <w:tcPr>
            <w:tcW w:w="1482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5C14861B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GOTERM_BP_DIRECT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A69B2BF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GO:0030857~negative regulation of epithelial cell differentiation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3FB034E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0.025605092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FBAB0D6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74.53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81ED1FE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16AC55B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6.45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382203DC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ZEB1, KRAS</w:t>
            </w:r>
          </w:p>
        </w:tc>
      </w:tr>
      <w:tr w:rsidR="007A41F5" w:rsidRPr="005D5DFF" w14:paraId="4554A65A" w14:textId="77777777" w:rsidTr="0070055D">
        <w:trPr>
          <w:trHeight w:val="397"/>
          <w:jc w:val="center"/>
        </w:trPr>
        <w:tc>
          <w:tcPr>
            <w:tcW w:w="1482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3092D71D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GOTERM_BP_DIRECT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C5335ED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GO:0033554~cellular response to stress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F487606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0.029810675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9E4B579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63.89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612AF02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5D0C793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6.45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65854929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PRDX2, MAP3K5</w:t>
            </w:r>
          </w:p>
        </w:tc>
      </w:tr>
      <w:tr w:rsidR="007A41F5" w:rsidRPr="005D5DFF" w14:paraId="5F5AF467" w14:textId="77777777" w:rsidTr="0070055D">
        <w:trPr>
          <w:trHeight w:val="397"/>
          <w:jc w:val="center"/>
        </w:trPr>
        <w:tc>
          <w:tcPr>
            <w:tcW w:w="1482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5B7E9938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GOTERM_CC_DIRECT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2C8E0F9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GO:0005829~cytosol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F6B6BF4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0.03163316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7192BA9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1.71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BACB8D5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C3B6CF6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45.16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0ED0124E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 xml:space="preserve">WWTR1, SPHK1, UBE2J2, COPZ1, MTOR, PSMD8, </w:t>
            </w:r>
            <w:r w:rsidRPr="005D5DFF">
              <w:rPr>
                <w:color w:val="000000"/>
                <w:lang w:bidi="ar"/>
              </w:rPr>
              <w:lastRenderedPageBreak/>
              <w:t>PRDX2, PKM, ZEB1, MEX3A, GNAS, KRAS, YWHAG, MAP3K5</w:t>
            </w:r>
          </w:p>
        </w:tc>
      </w:tr>
      <w:tr w:rsidR="007A41F5" w:rsidRPr="005D5DFF" w14:paraId="38ADA661" w14:textId="77777777" w:rsidTr="0070055D">
        <w:trPr>
          <w:trHeight w:val="397"/>
          <w:jc w:val="center"/>
        </w:trPr>
        <w:tc>
          <w:tcPr>
            <w:tcW w:w="1482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3F5F0ADB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lastRenderedPageBreak/>
              <w:t>GOTERM_CC_DIRECT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C303B91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GO:0070062~extracellular exosome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169F282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0.032095494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8892DFB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2.46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1B5DE56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91F4F4C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25.81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41321071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PRDX2, ITIH3, PKM, GNAS, FBLN1, GFRA1, SSBP1, YWHAG</w:t>
            </w:r>
          </w:p>
        </w:tc>
      </w:tr>
      <w:tr w:rsidR="007A41F5" w:rsidRPr="005D5DFF" w14:paraId="3939E226" w14:textId="77777777" w:rsidTr="0070055D">
        <w:trPr>
          <w:trHeight w:val="397"/>
          <w:jc w:val="center"/>
        </w:trPr>
        <w:tc>
          <w:tcPr>
            <w:tcW w:w="1482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78D49D38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GOTERM_MF_DIRECT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FA06036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GO:0005159~insulin-like growth factor receptor binding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697BCA1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0.024194462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62C2B21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79.03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77F6521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D57A284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6.45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560281C9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GNAS, YWHAG</w:t>
            </w:r>
          </w:p>
        </w:tc>
      </w:tr>
      <w:tr w:rsidR="007A41F5" w:rsidRPr="005D5DFF" w14:paraId="1FE2350E" w14:textId="77777777" w:rsidTr="0070055D">
        <w:trPr>
          <w:trHeight w:val="397"/>
          <w:jc w:val="center"/>
        </w:trPr>
        <w:tc>
          <w:tcPr>
            <w:tcW w:w="1482" w:type="dxa"/>
            <w:tcBorders>
              <w:top w:val="nil"/>
              <w:right w:val="nil"/>
              <w:tl2br w:val="nil"/>
              <w:tr2bl w:val="nil"/>
            </w:tcBorders>
            <w:vAlign w:val="center"/>
          </w:tcPr>
          <w:p w14:paraId="7CA59562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GOTERM_MF_DIRECT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7760B8AD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GO:0005524~ATP binding</w:t>
            </w:r>
          </w:p>
        </w:tc>
        <w:tc>
          <w:tcPr>
            <w:tcW w:w="1432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5499AA3A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0.026576086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262443C5" w14:textId="77777777" w:rsidR="007A41F5" w:rsidRPr="005D5DFF" w:rsidRDefault="007A41F5" w:rsidP="0070055D">
            <w:pPr>
              <w:rPr>
                <w:color w:val="000000"/>
                <w:szCs w:val="21"/>
              </w:rPr>
            </w:pPr>
            <w:r w:rsidRPr="005D5DFF">
              <w:rPr>
                <w:color w:val="000000"/>
                <w:lang w:bidi="ar"/>
              </w:rPr>
              <w:t>2.88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5848A818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76657E27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22.58</w:t>
            </w:r>
          </w:p>
        </w:tc>
        <w:tc>
          <w:tcPr>
            <w:tcW w:w="1810" w:type="dxa"/>
            <w:tcBorders>
              <w:top w:val="nil"/>
              <w:left w:val="nil"/>
              <w:tl2br w:val="nil"/>
              <w:tr2bl w:val="nil"/>
            </w:tcBorders>
            <w:vAlign w:val="center"/>
          </w:tcPr>
          <w:p w14:paraId="2EA58B6A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PKM, SPHK1, KRAS, UBE2J2, SLC27A5, MTOR, MAP3K5</w:t>
            </w:r>
          </w:p>
        </w:tc>
      </w:tr>
    </w:tbl>
    <w:p w14:paraId="51E2223F" w14:textId="77777777" w:rsidR="007A41F5" w:rsidRPr="005D5DFF" w:rsidRDefault="007A41F5" w:rsidP="007A41F5">
      <w:pPr>
        <w:rPr>
          <w:b/>
          <w:bCs/>
          <w:color w:val="000000"/>
        </w:rPr>
      </w:pPr>
      <w:r w:rsidRPr="005D5DFF">
        <w:rPr>
          <w:b/>
          <w:bCs/>
          <w:color w:val="000000"/>
        </w:rPr>
        <w:t xml:space="preserve">   </w:t>
      </w:r>
    </w:p>
    <w:p w14:paraId="2C3C3106" w14:textId="6EF897BD" w:rsidR="007A41F5" w:rsidRPr="005D5DFF" w:rsidRDefault="007A41F5" w:rsidP="007A41F5">
      <w:pPr>
        <w:rPr>
          <w:color w:val="000000"/>
        </w:rPr>
      </w:pPr>
      <w:r w:rsidRPr="005D5DFF">
        <w:rPr>
          <w:b/>
          <w:bCs/>
          <w:color w:val="000000"/>
        </w:rPr>
        <w:t xml:space="preserve">  Supplementary Table 4. KEGG Pathways for FDEGs </w:t>
      </w:r>
    </w:p>
    <w:tbl>
      <w:tblPr>
        <w:tblStyle w:val="TableGrid"/>
        <w:tblW w:w="10250" w:type="dxa"/>
        <w:jc w:val="center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75"/>
        <w:gridCol w:w="1999"/>
        <w:gridCol w:w="1568"/>
        <w:gridCol w:w="1214"/>
        <w:gridCol w:w="791"/>
        <w:gridCol w:w="1178"/>
        <w:gridCol w:w="2125"/>
      </w:tblGrid>
      <w:tr w:rsidR="007A41F5" w:rsidRPr="005D5DFF" w14:paraId="532C369A" w14:textId="77777777" w:rsidTr="0070055D">
        <w:trPr>
          <w:trHeight w:val="499"/>
          <w:jc w:val="center"/>
        </w:trPr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1C31799D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KEGG_PATHWAY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31134BFC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Term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vAlign w:val="center"/>
          </w:tcPr>
          <w:p w14:paraId="4C56D51E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PValue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3A3AC02F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Fold enrichment</w:t>
            </w: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7AEB8E35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Count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9BB7DDE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GeneRatio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vAlign w:val="center"/>
          </w:tcPr>
          <w:p w14:paraId="68D875CD" w14:textId="77777777" w:rsidR="007A41F5" w:rsidRPr="005D5DFF" w:rsidRDefault="007A41F5" w:rsidP="0070055D">
            <w:pPr>
              <w:rPr>
                <w:color w:val="000000"/>
              </w:rPr>
            </w:pPr>
            <w:r w:rsidRPr="005D5DFF">
              <w:rPr>
                <w:color w:val="000000"/>
                <w:lang w:bidi="ar"/>
              </w:rPr>
              <w:t>Genes</w:t>
            </w:r>
          </w:p>
        </w:tc>
      </w:tr>
      <w:tr w:rsidR="007A41F5" w:rsidRPr="005D5DFF" w14:paraId="26C93484" w14:textId="77777777" w:rsidTr="0070055D">
        <w:trPr>
          <w:trHeight w:val="499"/>
          <w:jc w:val="center"/>
        </w:trPr>
        <w:tc>
          <w:tcPr>
            <w:tcW w:w="1375" w:type="dxa"/>
            <w:tcBorders>
              <w:bottom w:val="nil"/>
              <w:right w:val="nil"/>
              <w:tl2br w:val="nil"/>
              <w:tr2bl w:val="nil"/>
            </w:tcBorders>
            <w:vAlign w:val="center"/>
          </w:tcPr>
          <w:p w14:paraId="623798D2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KEGG_PATHWAY</w:t>
            </w:r>
          </w:p>
        </w:tc>
        <w:tc>
          <w:tcPr>
            <w:tcW w:w="1999" w:type="dxa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9EE9931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Alzheimer disease</w:t>
            </w:r>
          </w:p>
        </w:tc>
        <w:tc>
          <w:tcPr>
            <w:tcW w:w="1568" w:type="dxa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177ABAB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3.95297E-05</w:t>
            </w:r>
          </w:p>
        </w:tc>
        <w:tc>
          <w:tcPr>
            <w:tcW w:w="1214" w:type="dxa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70181D0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9.89</w:t>
            </w:r>
          </w:p>
        </w:tc>
        <w:tc>
          <w:tcPr>
            <w:tcW w:w="791" w:type="dxa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FDDAF00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7</w:t>
            </w:r>
          </w:p>
        </w:tc>
        <w:tc>
          <w:tcPr>
            <w:tcW w:w="1178" w:type="dxa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68F73CE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22.58</w:t>
            </w:r>
          </w:p>
        </w:tc>
        <w:tc>
          <w:tcPr>
            <w:tcW w:w="2125" w:type="dxa"/>
            <w:tcBorders>
              <w:left w:val="nil"/>
              <w:bottom w:val="nil"/>
              <w:tl2br w:val="nil"/>
              <w:tr2bl w:val="nil"/>
            </w:tcBorders>
            <w:vAlign w:val="center"/>
          </w:tcPr>
          <w:p w14:paraId="585A99C0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PSMD8, GNAS, UBE2J2, COX7A1, SLC39A14, ATF4, MAP3K5</w:t>
            </w:r>
          </w:p>
        </w:tc>
      </w:tr>
      <w:tr w:rsidR="007A41F5" w:rsidRPr="005D5DFF" w14:paraId="10165998" w14:textId="77777777" w:rsidTr="0070055D">
        <w:trPr>
          <w:trHeight w:val="499"/>
          <w:jc w:val="center"/>
        </w:trPr>
        <w:tc>
          <w:tcPr>
            <w:tcW w:w="1375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0FF076A9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KEGG_PATHWAY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704E88B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Pathways of neurodegeneratio</w:t>
            </w:r>
            <w:r w:rsidRPr="005D5DFF">
              <w:rPr>
                <w:color w:val="000000"/>
                <w:lang w:bidi="ar"/>
              </w:rPr>
              <w:lastRenderedPageBreak/>
              <w:t>n - multiple diseases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259EA59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lastRenderedPageBreak/>
              <w:t>0.000300659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E80279B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6.85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57C45E4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B921AD7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22.58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4F1C69DE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 xml:space="preserve">PSMD8, KRAS, COX7A1, </w:t>
            </w:r>
            <w:r w:rsidRPr="005D5DFF">
              <w:rPr>
                <w:color w:val="000000"/>
                <w:lang w:bidi="ar"/>
              </w:rPr>
              <w:lastRenderedPageBreak/>
              <w:t>SLC39A14, MTOR, ATF4, MAP3K5</w:t>
            </w:r>
          </w:p>
        </w:tc>
      </w:tr>
      <w:tr w:rsidR="007A41F5" w:rsidRPr="005D5DFF" w14:paraId="017E7C67" w14:textId="77777777" w:rsidTr="0070055D">
        <w:trPr>
          <w:trHeight w:val="499"/>
          <w:jc w:val="center"/>
        </w:trPr>
        <w:tc>
          <w:tcPr>
            <w:tcW w:w="1375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4477DDEE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lastRenderedPageBreak/>
              <w:t>KEGG_PATHWAY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589D8C4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Prostate cancer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44DA0DB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0.000945736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120E09A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5.53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5555521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5AF9D04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22.58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4D278DFA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PSMD8, KRAS, UBE2J2, COX7A1, MTOR, ATF4, MAP3K5</w:t>
            </w:r>
          </w:p>
        </w:tc>
      </w:tr>
      <w:tr w:rsidR="007A41F5" w:rsidRPr="005D5DFF" w14:paraId="2AD60CD4" w14:textId="77777777" w:rsidTr="0070055D">
        <w:trPr>
          <w:trHeight w:val="499"/>
          <w:jc w:val="center"/>
        </w:trPr>
        <w:tc>
          <w:tcPr>
            <w:tcW w:w="1375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6C7720F4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KEGG_PATHWAY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13830EC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Thermogenesis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3B98B8D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0.001807081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02B7472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15.50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E1EF32E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4642DA3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12.90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02379EDC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ZEB1, KRAS, MTOR, ATF4</w:t>
            </w:r>
          </w:p>
        </w:tc>
      </w:tr>
      <w:tr w:rsidR="007A41F5" w:rsidRPr="005D5DFF" w14:paraId="77F5B63A" w14:textId="77777777" w:rsidTr="0070055D">
        <w:trPr>
          <w:trHeight w:val="499"/>
          <w:jc w:val="center"/>
        </w:trPr>
        <w:tc>
          <w:tcPr>
            <w:tcW w:w="1375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70B6EF9D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KEGG_PATHWAY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5135FA2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Growth hormone synthesis, secretion and action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3489E98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0.00252759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3F917C4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8.10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6119F49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D186845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16.13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6C64F41C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GNAS, KRAS, COX7A1, MTOR, MAP3K5</w:t>
            </w:r>
          </w:p>
        </w:tc>
      </w:tr>
      <w:tr w:rsidR="007A41F5" w:rsidRPr="005D5DFF" w14:paraId="316E9988" w14:textId="77777777" w:rsidTr="0070055D">
        <w:trPr>
          <w:trHeight w:val="499"/>
          <w:jc w:val="center"/>
        </w:trPr>
        <w:tc>
          <w:tcPr>
            <w:tcW w:w="1375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285CCA2E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KEGG_PATHWAY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AC50AF9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Phospholipase D signaling pathway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442B824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0.003314151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E9F1412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12.53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7D1CBF5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68A528A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12.90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138D5E7D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GNAS, KRAS, MTOR, ATF4</w:t>
            </w:r>
          </w:p>
        </w:tc>
      </w:tr>
      <w:tr w:rsidR="007A41F5" w:rsidRPr="005D5DFF" w14:paraId="358B07F5" w14:textId="77777777" w:rsidTr="0070055D">
        <w:trPr>
          <w:trHeight w:val="499"/>
          <w:jc w:val="center"/>
        </w:trPr>
        <w:tc>
          <w:tcPr>
            <w:tcW w:w="1375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7B04D21D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KEGG_PATHWAY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2FDAF54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Amyotrophic lateral sclerosis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93BE8AE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0.005965993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A5A39C5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10.16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2673441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C4C547D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12.90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47522610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SPHK1, GNAS, KRAS, MTOR</w:t>
            </w:r>
          </w:p>
        </w:tc>
      </w:tr>
      <w:tr w:rsidR="007A41F5" w:rsidRPr="005D5DFF" w14:paraId="2DF0821E" w14:textId="77777777" w:rsidTr="0070055D">
        <w:trPr>
          <w:trHeight w:val="499"/>
          <w:jc w:val="center"/>
        </w:trPr>
        <w:tc>
          <w:tcPr>
            <w:tcW w:w="1375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31BD1B2B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KEGG_PATHWAY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EC8204E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Central carbon metabolism in cancer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E8C2874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0.012390047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1F8B500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5.16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D445FB9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31901D2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16.13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716795F3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PSMD8, COX7A1, MTOR, ATF4, MAP3K5</w:t>
            </w:r>
          </w:p>
        </w:tc>
      </w:tr>
      <w:tr w:rsidR="007A41F5" w:rsidRPr="005D5DFF" w14:paraId="1ADDBCC6" w14:textId="77777777" w:rsidTr="0070055D">
        <w:trPr>
          <w:trHeight w:val="499"/>
          <w:jc w:val="center"/>
        </w:trPr>
        <w:tc>
          <w:tcPr>
            <w:tcW w:w="1375" w:type="dxa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7EBC8698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KEGG_PATHWAY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1848349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Viral carcinogenesis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3AD49FA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0.013450796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9FC0071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16.11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3A9DC5F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67802E1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9.68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15132777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PKM, KRAS, MTOR</w:t>
            </w:r>
          </w:p>
        </w:tc>
      </w:tr>
      <w:tr w:rsidR="007A41F5" w:rsidRPr="005D5DFF" w14:paraId="4BEF1ECB" w14:textId="77777777" w:rsidTr="0070055D">
        <w:trPr>
          <w:trHeight w:val="650"/>
          <w:jc w:val="center"/>
        </w:trPr>
        <w:tc>
          <w:tcPr>
            <w:tcW w:w="1375" w:type="dxa"/>
            <w:tcBorders>
              <w:top w:val="nil"/>
              <w:right w:val="nil"/>
              <w:tl2br w:val="nil"/>
              <w:tr2bl w:val="nil"/>
            </w:tcBorders>
            <w:vAlign w:val="center"/>
          </w:tcPr>
          <w:p w14:paraId="479FC8C7" w14:textId="77777777" w:rsidR="007A41F5" w:rsidRPr="005D5DFF" w:rsidRDefault="007A41F5" w:rsidP="0070055D">
            <w:pPr>
              <w:rPr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KEGG_PATHWAY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57E653C2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Chemical carcinogenesis - receptor activation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3A280EAC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0.014330314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2DC7A41E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7.37</w:t>
            </w:r>
          </w:p>
        </w:tc>
        <w:tc>
          <w:tcPr>
            <w:tcW w:w="791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5EEFDF40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3354779D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12.90</w:t>
            </w:r>
          </w:p>
        </w:tc>
        <w:tc>
          <w:tcPr>
            <w:tcW w:w="2125" w:type="dxa"/>
            <w:tcBorders>
              <w:top w:val="nil"/>
              <w:left w:val="nil"/>
              <w:tl2br w:val="nil"/>
              <w:tr2bl w:val="nil"/>
            </w:tcBorders>
            <w:vAlign w:val="center"/>
          </w:tcPr>
          <w:p w14:paraId="4A7D81F3" w14:textId="77777777" w:rsidR="007A41F5" w:rsidRPr="005D5DFF" w:rsidRDefault="007A41F5" w:rsidP="0070055D">
            <w:pPr>
              <w:rPr>
                <w:rFonts w:eastAsia="STIX-Regular"/>
                <w:color w:val="000000"/>
                <w:lang w:bidi="ar"/>
              </w:rPr>
            </w:pPr>
            <w:r w:rsidRPr="005D5DFF">
              <w:rPr>
                <w:color w:val="000000"/>
                <w:lang w:bidi="ar"/>
              </w:rPr>
              <w:t>PKM, KRAS, YWHAG, ATF4</w:t>
            </w:r>
          </w:p>
        </w:tc>
      </w:tr>
    </w:tbl>
    <w:p w14:paraId="0470146A" w14:textId="77777777" w:rsidR="00137F04" w:rsidRPr="005D5DFF" w:rsidRDefault="00137F04">
      <w:pPr>
        <w:rPr>
          <w:color w:val="000000"/>
        </w:rPr>
      </w:pPr>
    </w:p>
    <w:sectPr w:rsidR="00137F04" w:rsidRPr="005D5DFF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21DFE" w14:textId="77777777" w:rsidR="00004382" w:rsidRDefault="00004382" w:rsidP="00AA2D3D">
      <w:pPr>
        <w:spacing w:line="240" w:lineRule="auto"/>
      </w:pPr>
      <w:r>
        <w:separator/>
      </w:r>
    </w:p>
  </w:endnote>
  <w:endnote w:type="continuationSeparator" w:id="0">
    <w:p w14:paraId="76984645" w14:textId="77777777" w:rsidR="00004382" w:rsidRDefault="00004382" w:rsidP="00AA2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IX-Regular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FF4D8" w14:textId="3D4D7A76" w:rsidR="005D5DFF" w:rsidRDefault="005D5DF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5FCCB1" wp14:editId="3FFECC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209230545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A5337" w14:textId="31375D8B" w:rsidR="005D5DFF" w:rsidRPr="005D5DFF" w:rsidRDefault="005D5DFF" w:rsidP="005D5D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D5D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FCC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15A5337" w14:textId="31375D8B" w:rsidR="005D5DFF" w:rsidRPr="005D5DFF" w:rsidRDefault="005D5DFF" w:rsidP="005D5D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D5D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E3B49" w14:textId="13A42C88" w:rsidR="005D5DFF" w:rsidRDefault="005D5DF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4D11EF" wp14:editId="552CE46D">
              <wp:simplePos x="1143000" y="9934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109288014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182DA" w14:textId="5715CC85" w:rsidR="005D5DFF" w:rsidRPr="005D5DFF" w:rsidRDefault="005D5DFF" w:rsidP="005D5D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D5D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D11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95182DA" w14:textId="5715CC85" w:rsidR="005D5DFF" w:rsidRPr="005D5DFF" w:rsidRDefault="005D5DFF" w:rsidP="005D5D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D5D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49E68" w14:textId="73EF29ED" w:rsidR="005D5DFF" w:rsidRDefault="005D5DF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2861BC" wp14:editId="11F8E5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52857364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3A167" w14:textId="7DF3E9B2" w:rsidR="005D5DFF" w:rsidRPr="005D5DFF" w:rsidRDefault="005D5DFF" w:rsidP="005D5D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D5D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86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C23A167" w14:textId="7DF3E9B2" w:rsidR="005D5DFF" w:rsidRPr="005D5DFF" w:rsidRDefault="005D5DFF" w:rsidP="005D5D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D5D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13E86" w14:textId="77777777" w:rsidR="00004382" w:rsidRDefault="00004382" w:rsidP="00AA2D3D">
      <w:pPr>
        <w:spacing w:line="240" w:lineRule="auto"/>
      </w:pPr>
      <w:r>
        <w:separator/>
      </w:r>
    </w:p>
  </w:footnote>
  <w:footnote w:type="continuationSeparator" w:id="0">
    <w:p w14:paraId="1078402F" w14:textId="77777777" w:rsidR="00004382" w:rsidRDefault="00004382" w:rsidP="00AA2D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F5"/>
    <w:rsid w:val="00004382"/>
    <w:rsid w:val="000275C9"/>
    <w:rsid w:val="00093FB7"/>
    <w:rsid w:val="00137F04"/>
    <w:rsid w:val="002B63DD"/>
    <w:rsid w:val="005D5DFF"/>
    <w:rsid w:val="0061042E"/>
    <w:rsid w:val="00644001"/>
    <w:rsid w:val="00695C94"/>
    <w:rsid w:val="007A41F5"/>
    <w:rsid w:val="00822B2A"/>
    <w:rsid w:val="009165C9"/>
    <w:rsid w:val="00942CD2"/>
    <w:rsid w:val="00A83147"/>
    <w:rsid w:val="00AA2D3D"/>
    <w:rsid w:val="00B45C28"/>
    <w:rsid w:val="00C97DA2"/>
    <w:rsid w:val="00E15F03"/>
    <w:rsid w:val="00EA0C83"/>
    <w:rsid w:val="00EA76E6"/>
    <w:rsid w:val="00EF175A"/>
    <w:rsid w:val="00F04574"/>
    <w:rsid w:val="00F1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3BC39"/>
  <w15:docId w15:val="{A8F558E4-7224-4D2C-B051-1E13D3D5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7A41F5"/>
    <w:pPr>
      <w:widowControl w:val="0"/>
      <w:tabs>
        <w:tab w:val="left" w:pos="2226"/>
      </w:tabs>
      <w:spacing w:line="360" w:lineRule="auto"/>
      <w:jc w:val="both"/>
    </w:pPr>
    <w:rPr>
      <w:rFonts w:ascii="Times New Roman" w:eastAsia="SimSu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utoRedefine/>
    <w:qFormat/>
    <w:rsid w:val="007A41F5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autoRedefine/>
    <w:uiPriority w:val="99"/>
    <w:unhideWhenUsed/>
    <w:qFormat/>
    <w:rsid w:val="00F1505F"/>
    <w:pPr>
      <w:widowControl/>
      <w:tabs>
        <w:tab w:val="clear" w:pos="222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SimSun" w:hAnsi="SimSun" w:cs="SimSun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505F"/>
    <w:rPr>
      <w:rFonts w:ascii="SimSun" w:eastAsia="SimSun" w:hAnsi="SimSun" w:cs="SimSu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1505F"/>
    <w:pPr>
      <w:tabs>
        <w:tab w:val="clear" w:pos="2226"/>
      </w:tabs>
      <w:spacing w:line="240" w:lineRule="auto"/>
      <w:ind w:firstLineChars="200" w:firstLine="420"/>
    </w:pPr>
    <w:rPr>
      <w:sz w:val="21"/>
    </w:rPr>
  </w:style>
  <w:style w:type="character" w:customStyle="1" w:styleId="font01">
    <w:name w:val="font01"/>
    <w:qFormat/>
    <w:rsid w:val="00F1505F"/>
    <w:rPr>
      <w:rFonts w:ascii="SimSun" w:eastAsia="SimSun" w:hAnsi="SimSun" w:cs="SimSun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sid w:val="00F1505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AA2D3D"/>
    <w:pPr>
      <w:pBdr>
        <w:bottom w:val="single" w:sz="6" w:space="1" w:color="auto"/>
      </w:pBdr>
      <w:tabs>
        <w:tab w:val="clear" w:pos="2226"/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2D3D"/>
    <w:rPr>
      <w:rFonts w:ascii="Times New Roman" w:eastAsia="SimSun" w:hAnsi="Times New Roman" w:cs="Times New Roman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2D3D"/>
    <w:pPr>
      <w:tabs>
        <w:tab w:val="clear" w:pos="2226"/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2D3D"/>
    <w:rPr>
      <w:rFonts w:ascii="Times New Roman" w:eastAsia="SimSun" w:hAnsi="Times New Roman" w:cs="Times New Roman"/>
      <w:sz w:val="18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D3D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3D"/>
    <w:rPr>
      <w:rFonts w:ascii="Times New Roman" w:eastAsia="SimSun" w:hAnsi="Times New Roman" w:cs="Times New Roman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644001"/>
    <w:rPr>
      <w:rFonts w:ascii="Times New Roman" w:eastAsia="SimSu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bdfvdi J</dc:creator>
  <cp:keywords/>
  <dc:description/>
  <cp:lastModifiedBy>Murphy, Alexandra</cp:lastModifiedBy>
  <cp:revision>2</cp:revision>
  <dcterms:created xsi:type="dcterms:W3CDTF">2024-09-24T02:18:00Z</dcterms:created>
  <dcterms:modified xsi:type="dcterms:W3CDTF">2024-09-24T02:18:00Z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96ea5b9c-5f7d-4d32-ae83-c4abc9fd632d</vt:lpwstr>
  </property>
  <property fmtid="{D5CDD505-2E9C-101B-9397-08002B2CF9AE}" pid="3" name="ClassificationContentMarkingFooterShapeIds">
    <vt:lpwstr>1f8164c9,7cb60c2d,4124070f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2024-09-24T02:18:49Z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41b89d21-6aa1-464c-a010-2ab238c092f8</vt:lpwstr>
  </property>
  <property fmtid="{D5CDD505-2E9C-101B-9397-08002B2CF9AE}" pid="12" name="MSIP_Label_2bbab825-a111-45e4-86a1-18cee0005896_ContentBits">
    <vt:lpwstr>2</vt:lpwstr>
  </property>
</Properties>
</file>