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2C665" w14:textId="7FB40E6D" w:rsidR="00800ACF" w:rsidRPr="006F6370" w:rsidRDefault="003A2071" w:rsidP="008D007A">
      <w:pPr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6F6370">
        <w:rPr>
          <w:rFonts w:ascii="Arial" w:eastAsia="Calibri" w:hAnsi="Arial" w:cs="Arial"/>
          <w:b/>
          <w:sz w:val="24"/>
          <w:szCs w:val="24"/>
          <w:lang w:val="en-GB"/>
        </w:rPr>
        <w:t xml:space="preserve">Supplementary Table </w:t>
      </w:r>
      <w:r w:rsidR="008011B8" w:rsidRPr="006F6370">
        <w:rPr>
          <w:rFonts w:ascii="Arial" w:eastAsia="Calibri" w:hAnsi="Arial" w:cs="Arial"/>
          <w:b/>
          <w:sz w:val="24"/>
          <w:szCs w:val="24"/>
          <w:lang w:val="en-GB"/>
        </w:rPr>
        <w:t>1</w:t>
      </w:r>
      <w:r w:rsidRPr="006F6370">
        <w:rPr>
          <w:rFonts w:ascii="Arial" w:eastAsia="Calibri" w:hAnsi="Arial" w:cs="Arial"/>
          <w:b/>
          <w:sz w:val="24"/>
          <w:szCs w:val="24"/>
          <w:lang w:val="en-GB"/>
        </w:rPr>
        <w:t xml:space="preserve">. </w:t>
      </w:r>
      <w:r w:rsidR="008011B8" w:rsidRPr="006F6370">
        <w:rPr>
          <w:rFonts w:ascii="Arial" w:eastAsia="Calibri" w:hAnsi="Arial" w:cs="Arial"/>
          <w:bCs/>
          <w:sz w:val="24"/>
          <w:szCs w:val="24"/>
          <w:lang w:val="en-GB"/>
        </w:rPr>
        <w:t>Proposed i</w:t>
      </w:r>
      <w:r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mprovement actions at the first meeting and the average </w:t>
      </w:r>
      <w:r w:rsidR="009D0397" w:rsidRPr="006F6370">
        <w:rPr>
          <w:rFonts w:ascii="Arial" w:eastAsia="Calibri" w:hAnsi="Arial" w:cs="Arial"/>
          <w:bCs/>
          <w:sz w:val="24"/>
          <w:szCs w:val="24"/>
          <w:lang w:val="en-GB"/>
        </w:rPr>
        <w:t>score</w:t>
      </w:r>
      <w:r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 of the multidisciplinary group (1=minimum relevance; 10=maximum relevance).</w:t>
      </w:r>
    </w:p>
    <w:tbl>
      <w:tblPr>
        <w:tblStyle w:val="GridTable4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35"/>
        <w:gridCol w:w="6464"/>
        <w:gridCol w:w="1589"/>
      </w:tblGrid>
      <w:tr w:rsidR="008D007A" w:rsidRPr="006F6370" w14:paraId="47D6D54A" w14:textId="77777777" w:rsidTr="006F6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96C8205" w14:textId="77777777" w:rsidR="008D007A" w:rsidRPr="006F6370" w:rsidRDefault="008D007A" w:rsidP="00CE014D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N</w:t>
            </w:r>
          </w:p>
        </w:tc>
        <w:tc>
          <w:tcPr>
            <w:tcW w:w="646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2C4C38B" w14:textId="0882FE5D" w:rsidR="008D007A" w:rsidRPr="006F6370" w:rsidRDefault="008D007A" w:rsidP="00CE01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Ac</w:t>
            </w:r>
            <w:r w:rsidR="009D0397" w:rsidRPr="006F6370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tion</w:t>
            </w:r>
          </w:p>
        </w:tc>
        <w:tc>
          <w:tcPr>
            <w:tcW w:w="158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18EA182" w14:textId="36B33699" w:rsidR="008D007A" w:rsidRPr="006F6370" w:rsidRDefault="009D0397" w:rsidP="00CE0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Score</w:t>
            </w:r>
          </w:p>
        </w:tc>
      </w:tr>
      <w:tr w:rsidR="008D007A" w:rsidRPr="006F6370" w14:paraId="34DED285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tcBorders>
              <w:top w:val="single" w:sz="4" w:space="0" w:color="auto"/>
            </w:tcBorders>
          </w:tcPr>
          <w:p w14:paraId="17C1424A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6464" w:type="dxa"/>
            <w:tcBorders>
              <w:top w:val="single" w:sz="4" w:space="0" w:color="auto"/>
            </w:tcBorders>
          </w:tcPr>
          <w:p w14:paraId="6C18D285" w14:textId="53DF21D2" w:rsidR="008D007A" w:rsidRPr="006F6370" w:rsidRDefault="000E235A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 xml:space="preserve">Establish </w:t>
            </w:r>
            <w:r w:rsidR="008011B8" w:rsidRPr="006F6370">
              <w:rPr>
                <w:rFonts w:ascii="Arial" w:hAnsi="Arial" w:cs="Arial"/>
                <w:sz w:val="18"/>
                <w:szCs w:val="18"/>
                <w:lang w:val="en-GB"/>
              </w:rPr>
              <w:t>FLS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 xml:space="preserve"> in hospitals.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F5116A8" w14:textId="52D20B0D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</w:tr>
      <w:tr w:rsidR="008D007A" w:rsidRPr="006F6370" w14:paraId="1287A9CB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33F0797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6464" w:type="dxa"/>
          </w:tcPr>
          <w:p w14:paraId="04130C71" w14:textId="3E20E37E" w:rsidR="008D007A" w:rsidRPr="006F6370" w:rsidRDefault="001A2EC3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Introduce secondary fracture prevention in chronic care programmes</w:t>
            </w:r>
          </w:p>
        </w:tc>
        <w:tc>
          <w:tcPr>
            <w:tcW w:w="1589" w:type="dxa"/>
          </w:tcPr>
          <w:p w14:paraId="69D103B2" w14:textId="71863174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</w:tr>
      <w:tr w:rsidR="008D007A" w:rsidRPr="006F6370" w14:paraId="1917A467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9899A53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6464" w:type="dxa"/>
          </w:tcPr>
          <w:p w14:paraId="2EF24A3B" w14:textId="1950B98D" w:rsidR="008D007A" w:rsidRPr="006F6370" w:rsidRDefault="001A2EC3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Introduce continuity of care indicators in management agreements</w:t>
            </w:r>
          </w:p>
        </w:tc>
        <w:tc>
          <w:tcPr>
            <w:tcW w:w="1589" w:type="dxa"/>
          </w:tcPr>
          <w:p w14:paraId="20167873" w14:textId="39E30408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</w:tr>
      <w:tr w:rsidR="008D007A" w:rsidRPr="006F6370" w14:paraId="46FC244E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B0AC7FA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6464" w:type="dxa"/>
          </w:tcPr>
          <w:p w14:paraId="27A6A361" w14:textId="0CCAE29C" w:rsidR="008D007A" w:rsidRPr="006F6370" w:rsidRDefault="001A2EC3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Intensify communication between primary care and other special</w:t>
            </w:r>
            <w:r w:rsidR="008011B8" w:rsidRPr="006F6370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 xml:space="preserve">ties </w:t>
            </w:r>
          </w:p>
        </w:tc>
        <w:tc>
          <w:tcPr>
            <w:tcW w:w="1589" w:type="dxa"/>
          </w:tcPr>
          <w:p w14:paraId="3ED686BF" w14:textId="0CEDA031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</w:tr>
      <w:tr w:rsidR="008D007A" w:rsidRPr="006F6370" w14:paraId="79B7DBA8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20992C9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6464" w:type="dxa"/>
          </w:tcPr>
          <w:p w14:paraId="545109AD" w14:textId="1420DEE8" w:rsidR="008D007A" w:rsidRPr="006F6370" w:rsidRDefault="0055100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Provide specific training for primary care</w:t>
            </w:r>
          </w:p>
        </w:tc>
        <w:tc>
          <w:tcPr>
            <w:tcW w:w="1589" w:type="dxa"/>
          </w:tcPr>
          <w:p w14:paraId="43ED17D3" w14:textId="63E74F9B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</w:tr>
      <w:tr w:rsidR="008D007A" w:rsidRPr="006F6370" w14:paraId="3501C7AD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D72AC5A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6464" w:type="dxa"/>
          </w:tcPr>
          <w:p w14:paraId="534AB6F6" w14:textId="445A51D4" w:rsidR="008D007A" w:rsidRPr="006F6370" w:rsidRDefault="0055100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Provide specific training for managers and encourage their involvement</w:t>
            </w:r>
          </w:p>
        </w:tc>
        <w:tc>
          <w:tcPr>
            <w:tcW w:w="1589" w:type="dxa"/>
          </w:tcPr>
          <w:p w14:paraId="7459D308" w14:textId="7B3AD5C6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</w:tr>
      <w:tr w:rsidR="008D007A" w:rsidRPr="006F6370" w14:paraId="3BD5FEFD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05615BC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6464" w:type="dxa"/>
          </w:tcPr>
          <w:p w14:paraId="218C97A1" w14:textId="7A1F4297" w:rsidR="008D007A" w:rsidRPr="006F6370" w:rsidRDefault="006B732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Involve nursing staff in the follow-up of the patient</w:t>
            </w:r>
          </w:p>
        </w:tc>
        <w:tc>
          <w:tcPr>
            <w:tcW w:w="1589" w:type="dxa"/>
          </w:tcPr>
          <w:p w14:paraId="29A1B629" w14:textId="77777777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</w:tr>
      <w:tr w:rsidR="008D007A" w:rsidRPr="006F6370" w14:paraId="6DC36AC3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BA3FD50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6464" w:type="dxa"/>
          </w:tcPr>
          <w:p w14:paraId="7D39B1E3" w14:textId="7D410BAB" w:rsidR="008D007A" w:rsidRPr="006F6370" w:rsidRDefault="006B732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Draw up a register of all fragility fractures</w:t>
            </w:r>
          </w:p>
        </w:tc>
        <w:tc>
          <w:tcPr>
            <w:tcW w:w="1589" w:type="dxa"/>
          </w:tcPr>
          <w:p w14:paraId="296A4AC7" w14:textId="77777777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</w:tr>
      <w:tr w:rsidR="008D007A" w:rsidRPr="006F6370" w14:paraId="146DA3F2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CE3BD10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6464" w:type="dxa"/>
          </w:tcPr>
          <w:p w14:paraId="47D90353" w14:textId="33F24C0F" w:rsidR="008D007A" w:rsidRPr="006F6370" w:rsidRDefault="006B732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Systematised adherence monitoring</w:t>
            </w:r>
          </w:p>
        </w:tc>
        <w:tc>
          <w:tcPr>
            <w:tcW w:w="1589" w:type="dxa"/>
          </w:tcPr>
          <w:p w14:paraId="6B61725F" w14:textId="6781A612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</w:tr>
      <w:tr w:rsidR="008D007A" w:rsidRPr="006F6370" w14:paraId="57A68ADA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D373116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6464" w:type="dxa"/>
          </w:tcPr>
          <w:p w14:paraId="5962FF58" w14:textId="21612A8B" w:rsidR="008D007A" w:rsidRPr="006F6370" w:rsidRDefault="006B732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Identify at-risk patients through emergency records</w:t>
            </w:r>
          </w:p>
        </w:tc>
        <w:tc>
          <w:tcPr>
            <w:tcW w:w="1589" w:type="dxa"/>
          </w:tcPr>
          <w:p w14:paraId="45EAB174" w14:textId="15752651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</w:tr>
      <w:tr w:rsidR="008D007A" w:rsidRPr="006F6370" w14:paraId="7AFC28EA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B29B3A0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6464" w:type="dxa"/>
          </w:tcPr>
          <w:p w14:paraId="79DCC036" w14:textId="2C56C946" w:rsidR="008D007A" w:rsidRPr="006F6370" w:rsidRDefault="0062769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Conduct public awareness campaigns on osteoporosis and fractures</w:t>
            </w:r>
          </w:p>
        </w:tc>
        <w:tc>
          <w:tcPr>
            <w:tcW w:w="1589" w:type="dxa"/>
          </w:tcPr>
          <w:p w14:paraId="24C6D593" w14:textId="55F321B5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</w:tr>
      <w:tr w:rsidR="008D007A" w:rsidRPr="006F6370" w14:paraId="7D50FA97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6BA81E9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6464" w:type="dxa"/>
          </w:tcPr>
          <w:p w14:paraId="2C168683" w14:textId="5E643AF5" w:rsidR="008D007A" w:rsidRPr="006F6370" w:rsidRDefault="0062769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 xml:space="preserve">Develop/update CPGs at </w:t>
            </w:r>
            <w:r w:rsidR="008011B8" w:rsidRPr="006F6370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national level</w:t>
            </w:r>
          </w:p>
        </w:tc>
        <w:tc>
          <w:tcPr>
            <w:tcW w:w="1589" w:type="dxa"/>
          </w:tcPr>
          <w:p w14:paraId="77331246" w14:textId="00FB013E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</w:tr>
      <w:tr w:rsidR="008D007A" w:rsidRPr="006F6370" w14:paraId="6F0E0FD7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6AA7A1A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6464" w:type="dxa"/>
          </w:tcPr>
          <w:p w14:paraId="751B0C09" w14:textId="32E1E184" w:rsidR="008D007A" w:rsidRPr="006F6370" w:rsidRDefault="0062769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Define a multidisciplinary follow-up plan</w:t>
            </w:r>
          </w:p>
        </w:tc>
        <w:tc>
          <w:tcPr>
            <w:tcW w:w="1589" w:type="dxa"/>
          </w:tcPr>
          <w:p w14:paraId="29A9B83F" w14:textId="072D7C18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</w:tr>
      <w:tr w:rsidR="008D007A" w:rsidRPr="006F6370" w14:paraId="7550517E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982ABD6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6464" w:type="dxa"/>
          </w:tcPr>
          <w:p w14:paraId="7506E69D" w14:textId="4968A6C2" w:rsidR="008D007A" w:rsidRPr="006F6370" w:rsidRDefault="00AB141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Promote telemedicine</w:t>
            </w:r>
          </w:p>
        </w:tc>
        <w:tc>
          <w:tcPr>
            <w:tcW w:w="1589" w:type="dxa"/>
          </w:tcPr>
          <w:p w14:paraId="24CA05E1" w14:textId="16E363D4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</w:tr>
      <w:tr w:rsidR="008D007A" w:rsidRPr="006F6370" w14:paraId="306B592D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55336ED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6464" w:type="dxa"/>
          </w:tcPr>
          <w:p w14:paraId="046EE829" w14:textId="5512C523" w:rsidR="008D007A" w:rsidRPr="006F6370" w:rsidRDefault="00AB141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Conduct information campaigns for dentists</w:t>
            </w:r>
          </w:p>
        </w:tc>
        <w:tc>
          <w:tcPr>
            <w:tcW w:w="1589" w:type="dxa"/>
          </w:tcPr>
          <w:p w14:paraId="2DCD1A01" w14:textId="4D829ABC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</w:tr>
      <w:tr w:rsidR="008D007A" w:rsidRPr="006F6370" w14:paraId="7DA679E7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148F1C2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16</w:t>
            </w:r>
          </w:p>
        </w:tc>
        <w:tc>
          <w:tcPr>
            <w:tcW w:w="6464" w:type="dxa"/>
          </w:tcPr>
          <w:p w14:paraId="066F7439" w14:textId="3A3AD6E5" w:rsidR="008D007A" w:rsidRPr="006F6370" w:rsidRDefault="00AB141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Involve community pharmacy in awareness and communication campaigns</w:t>
            </w:r>
          </w:p>
        </w:tc>
        <w:tc>
          <w:tcPr>
            <w:tcW w:w="1589" w:type="dxa"/>
          </w:tcPr>
          <w:p w14:paraId="7CCA72E3" w14:textId="3B42BD99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</w:tr>
      <w:tr w:rsidR="008D007A" w:rsidRPr="006F6370" w14:paraId="326F409E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69F9477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17</w:t>
            </w:r>
          </w:p>
        </w:tc>
        <w:tc>
          <w:tcPr>
            <w:tcW w:w="6464" w:type="dxa"/>
          </w:tcPr>
          <w:p w14:paraId="630F9BAE" w14:textId="63D98EB1" w:rsidR="008D007A" w:rsidRPr="006F6370" w:rsidRDefault="00AB141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Define a comprehensive and individualised treatment plan</w:t>
            </w:r>
          </w:p>
        </w:tc>
        <w:tc>
          <w:tcPr>
            <w:tcW w:w="1589" w:type="dxa"/>
          </w:tcPr>
          <w:p w14:paraId="68D44530" w14:textId="14510B08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</w:tr>
      <w:tr w:rsidR="008D007A" w:rsidRPr="006F6370" w14:paraId="6488BB5D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10EC2BD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18</w:t>
            </w:r>
          </w:p>
        </w:tc>
        <w:tc>
          <w:tcPr>
            <w:tcW w:w="6464" w:type="dxa"/>
          </w:tcPr>
          <w:p w14:paraId="5E51C897" w14:textId="52214AAB" w:rsidR="008D007A" w:rsidRPr="006F6370" w:rsidRDefault="00911F4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Conduct clinical case training sessions</w:t>
            </w:r>
          </w:p>
        </w:tc>
        <w:tc>
          <w:tcPr>
            <w:tcW w:w="1589" w:type="dxa"/>
          </w:tcPr>
          <w:p w14:paraId="0289337C" w14:textId="010084C1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</w:tr>
      <w:tr w:rsidR="008D007A" w:rsidRPr="006F6370" w14:paraId="4AB63324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C88DC24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19</w:t>
            </w:r>
          </w:p>
        </w:tc>
        <w:tc>
          <w:tcPr>
            <w:tcW w:w="6464" w:type="dxa"/>
          </w:tcPr>
          <w:p w14:paraId="59723D80" w14:textId="722DCBCF" w:rsidR="008D007A" w:rsidRPr="006F6370" w:rsidRDefault="00911F4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Boosting the educational work of pharmacists' offices</w:t>
            </w:r>
          </w:p>
        </w:tc>
        <w:tc>
          <w:tcPr>
            <w:tcW w:w="1589" w:type="dxa"/>
          </w:tcPr>
          <w:p w14:paraId="0EAE2B0C" w14:textId="4EBA8DE3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</w:tr>
      <w:tr w:rsidR="008D007A" w:rsidRPr="006F6370" w14:paraId="3F6F9268" w14:textId="77777777" w:rsidTr="006F637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AD4C65E" w14:textId="77777777" w:rsidR="008D007A" w:rsidRPr="006F6370" w:rsidRDefault="008D007A" w:rsidP="00CE01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20</w:t>
            </w:r>
          </w:p>
        </w:tc>
        <w:tc>
          <w:tcPr>
            <w:tcW w:w="6464" w:type="dxa"/>
          </w:tcPr>
          <w:p w14:paraId="5FCAD944" w14:textId="057C394E" w:rsidR="008D007A" w:rsidRPr="006F6370" w:rsidRDefault="00255A1C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Provide information material on patient guidelines to be followed</w:t>
            </w:r>
          </w:p>
        </w:tc>
        <w:tc>
          <w:tcPr>
            <w:tcW w:w="1589" w:type="dxa"/>
          </w:tcPr>
          <w:p w14:paraId="03FDECBC" w14:textId="313583FC" w:rsidR="008D007A" w:rsidRPr="006F6370" w:rsidRDefault="008D007A" w:rsidP="00CE01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="009D0397" w:rsidRPr="006F637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F6370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</w:tr>
    </w:tbl>
    <w:p w14:paraId="77F80839" w14:textId="00E7C4F3" w:rsidR="00F7161E" w:rsidRPr="006F6370" w:rsidRDefault="006F6370" w:rsidP="008011B8">
      <w:pPr>
        <w:spacing w:before="80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6F6370">
        <w:rPr>
          <w:rStyle w:val="Strong"/>
          <w:rFonts w:ascii="Arial" w:hAnsi="Arial" w:cs="Arial"/>
          <w:b w:val="0"/>
          <w:bCs w:val="0"/>
          <w:sz w:val="18"/>
          <w:szCs w:val="18"/>
          <w:lang w:val="en-GB"/>
        </w:rPr>
        <w:t>CPG: clinical practice guideline</w:t>
      </w:r>
      <w:r>
        <w:rPr>
          <w:rStyle w:val="Strong"/>
          <w:rFonts w:ascii="Arial" w:hAnsi="Arial" w:cs="Arial"/>
          <w:b w:val="0"/>
          <w:bCs w:val="0"/>
          <w:sz w:val="18"/>
          <w:szCs w:val="18"/>
          <w:lang w:val="en-GB"/>
        </w:rPr>
        <w:t>;</w:t>
      </w:r>
      <w:r w:rsidRPr="006F6370">
        <w:rPr>
          <w:rStyle w:val="Strong"/>
          <w:rFonts w:ascii="Arial" w:hAnsi="Arial" w:cs="Arial"/>
          <w:b w:val="0"/>
          <w:bCs w:val="0"/>
          <w:sz w:val="18"/>
          <w:szCs w:val="18"/>
          <w:lang w:val="en-GB"/>
        </w:rPr>
        <w:t xml:space="preserve"> </w:t>
      </w:r>
      <w:r w:rsidR="008D007A" w:rsidRPr="006F6370">
        <w:rPr>
          <w:rStyle w:val="Strong"/>
          <w:rFonts w:ascii="Arial" w:hAnsi="Arial" w:cs="Arial"/>
          <w:b w:val="0"/>
          <w:bCs w:val="0"/>
          <w:sz w:val="18"/>
          <w:szCs w:val="18"/>
          <w:lang w:val="en-GB"/>
        </w:rPr>
        <w:t>FLS: fracture liaison service</w:t>
      </w:r>
      <w:r w:rsidR="008011B8" w:rsidRPr="006F6370">
        <w:rPr>
          <w:rStyle w:val="Strong"/>
          <w:rFonts w:ascii="Arial" w:hAnsi="Arial" w:cs="Arial"/>
          <w:b w:val="0"/>
          <w:bCs w:val="0"/>
          <w:sz w:val="18"/>
          <w:szCs w:val="18"/>
          <w:lang w:val="en-GB"/>
        </w:rPr>
        <w:t>.</w:t>
      </w:r>
    </w:p>
    <w:p w14:paraId="7BC4918A" w14:textId="77777777" w:rsidR="00F36D61" w:rsidRPr="006F6370" w:rsidRDefault="00F36D61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6F6370">
        <w:rPr>
          <w:rFonts w:ascii="Arial" w:eastAsia="Calibri" w:hAnsi="Arial" w:cs="Arial"/>
          <w:b/>
          <w:sz w:val="24"/>
          <w:szCs w:val="24"/>
          <w:lang w:val="en-GB"/>
        </w:rPr>
        <w:br w:type="page"/>
      </w:r>
    </w:p>
    <w:p w14:paraId="595D4B56" w14:textId="665CFD50" w:rsidR="008D007A" w:rsidRPr="006F6370" w:rsidRDefault="00707171">
      <w:pPr>
        <w:rPr>
          <w:rFonts w:ascii="Arial" w:eastAsia="Calibri" w:hAnsi="Arial" w:cs="Arial"/>
          <w:bCs/>
          <w:sz w:val="24"/>
          <w:szCs w:val="24"/>
          <w:lang w:val="en-GB"/>
        </w:rPr>
      </w:pPr>
      <w:r w:rsidRPr="006F6370">
        <w:rPr>
          <w:rFonts w:ascii="Arial" w:eastAsia="Calibri" w:hAnsi="Arial" w:cs="Arial"/>
          <w:b/>
          <w:sz w:val="24"/>
          <w:szCs w:val="24"/>
          <w:lang w:val="en-GB"/>
        </w:rPr>
        <w:lastRenderedPageBreak/>
        <w:t>Supplementary Table</w:t>
      </w:r>
      <w:r w:rsidR="00800ACF" w:rsidRPr="006F6370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r w:rsidR="008F3E58" w:rsidRPr="006F6370">
        <w:rPr>
          <w:rFonts w:ascii="Arial" w:eastAsia="Calibri" w:hAnsi="Arial" w:cs="Arial"/>
          <w:b/>
          <w:sz w:val="24"/>
          <w:szCs w:val="24"/>
          <w:lang w:val="en-GB"/>
        </w:rPr>
        <w:t>2</w:t>
      </w:r>
      <w:r w:rsidR="00800ACF" w:rsidRPr="006F6370">
        <w:rPr>
          <w:rFonts w:ascii="Arial" w:eastAsia="Calibri" w:hAnsi="Arial" w:cs="Arial"/>
          <w:b/>
          <w:sz w:val="24"/>
          <w:szCs w:val="24"/>
          <w:lang w:val="en-GB"/>
        </w:rPr>
        <w:t>.</w:t>
      </w:r>
      <w:r w:rsidR="00800ACF"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r w:rsidR="00371ED0" w:rsidRPr="006F6370">
        <w:rPr>
          <w:rFonts w:ascii="Arial" w:eastAsia="Calibri" w:hAnsi="Arial" w:cs="Arial"/>
          <w:bCs/>
          <w:sz w:val="24"/>
          <w:szCs w:val="24"/>
          <w:lang w:val="en-GB"/>
        </w:rPr>
        <w:t>O</w:t>
      </w:r>
      <w:r w:rsidRPr="006F6370">
        <w:rPr>
          <w:rFonts w:ascii="Arial" w:eastAsia="Calibri" w:hAnsi="Arial" w:cs="Arial"/>
          <w:bCs/>
          <w:sz w:val="24"/>
          <w:szCs w:val="24"/>
          <w:lang w:val="en-GB"/>
        </w:rPr>
        <w:t>bjective</w:t>
      </w:r>
      <w:r w:rsidR="00371ED0" w:rsidRPr="006F6370">
        <w:rPr>
          <w:rFonts w:ascii="Arial" w:eastAsia="Calibri" w:hAnsi="Arial" w:cs="Arial"/>
          <w:bCs/>
          <w:sz w:val="24"/>
          <w:szCs w:val="24"/>
          <w:lang w:val="en-GB"/>
        </w:rPr>
        <w:t>s</w:t>
      </w:r>
      <w:r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r w:rsidR="00371ED0" w:rsidRPr="006F6370">
        <w:rPr>
          <w:rFonts w:ascii="Arial" w:eastAsia="Calibri" w:hAnsi="Arial" w:cs="Arial"/>
          <w:bCs/>
          <w:sz w:val="24"/>
          <w:szCs w:val="24"/>
          <w:lang w:val="en-GB"/>
        </w:rPr>
        <w:t>and stakeholders</w:t>
      </w:r>
      <w:r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 of the improvement actions and sub-actions.</w:t>
      </w:r>
      <w:r w:rsidR="0034235A"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</w:p>
    <w:tbl>
      <w:tblPr>
        <w:tblStyle w:val="GridTable5Dark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510"/>
        <w:gridCol w:w="6984"/>
      </w:tblGrid>
      <w:tr w:rsidR="009645AD" w:rsidRPr="003D1887" w14:paraId="4B4C99C1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top w:val="none" w:sz="0" w:space="0" w:color="auto"/>
              <w:left w:val="none" w:sz="0" w:space="0" w:color="auto"/>
            </w:tcBorders>
            <w:shd w:val="clear" w:color="auto" w:fill="auto"/>
          </w:tcPr>
          <w:p w14:paraId="25806FC5" w14:textId="3D645E23" w:rsidR="009645AD" w:rsidRPr="006F6370" w:rsidRDefault="00FC25E6" w:rsidP="001D36A9">
            <w:pPr>
              <w:pStyle w:val="Ttulos2"/>
              <w:spacing w:before="120" w:line="240" w:lineRule="auto"/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</w:t>
            </w:r>
            <w:r w:rsidR="00302B8B"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-</w:t>
            </w: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action</w:t>
            </w:r>
            <w:r w:rsidR="001D36A9"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 xml:space="preserve"> 1.1: </w:t>
            </w: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Encourage the creation of FLS</w:t>
            </w:r>
          </w:p>
        </w:tc>
      </w:tr>
      <w:tr w:rsidR="00F72865" w:rsidRPr="003D1887" w14:paraId="5EBD9F06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6514F65F" w14:textId="0C1A8C50" w:rsidR="009645AD" w:rsidRPr="006F6370" w:rsidRDefault="00FC25E6" w:rsidP="009645AD">
            <w:pPr>
              <w:spacing w:beforeLines="80" w:before="192" w:afterLines="80" w:after="192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Objective</w:t>
            </w:r>
            <w:r w:rsidR="009645AD"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84" w:type="dxa"/>
            <w:shd w:val="clear" w:color="auto" w:fill="auto"/>
          </w:tcPr>
          <w:p w14:paraId="703C9218" w14:textId="476FD07A" w:rsidR="009645AD" w:rsidRPr="006F6370" w:rsidRDefault="0067509C" w:rsidP="00964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reduce the risk of fragility fracture in women at high risk of fragility fracture (secondary prevention) by improving patient follow-up and treatment.</w:t>
            </w:r>
          </w:p>
        </w:tc>
      </w:tr>
      <w:tr w:rsidR="00F72865" w:rsidRPr="006F6370" w14:paraId="16C07E94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22460658" w14:textId="06703AD9" w:rsidR="009645AD" w:rsidRPr="006F6370" w:rsidRDefault="00302B8B" w:rsidP="009645AD">
            <w:pPr>
              <w:spacing w:beforeLines="80" w:before="192" w:afterLines="80" w:after="192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54F2B7E3" w14:textId="1AB3F575" w:rsidR="0067509C" w:rsidRPr="006F6370" w:rsidRDefault="0067509C" w:rsidP="0067509C">
            <w:pPr>
              <w:numPr>
                <w:ilvl w:val="0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fragility fracture and </w:t>
            </w:r>
            <w:r w:rsidR="00DC0D1F" w:rsidRPr="006F6370">
              <w:rPr>
                <w:rFonts w:ascii="Arial" w:hAnsi="Arial" w:cs="Arial"/>
                <w:sz w:val="20"/>
                <w:szCs w:val="20"/>
                <w:lang w:val="en-GB"/>
              </w:rPr>
              <w:t>postmenopausal OP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 patients</w:t>
            </w:r>
          </w:p>
          <w:p w14:paraId="7E8557F4" w14:textId="5F4B62DD" w:rsidR="0067509C" w:rsidRPr="006F6370" w:rsidRDefault="00146D14" w:rsidP="0067509C">
            <w:pPr>
              <w:numPr>
                <w:ilvl w:val="0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SN</w:t>
            </w:r>
            <w:r w:rsidR="00B16FE5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  <w:p w14:paraId="5C8C1956" w14:textId="310523EC" w:rsidR="0067509C" w:rsidRPr="006F6370" w:rsidRDefault="0067509C" w:rsidP="0067509C">
            <w:pPr>
              <w:numPr>
                <w:ilvl w:val="0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 specialising in:</w:t>
            </w:r>
          </w:p>
          <w:p w14:paraId="05B4CF17" w14:textId="0917CA6C" w:rsidR="0067509C" w:rsidRPr="006F6370" w:rsidRDefault="0067509C" w:rsidP="0067509C">
            <w:pPr>
              <w:numPr>
                <w:ilvl w:val="0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bone metabolism (rheumatology, internal medicine, endocrinology and, depending on the centre, geriatrics)</w:t>
            </w:r>
          </w:p>
          <w:p w14:paraId="0479467A" w14:textId="28B403C6" w:rsidR="0067509C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orthopaedic surgery and traumatology</w:t>
            </w:r>
          </w:p>
          <w:p w14:paraId="3B9174BC" w14:textId="5E0B2FBA" w:rsidR="0067509C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radiology </w:t>
            </w:r>
          </w:p>
          <w:p w14:paraId="563835E6" w14:textId="2D826DB3" w:rsidR="0067509C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rehabilitation</w:t>
            </w:r>
          </w:p>
          <w:p w14:paraId="45789E15" w14:textId="3076DB92" w:rsidR="0067509C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primary care</w:t>
            </w:r>
          </w:p>
          <w:p w14:paraId="3F556A30" w14:textId="6C704A2B" w:rsidR="0067509C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orthogeriatric</w:t>
            </w:r>
          </w:p>
          <w:p w14:paraId="4AD7961E" w14:textId="5171B5BB" w:rsidR="0067509C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nursing (case management)</w:t>
            </w:r>
          </w:p>
          <w:p w14:paraId="4BA6DF34" w14:textId="7B980B7E" w:rsidR="0067509C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emergency care </w:t>
            </w:r>
          </w:p>
          <w:p w14:paraId="3BF73BDE" w14:textId="3061EBEE" w:rsidR="009645AD" w:rsidRPr="006F6370" w:rsidRDefault="0067509C" w:rsidP="00755717">
            <w:pPr>
              <w:numPr>
                <w:ilvl w:val="1"/>
                <w:numId w:val="1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hospital pharmacy</w:t>
            </w:r>
          </w:p>
        </w:tc>
      </w:tr>
      <w:tr w:rsidR="001F5D24" w:rsidRPr="003D1887" w14:paraId="3268DDCB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45719B8A" w14:textId="3651E771" w:rsidR="001F5D24" w:rsidRPr="006F6370" w:rsidRDefault="0078392E" w:rsidP="0043403E">
            <w:pPr>
              <w:pStyle w:val="Ttulos2"/>
              <w:spacing w:before="120" w:line="240" w:lineRule="auto"/>
              <w:rPr>
                <w:rFonts w:ascii="Arial" w:hAnsi="Arial" w:cs="Arial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Sub-Action 1.2: Create a "fracture code".</w:t>
            </w:r>
          </w:p>
        </w:tc>
      </w:tr>
      <w:tr w:rsidR="0078392E" w:rsidRPr="003D1887" w14:paraId="6DE48C81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51BBD5C0" w14:textId="45D664F0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2E04169F" w14:textId="4BF128F3" w:rsidR="0078392E" w:rsidRPr="006F6370" w:rsidRDefault="00CE2A84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To improve the </w:t>
            </w:r>
            <w:r w:rsidR="00037FDD" w:rsidRPr="006F6370">
              <w:rPr>
                <w:rFonts w:ascii="Arial" w:hAnsi="Arial" w:cs="Arial"/>
                <w:sz w:val="20"/>
                <w:szCs w:val="20"/>
                <w:lang w:val="en-GB"/>
              </w:rPr>
              <w:t>identification and registration process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 of patients with OP and fragility fractures and, therefore, their treatment and follow-up.</w:t>
            </w:r>
          </w:p>
        </w:tc>
      </w:tr>
      <w:tr w:rsidR="0078392E" w:rsidRPr="006F6370" w14:paraId="1566604D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63D20E86" w14:textId="74402BFB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41C5052D" w14:textId="4BD4B367" w:rsidR="00CE2A84" w:rsidRPr="006F6370" w:rsidRDefault="00CE2A84" w:rsidP="00CE2A84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patients</w:t>
            </w:r>
          </w:p>
          <w:p w14:paraId="3E64631E" w14:textId="0E975692" w:rsidR="00CE2A84" w:rsidRPr="006F6370" w:rsidRDefault="00146D14" w:rsidP="00CE2A84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SN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  <w:p w14:paraId="0D086063" w14:textId="05957549" w:rsidR="0078392E" w:rsidRPr="006F6370" w:rsidRDefault="00CE2A84" w:rsidP="00CE2A84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</w:tc>
      </w:tr>
      <w:tr w:rsidR="00E97F9A" w:rsidRPr="003D1887" w14:paraId="39CF524D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11490847" w14:textId="5620D3CD" w:rsidR="00E97F9A" w:rsidRPr="006F6370" w:rsidRDefault="00DC0D1F" w:rsidP="00B7190C">
            <w:pPr>
              <w:pStyle w:val="Ttulos2"/>
              <w:spacing w:before="120" w:line="240" w:lineRule="auto"/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Sub-Action 1.3: Provide written information on the disease, guidelines and secondary prevention to patients and families</w:t>
            </w:r>
          </w:p>
        </w:tc>
      </w:tr>
      <w:tr w:rsidR="0078392E" w:rsidRPr="003D1887" w14:paraId="00457D73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077C618A" w14:textId="014DDBE7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49B6AE32" w14:textId="56B7849E" w:rsidR="0078392E" w:rsidRPr="006F6370" w:rsidRDefault="00DC0D1F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increase patients' and families' awareness of the importance of secondary prevention</w:t>
            </w:r>
          </w:p>
        </w:tc>
      </w:tr>
      <w:tr w:rsidR="0078392E" w:rsidRPr="006F6370" w14:paraId="3BD8EAA3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0255A21F" w14:textId="66F7364D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3A2A0D74" w14:textId="77777777" w:rsidR="00DC0D1F" w:rsidRPr="006F6370" w:rsidRDefault="00DC0D1F" w:rsidP="00DC0D1F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430CE36A" w14:textId="77777777" w:rsidR="00290661" w:rsidRPr="006F6370" w:rsidRDefault="00290661" w:rsidP="00DC0D1F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non-professional carers of patients</w:t>
            </w:r>
          </w:p>
          <w:p w14:paraId="07606137" w14:textId="19BAA4C3" w:rsidR="00DC0D1F" w:rsidRPr="006F6370" w:rsidRDefault="00146D14" w:rsidP="00DC0D1F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24979F2F" w14:textId="138C133D" w:rsidR="00290661" w:rsidRPr="006F6370" w:rsidRDefault="00290661" w:rsidP="00290661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  <w:p w14:paraId="67C29721" w14:textId="25B57D3E" w:rsidR="00290661" w:rsidRPr="006F6370" w:rsidRDefault="00290661" w:rsidP="00290661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patient advocacy groups</w:t>
            </w:r>
          </w:p>
          <w:p w14:paraId="2F2CAAA6" w14:textId="135DA777" w:rsidR="00290661" w:rsidRPr="006F6370" w:rsidRDefault="00290661" w:rsidP="00290661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pharmacy offices</w:t>
            </w:r>
          </w:p>
          <w:p w14:paraId="2EF30378" w14:textId="6D5E8D77" w:rsidR="0078392E" w:rsidRPr="006F6370" w:rsidRDefault="003535D1" w:rsidP="00290661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nursing homes</w:t>
            </w:r>
          </w:p>
        </w:tc>
      </w:tr>
      <w:tr w:rsidR="002656D9" w:rsidRPr="003D1887" w14:paraId="47E6771F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69FA71A3" w14:textId="3022FE90" w:rsidR="002656D9" w:rsidRPr="006F6370" w:rsidRDefault="002577B4" w:rsidP="00D0124D">
            <w:pPr>
              <w:pStyle w:val="Ttulos2"/>
              <w:spacing w:before="120" w:line="240" w:lineRule="auto"/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Sub-Action 2.1: Harmonise the main recommendations of existing CPGs at the national level</w:t>
            </w:r>
          </w:p>
        </w:tc>
      </w:tr>
      <w:tr w:rsidR="0078392E" w:rsidRPr="003D1887" w14:paraId="424A1A1F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29815E4C" w14:textId="3049DB8D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630B445A" w14:textId="515689C8" w:rsidR="0078392E" w:rsidRPr="006F6370" w:rsidRDefault="002577B4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homogenise and improve the treatment and follow-up of patients.</w:t>
            </w:r>
          </w:p>
        </w:tc>
      </w:tr>
      <w:tr w:rsidR="0078392E" w:rsidRPr="006F6370" w14:paraId="3AD64EB1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49769275" w14:textId="56BD0056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61EAA86E" w14:textId="77777777" w:rsidR="002577B4" w:rsidRPr="006F6370" w:rsidRDefault="002577B4" w:rsidP="002577B4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024C799A" w14:textId="01B6E5A5" w:rsidR="002577B4" w:rsidRPr="006F6370" w:rsidRDefault="00146D14" w:rsidP="002577B4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218E737D" w14:textId="04654285" w:rsidR="00A4779A" w:rsidRPr="006F6370" w:rsidRDefault="00A4779A" w:rsidP="00A4779A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  <w:p w14:paraId="537B436B" w14:textId="3FF5DA20" w:rsidR="0078392E" w:rsidRPr="006F6370" w:rsidRDefault="00A4779A" w:rsidP="00A4779A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scientific societies</w:t>
            </w:r>
          </w:p>
        </w:tc>
      </w:tr>
      <w:tr w:rsidR="003B16C3" w:rsidRPr="003D1887" w14:paraId="3D13269C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4FF31FAE" w14:textId="2E51ABED" w:rsidR="003B16C3" w:rsidRPr="006F6370" w:rsidRDefault="00EA02EE" w:rsidP="00F1318E">
            <w:pPr>
              <w:pStyle w:val="Ttulos2"/>
              <w:spacing w:before="120" w:line="240" w:lineRule="auto"/>
              <w:rPr>
                <w:rFonts w:ascii="Arial" w:hAnsi="Arial" w:cs="Arial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Sub-Action 2.2: Provide training on fragility fracture prevention in OP for primary care physicians</w:t>
            </w:r>
          </w:p>
        </w:tc>
      </w:tr>
      <w:tr w:rsidR="0078392E" w:rsidRPr="003D1887" w14:paraId="692B0F5D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61261E22" w14:textId="163DEB9C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0E5EE2AF" w14:textId="6EE64691" w:rsidR="0078392E" w:rsidRPr="006F6370" w:rsidRDefault="00563B97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contribute to the identification of postmenopausal patients with OP at risk of suffering a second fracture and thus improve their treatment and follow-up</w:t>
            </w:r>
            <w:r w:rsidR="00F758D1" w:rsidRPr="006F6370">
              <w:rPr>
                <w:rFonts w:ascii="Arial" w:hAnsi="Arial" w:cs="Arial"/>
                <w:sz w:val="20"/>
                <w:szCs w:val="20"/>
                <w:lang w:val="en-GB"/>
              </w:rPr>
              <w:t>, and t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o increase knowledge of the most appropriate therapeutic alternatives for each patient profile.</w:t>
            </w:r>
          </w:p>
        </w:tc>
      </w:tr>
      <w:tr w:rsidR="0078392E" w:rsidRPr="006F6370" w14:paraId="0D6300E9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5B0383AF" w14:textId="56BAAE06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1C2D43EB" w14:textId="77777777" w:rsidR="00563B97" w:rsidRPr="006F6370" w:rsidRDefault="00563B97" w:rsidP="00563B97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0F935E23" w14:textId="0E979F07" w:rsidR="00563B97" w:rsidRPr="006F6370" w:rsidRDefault="00146D14" w:rsidP="00563B97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2AB8C4CF" w14:textId="4E70CF1E" w:rsidR="0078392E" w:rsidRPr="006F6370" w:rsidRDefault="00563B97" w:rsidP="00563B97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</w:tc>
      </w:tr>
      <w:tr w:rsidR="00D643B8" w:rsidRPr="003D1887" w14:paraId="4FEB6811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2FCC692B" w14:textId="2DF7EC68" w:rsidR="00D643B8" w:rsidRPr="006F6370" w:rsidRDefault="00836939" w:rsidP="00F72865">
            <w:pPr>
              <w:pStyle w:val="Ttulos2"/>
              <w:spacing w:before="120" w:line="240" w:lineRule="auto"/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lastRenderedPageBreak/>
              <w:t>Sub-Action 2.3: Conduct clinical case presentation and discussion sessions between specialised and primary care</w:t>
            </w:r>
          </w:p>
        </w:tc>
      </w:tr>
      <w:tr w:rsidR="0078392E" w:rsidRPr="003D1887" w14:paraId="25F32D22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3AB1DB2E" w14:textId="5ADC126D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54323A4B" w14:textId="6AC6A9CC" w:rsidR="0078392E" w:rsidRPr="006F6370" w:rsidRDefault="002953FB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r</w:t>
            </w:r>
            <w:r w:rsidR="00836939"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aise awareness of the importance of secondary prevention and the measures employed to this end, including </w:t>
            </w:r>
            <w:r w:rsidR="00F758D1" w:rsidRPr="006F6370">
              <w:rPr>
                <w:rFonts w:ascii="Arial" w:hAnsi="Arial" w:cs="Arial"/>
                <w:sz w:val="20"/>
                <w:szCs w:val="20"/>
                <w:lang w:val="en-GB"/>
              </w:rPr>
              <w:t>establishing</w:t>
            </w:r>
            <w:r w:rsidR="00836939"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 FLS or fracture registries.</w:t>
            </w:r>
          </w:p>
        </w:tc>
      </w:tr>
      <w:tr w:rsidR="0078392E" w:rsidRPr="006F6370" w14:paraId="59937BEA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12D6A947" w14:textId="09A8B9A3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54CCF8BD" w14:textId="77777777" w:rsidR="00836939" w:rsidRPr="006F6370" w:rsidRDefault="00836939" w:rsidP="00836939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566F404D" w14:textId="1AF5068F" w:rsidR="00836939" w:rsidRPr="006F6370" w:rsidRDefault="00146D14" w:rsidP="00836939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73DF5381" w14:textId="0502BB6B" w:rsidR="0078392E" w:rsidRPr="006F6370" w:rsidRDefault="00836939" w:rsidP="00836939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</w:tc>
      </w:tr>
      <w:tr w:rsidR="001E44B6" w:rsidRPr="003D1887" w14:paraId="6ECF2201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18CC4065" w14:textId="3347ECCD" w:rsidR="001E44B6" w:rsidRPr="006F6370" w:rsidRDefault="002953FB" w:rsidP="00F42EA5">
            <w:pPr>
              <w:pStyle w:val="Ttulos2"/>
              <w:spacing w:before="12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Sub-Action 2.4: Conduct clinical case presentation</w:t>
            </w:r>
            <w:r w:rsidR="00F758D1"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</w:t>
            </w: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E921F6"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and</w:t>
            </w: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 xml:space="preserve"> discussion sessions for emergency and radiology staff.</w:t>
            </w:r>
          </w:p>
        </w:tc>
      </w:tr>
      <w:tr w:rsidR="0078392E" w:rsidRPr="003D1887" w14:paraId="5C0F8421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56F58059" w14:textId="0D50916D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2349AA1B" w14:textId="48C9B5AC" w:rsidR="0078392E" w:rsidRPr="006F6370" w:rsidRDefault="00F076F9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improve the identification of postmenopausal patient</w:t>
            </w:r>
            <w:r w:rsidR="00171365"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 with OP and fragility fracture by ED and radiology.</w:t>
            </w:r>
          </w:p>
        </w:tc>
      </w:tr>
      <w:tr w:rsidR="0078392E" w:rsidRPr="006F6370" w14:paraId="0D98466E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6EF72762" w14:textId="654EA565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24792B61" w14:textId="77777777" w:rsidR="00C31822" w:rsidRPr="006F6370" w:rsidRDefault="00C31822" w:rsidP="00C31822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5781DD36" w14:textId="5AFC995D" w:rsidR="00C31822" w:rsidRPr="006F6370" w:rsidRDefault="00146D14" w:rsidP="00C31822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59C249DB" w14:textId="2C104A91" w:rsidR="0078392E" w:rsidRPr="006F6370" w:rsidRDefault="00C31822" w:rsidP="00C31822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</w:tc>
      </w:tr>
      <w:tr w:rsidR="0092269C" w:rsidRPr="003D1887" w14:paraId="391511B1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5DEF1C14" w14:textId="6C235CDA" w:rsidR="0092269C" w:rsidRPr="006F6370" w:rsidRDefault="00E460DC" w:rsidP="00D04B51">
            <w:pPr>
              <w:pStyle w:val="Ttulos2"/>
              <w:spacing w:before="120" w:line="240" w:lineRule="auto"/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Sub-Action 2.5: Provide training on the importance of secondary prevention of fragility fracture for dentists and maxillofacial surgeons.</w:t>
            </w:r>
          </w:p>
        </w:tc>
      </w:tr>
      <w:tr w:rsidR="0078392E" w:rsidRPr="003D1887" w14:paraId="6F28B7AD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031CA64A" w14:textId="39683A6F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7D24283D" w14:textId="462B9ED6" w:rsidR="0078392E" w:rsidRPr="006F6370" w:rsidRDefault="00E460DC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raise awareness among dentists and maxillofacial surgeons o</w:t>
            </w:r>
            <w:r w:rsidR="004F6503" w:rsidRPr="006F6370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 the importance of </w:t>
            </w:r>
            <w:r w:rsidR="004F6503"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OP 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secondary prevention</w:t>
            </w:r>
            <w:r w:rsidR="004F6503"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maintenance of pharmacological treatment.</w:t>
            </w:r>
          </w:p>
        </w:tc>
      </w:tr>
      <w:tr w:rsidR="0078392E" w:rsidRPr="003D1887" w14:paraId="4AE9436B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280D2EA7" w14:textId="20153BBA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1CC3934A" w14:textId="61EB9E09" w:rsidR="0078392E" w:rsidRPr="006F6370" w:rsidRDefault="00F206C8" w:rsidP="0078392E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US"/>
              </w:rPr>
              <w:t>patients with</w:t>
            </w:r>
            <w:r w:rsidR="0078392E" w:rsidRPr="006F6370">
              <w:rPr>
                <w:rFonts w:ascii="Arial" w:hAnsi="Arial" w:cs="Arial"/>
                <w:sz w:val="20"/>
                <w:szCs w:val="20"/>
                <w:lang w:val="en-US"/>
              </w:rPr>
              <w:t xml:space="preserve"> OP</w:t>
            </w:r>
            <w:r w:rsidR="00964FF7" w:rsidRPr="006F6370">
              <w:rPr>
                <w:rFonts w:ascii="Arial" w:hAnsi="Arial" w:cs="Arial"/>
                <w:sz w:val="20"/>
                <w:szCs w:val="20"/>
                <w:lang w:val="en-US"/>
              </w:rPr>
              <w:t xml:space="preserve"> and fragility fracture</w:t>
            </w:r>
          </w:p>
          <w:p w14:paraId="15F63076" w14:textId="26057F9D" w:rsidR="0078392E" w:rsidRPr="006F6370" w:rsidRDefault="0078392E" w:rsidP="0078392E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SN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S </w:t>
            </w:r>
          </w:p>
          <w:p w14:paraId="20ADE9A6" w14:textId="2A0DBDAE" w:rsidR="0078392E" w:rsidRPr="006F6370" w:rsidRDefault="00964FF7" w:rsidP="0078392E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US"/>
              </w:rPr>
              <w:t>Hea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6F6370">
              <w:rPr>
                <w:rFonts w:ascii="Arial" w:hAnsi="Arial" w:cs="Arial"/>
                <w:sz w:val="20"/>
                <w:szCs w:val="20"/>
                <w:lang w:val="en-US"/>
              </w:rPr>
              <w:t xml:space="preserve">thcare professionals including odontologists and maxillofacial surgeons </w:t>
            </w:r>
          </w:p>
        </w:tc>
      </w:tr>
      <w:tr w:rsidR="00037748" w:rsidRPr="003D1887" w14:paraId="36A4E312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5E4921DC" w14:textId="03477317" w:rsidR="00037748" w:rsidRPr="006F6370" w:rsidRDefault="00F25259" w:rsidP="00ED34C6">
            <w:pPr>
              <w:pStyle w:val="Ttulos2"/>
              <w:spacing w:before="12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Sub-Action 2.6: Provide training on the importance of secondary prevention of fragility fractures for community pharmacists.</w:t>
            </w:r>
          </w:p>
        </w:tc>
      </w:tr>
      <w:tr w:rsidR="0078392E" w:rsidRPr="003D1887" w14:paraId="3AE5BEF8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5905663E" w14:textId="1244AF24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3F304C23" w14:textId="1279569B" w:rsidR="0078392E" w:rsidRPr="006F6370" w:rsidRDefault="00F25259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improve community pharmacists' knowledge of the importance of secondary prevention and patients' adherence to treatment and pharmacotherapeutic follow-up.</w:t>
            </w:r>
          </w:p>
        </w:tc>
      </w:tr>
      <w:tr w:rsidR="0078392E" w:rsidRPr="006F6370" w14:paraId="6F484CD4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0E6E7703" w14:textId="3E093C66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0947C74A" w14:textId="77777777" w:rsidR="00C31822" w:rsidRPr="006F6370" w:rsidRDefault="00C31822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21B52A6A" w14:textId="1A8458B0" w:rsidR="00C31822" w:rsidRPr="006F6370" w:rsidRDefault="00146D14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21FC59BF" w14:textId="77777777" w:rsidR="00C31822" w:rsidRPr="006F6370" w:rsidRDefault="00C31822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health professionals </w:t>
            </w:r>
          </w:p>
          <w:p w14:paraId="035BAEA9" w14:textId="003D3712" w:rsidR="0078392E" w:rsidRPr="006F6370" w:rsidRDefault="006879BE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pharmacy offices</w:t>
            </w:r>
          </w:p>
        </w:tc>
      </w:tr>
      <w:tr w:rsidR="00F54ADC" w:rsidRPr="003D1887" w14:paraId="52CECFFE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1755D4BB" w14:textId="463A128A" w:rsidR="00F54ADC" w:rsidRPr="006F6370" w:rsidRDefault="00B93FD1" w:rsidP="006E525E">
            <w:pPr>
              <w:pStyle w:val="Ttulos2"/>
              <w:spacing w:before="120" w:line="240" w:lineRule="auto"/>
              <w:rPr>
                <w:rFonts w:ascii="Arial" w:hAnsi="Arial" w:cs="Arial"/>
                <w:b/>
                <w:bCs w:val="0"/>
                <w:lang w:val="en-GB"/>
              </w:rPr>
            </w:pP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Action</w:t>
            </w:r>
            <w:r w:rsidR="006879BE"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 xml:space="preserve"> 3: </w:t>
            </w: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Promote health professionals' adherence to fracture registers</w:t>
            </w:r>
          </w:p>
        </w:tc>
      </w:tr>
      <w:tr w:rsidR="0078392E" w:rsidRPr="003D1887" w14:paraId="7507163F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40B86B3B" w14:textId="45A1BF07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shd w:val="clear" w:color="auto" w:fill="auto"/>
          </w:tcPr>
          <w:p w14:paraId="7DF682DB" w14:textId="53FC2A23" w:rsidR="0078392E" w:rsidRPr="006F6370" w:rsidRDefault="006879BE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To improve the quality of care of postmenopausal women with OP and fracture, optimising their follow-up and treatment and the prevention of fractures.</w:t>
            </w:r>
          </w:p>
        </w:tc>
      </w:tr>
      <w:tr w:rsidR="0078392E" w:rsidRPr="006F6370" w14:paraId="5934AA40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</w:tcBorders>
            <w:shd w:val="clear" w:color="auto" w:fill="auto"/>
          </w:tcPr>
          <w:p w14:paraId="4CCC872E" w14:textId="13DB6278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</w:tc>
        <w:tc>
          <w:tcPr>
            <w:tcW w:w="6984" w:type="dxa"/>
            <w:shd w:val="clear" w:color="auto" w:fill="auto"/>
          </w:tcPr>
          <w:p w14:paraId="0CC3B928" w14:textId="77777777" w:rsidR="00C31822" w:rsidRPr="006F6370" w:rsidRDefault="00C31822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4BA2F7B8" w14:textId="44F5E9AE" w:rsidR="00C31822" w:rsidRPr="006F6370" w:rsidRDefault="00146D14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4606238D" w14:textId="77777777" w:rsidR="00C31822" w:rsidRPr="006F6370" w:rsidRDefault="00C31822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  <w:p w14:paraId="382E09A4" w14:textId="748EC158" w:rsidR="0078392E" w:rsidRPr="006F6370" w:rsidRDefault="00C31822" w:rsidP="00C31822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scientific societies</w:t>
            </w:r>
          </w:p>
        </w:tc>
      </w:tr>
      <w:tr w:rsidR="00A05BFE" w:rsidRPr="003D1887" w14:paraId="6663338E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45BC5DB1" w14:textId="4BE64538" w:rsidR="00A05BFE" w:rsidRPr="006F6370" w:rsidRDefault="00E746F1" w:rsidP="00E746F1">
            <w:pPr>
              <w:pStyle w:val="Ttulos2"/>
              <w:spacing w:before="120" w:line="240" w:lineRule="auto"/>
              <w:rPr>
                <w:rFonts w:ascii="Arial" w:hAnsi="Arial" w:cs="Arial"/>
                <w:b/>
                <w:bCs w:val="0"/>
                <w:color w:val="262626" w:themeColor="text1" w:themeTint="D9"/>
                <w:lang w:val="en-GB" w:eastAsia="es-ES_tradnl"/>
              </w:rPr>
            </w:pPr>
            <w:bookmarkStart w:id="0" w:name="_Toc92881316"/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Ac</w:t>
            </w:r>
            <w:r w:rsidR="00B93FD1"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tio</w:t>
            </w:r>
            <w:r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 xml:space="preserve">n 4: </w:t>
            </w:r>
            <w:r w:rsidR="0033462E" w:rsidRPr="006F6370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  <w:lang w:val="en-GB"/>
              </w:rPr>
              <w:t>Raise awareness of osteoporosis and fractures in the society</w:t>
            </w:r>
            <w:bookmarkEnd w:id="0"/>
          </w:p>
        </w:tc>
      </w:tr>
      <w:tr w:rsidR="0078392E" w:rsidRPr="003D1887" w14:paraId="275DAE18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left w:val="none" w:sz="0" w:space="0" w:color="auto"/>
              <w:bottom w:val="nil"/>
            </w:tcBorders>
            <w:shd w:val="clear" w:color="auto" w:fill="auto"/>
          </w:tcPr>
          <w:p w14:paraId="28DA280F" w14:textId="32E5E26B" w:rsidR="0078392E" w:rsidRPr="006F6370" w:rsidRDefault="0078392E" w:rsidP="0078392E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6984" w:type="dxa"/>
            <w:tcBorders>
              <w:bottom w:val="nil"/>
            </w:tcBorders>
            <w:shd w:val="clear" w:color="auto" w:fill="auto"/>
          </w:tcPr>
          <w:p w14:paraId="543F9C58" w14:textId="758AD74F" w:rsidR="0078392E" w:rsidRPr="006F6370" w:rsidRDefault="004C418C" w:rsidP="007839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To raise public and patient awareness of the long-term consequences of </w:t>
            </w:r>
            <w:r w:rsidR="00964FF7"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OP 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and fragility fractures, highlighting the importance and role of secondary prevention and its consideration as a chronic disease.</w:t>
            </w:r>
          </w:p>
        </w:tc>
      </w:tr>
      <w:tr w:rsidR="0078392E" w:rsidRPr="006F6370" w14:paraId="19943AD5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nil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0FE14504" w14:textId="77777777" w:rsidR="0078392E" w:rsidRPr="006F6370" w:rsidRDefault="0078392E" w:rsidP="0078392E">
            <w:pPr>
              <w:rPr>
                <w:rFonts w:ascii="Arial" w:eastAsia="Calibri" w:hAnsi="Arial" w:cs="Arial"/>
                <w:b w:val="0"/>
                <w:sz w:val="24"/>
                <w:szCs w:val="24"/>
                <w:lang w:val="en-GB"/>
              </w:rPr>
            </w:pPr>
            <w:r w:rsidRPr="006F637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Stakeholders</w:t>
            </w:r>
          </w:p>
          <w:p w14:paraId="2E8FBD6E" w14:textId="77777777" w:rsidR="00F206C8" w:rsidRPr="006F6370" w:rsidRDefault="00F206C8" w:rsidP="00F206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E42F7F" w14:textId="77777777" w:rsidR="00F206C8" w:rsidRPr="006F6370" w:rsidRDefault="00F206C8" w:rsidP="00F206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A0EEC5" w14:textId="77777777" w:rsidR="00F206C8" w:rsidRPr="006F6370" w:rsidRDefault="00F206C8" w:rsidP="00F206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0566FA" w14:textId="77777777" w:rsidR="00F206C8" w:rsidRPr="006F6370" w:rsidRDefault="00F206C8" w:rsidP="00F206C8">
            <w:pPr>
              <w:rPr>
                <w:rFonts w:ascii="Arial" w:eastAsia="Calibri" w:hAnsi="Arial" w:cs="Arial"/>
                <w:b w:val="0"/>
                <w:sz w:val="24"/>
                <w:szCs w:val="24"/>
                <w:lang w:val="en-GB"/>
              </w:rPr>
            </w:pPr>
          </w:p>
          <w:p w14:paraId="290CB6C8" w14:textId="77777777" w:rsidR="00F206C8" w:rsidRPr="006F6370" w:rsidRDefault="00F206C8" w:rsidP="00F206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28385E" w14:textId="77777777" w:rsidR="00F206C8" w:rsidRPr="006F6370" w:rsidRDefault="00F206C8" w:rsidP="00F206C8">
            <w:pPr>
              <w:rPr>
                <w:rFonts w:ascii="Arial" w:eastAsia="Calibri" w:hAnsi="Arial" w:cs="Arial"/>
                <w:b w:val="0"/>
                <w:sz w:val="24"/>
                <w:szCs w:val="24"/>
                <w:lang w:val="en-GB"/>
              </w:rPr>
            </w:pPr>
          </w:p>
          <w:p w14:paraId="4FF00F97" w14:textId="67CCD585" w:rsidR="00F206C8" w:rsidRPr="006F6370" w:rsidRDefault="00F206C8" w:rsidP="00F206C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B91892" w14:textId="24BA7768" w:rsidR="004C418C" w:rsidRPr="006F6370" w:rsidRDefault="004C418C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general population</w:t>
            </w:r>
          </w:p>
          <w:p w14:paraId="6EDD0032" w14:textId="77777777" w:rsidR="004C418C" w:rsidRPr="006F6370" w:rsidRDefault="004C418C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fragility fracture and postmenopausal OP patients</w:t>
            </w:r>
          </w:p>
          <w:p w14:paraId="2160ADDE" w14:textId="5D83B3BB" w:rsidR="004C418C" w:rsidRPr="006F6370" w:rsidRDefault="004C418C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patient </w:t>
            </w:r>
            <w:r w:rsidR="004F211C" w:rsidRPr="006F6370">
              <w:rPr>
                <w:rFonts w:ascii="Arial" w:hAnsi="Arial" w:cs="Arial"/>
                <w:sz w:val="20"/>
                <w:szCs w:val="20"/>
                <w:lang w:val="en-GB"/>
              </w:rPr>
              <w:t>advocacy groups</w:t>
            </w:r>
          </w:p>
          <w:p w14:paraId="14FAE5F5" w14:textId="2106C0B8" w:rsidR="004C418C" w:rsidRPr="006F6370" w:rsidRDefault="00146D14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226DE" w:rsidRPr="006F6370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NS</w:t>
            </w:r>
          </w:p>
          <w:p w14:paraId="7854A657" w14:textId="2682C38A" w:rsidR="004C418C" w:rsidRPr="006F6370" w:rsidRDefault="004C418C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professionals</w:t>
            </w:r>
          </w:p>
          <w:p w14:paraId="627E5C9A" w14:textId="33123362" w:rsidR="004C418C" w:rsidRPr="006F6370" w:rsidRDefault="004C418C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health centres</w:t>
            </w:r>
          </w:p>
          <w:p w14:paraId="24B369AC" w14:textId="1C916854" w:rsidR="004C418C" w:rsidRPr="006F6370" w:rsidRDefault="004C418C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 xml:space="preserve">pharmacies (community pharmacy) </w:t>
            </w:r>
          </w:p>
          <w:p w14:paraId="20E55901" w14:textId="0F1D022D" w:rsidR="0078392E" w:rsidRPr="006F6370" w:rsidRDefault="004F211C" w:rsidP="004C418C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370">
              <w:rPr>
                <w:rFonts w:ascii="Arial" w:hAnsi="Arial" w:cs="Arial"/>
                <w:sz w:val="20"/>
                <w:szCs w:val="20"/>
                <w:lang w:val="en-GB"/>
              </w:rPr>
              <w:t>nursing homes</w:t>
            </w:r>
          </w:p>
        </w:tc>
      </w:tr>
      <w:tr w:rsidR="00F206C8" w:rsidRPr="003D1887" w14:paraId="54A2875D" w14:textId="77777777" w:rsidTr="006F63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top w:val="nil"/>
              <w:left w:val="none" w:sz="0" w:space="0" w:color="auto"/>
              <w:bottom w:val="nil"/>
            </w:tcBorders>
            <w:shd w:val="clear" w:color="auto" w:fill="auto"/>
          </w:tcPr>
          <w:p w14:paraId="097124EE" w14:textId="5CF131F6" w:rsidR="00F206C8" w:rsidRPr="006F6370" w:rsidRDefault="00B51EC9" w:rsidP="00926733">
            <w:pPr>
              <w:contextualSpacing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6F6370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US"/>
              </w:rPr>
              <w:t xml:space="preserve">ED: </w:t>
            </w:r>
            <w:r w:rsidR="00926733" w:rsidRPr="006F6370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US"/>
              </w:rPr>
              <w:t>emergency department</w:t>
            </w:r>
            <w:r w:rsidRPr="006F6370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US"/>
              </w:rPr>
              <w:t xml:space="preserve">; FLS: fracture liaison service; </w:t>
            </w:r>
            <w:r w:rsidR="00FC42FD" w:rsidRPr="006F6370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US"/>
              </w:rPr>
              <w:t>OP: osteoporosis; SNHS: Spanish National Health System</w:t>
            </w:r>
          </w:p>
        </w:tc>
      </w:tr>
    </w:tbl>
    <w:p w14:paraId="47005239" w14:textId="2DD3A555" w:rsidR="00F206C8" w:rsidRPr="006F6370" w:rsidRDefault="00F206C8" w:rsidP="00F206C8">
      <w:pPr>
        <w:rPr>
          <w:rFonts w:ascii="Arial" w:eastAsia="Calibri" w:hAnsi="Arial" w:cs="Arial"/>
          <w:sz w:val="24"/>
          <w:szCs w:val="24"/>
          <w:lang w:val="en-US"/>
        </w:rPr>
        <w:sectPr w:rsidR="00F206C8" w:rsidRPr="006F6370" w:rsidSect="00B9747B">
          <w:footerReference w:type="even" r:id="rId11"/>
          <w:footerReference w:type="default" r:id="rId12"/>
          <w:footerReference w:type="first" r:id="rId13"/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</w:p>
    <w:p w14:paraId="72254E42" w14:textId="62452621" w:rsidR="00800ACF" w:rsidRPr="006F6370" w:rsidRDefault="00FC3F47">
      <w:pPr>
        <w:rPr>
          <w:rFonts w:ascii="Arial" w:eastAsia="Calibri" w:hAnsi="Arial" w:cs="Arial"/>
          <w:bCs/>
          <w:sz w:val="24"/>
          <w:szCs w:val="24"/>
          <w:lang w:val="en-GB"/>
        </w:rPr>
      </w:pPr>
      <w:r w:rsidRPr="006F6370">
        <w:rPr>
          <w:rFonts w:ascii="Arial" w:eastAsia="Calibri" w:hAnsi="Arial" w:cs="Arial"/>
          <w:b/>
          <w:sz w:val="24"/>
          <w:szCs w:val="24"/>
          <w:lang w:val="en-GB"/>
        </w:rPr>
        <w:lastRenderedPageBreak/>
        <w:t>Supplementary Table 3</w:t>
      </w:r>
      <w:r w:rsidR="00800ACF"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. </w:t>
      </w:r>
      <w:r w:rsidR="00036361" w:rsidRPr="006F6370">
        <w:rPr>
          <w:rFonts w:ascii="Arial" w:eastAsia="Calibri" w:hAnsi="Arial" w:cs="Arial"/>
          <w:bCs/>
          <w:sz w:val="24"/>
          <w:szCs w:val="24"/>
          <w:lang w:val="en-GB"/>
        </w:rPr>
        <w:t>Resources and necessary costs for implementing improvement actions</w:t>
      </w:r>
      <w:r w:rsidR="00800ACF" w:rsidRPr="006F6370">
        <w:rPr>
          <w:rFonts w:ascii="Arial" w:eastAsia="Calibri" w:hAnsi="Arial" w:cs="Arial"/>
          <w:bCs/>
          <w:sz w:val="24"/>
          <w:szCs w:val="24"/>
          <w:lang w:val="en-GB"/>
        </w:rPr>
        <w:t>.</w:t>
      </w:r>
    </w:p>
    <w:p w14:paraId="4CF7D3B8" w14:textId="7082BEAC" w:rsidR="00040101" w:rsidRPr="006F6370" w:rsidRDefault="004E37F8" w:rsidP="00040101">
      <w:pPr>
        <w:pStyle w:val="Caption"/>
        <w:rPr>
          <w:lang w:val="en-GB"/>
        </w:rPr>
      </w:pPr>
      <w:bookmarkStart w:id="1" w:name="_Toc78266808"/>
      <w:r w:rsidRPr="006F6370">
        <w:rPr>
          <w:lang w:val="en-GB"/>
        </w:rPr>
        <w:t>ST</w:t>
      </w:r>
      <w:r w:rsidR="006A7007" w:rsidRPr="006F6370">
        <w:rPr>
          <w:lang w:val="en-GB"/>
        </w:rPr>
        <w:t>3-1</w:t>
      </w:r>
      <w:r w:rsidR="00040101" w:rsidRPr="006F6370">
        <w:rPr>
          <w:lang w:val="en-GB"/>
        </w:rPr>
        <w:t xml:space="preserve">. </w:t>
      </w:r>
      <w:bookmarkEnd w:id="1"/>
      <w:r w:rsidR="003633B9" w:rsidRPr="006F6370">
        <w:rPr>
          <w:lang w:val="en-GB"/>
        </w:rPr>
        <w:t>Estimated investment of Sub-Action 1 (Action 1)</w:t>
      </w:r>
    </w:p>
    <w:tbl>
      <w:tblPr>
        <w:tblStyle w:val="GridTable4"/>
        <w:tblW w:w="4961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E0" w:firstRow="1" w:lastRow="1" w:firstColumn="1" w:lastColumn="0" w:noHBand="1" w:noVBand="1"/>
      </w:tblPr>
      <w:tblGrid>
        <w:gridCol w:w="3907"/>
        <w:gridCol w:w="5190"/>
        <w:gridCol w:w="4517"/>
      </w:tblGrid>
      <w:tr w:rsidR="00040101" w:rsidRPr="006F6370" w14:paraId="28C0FE80" w14:textId="77777777" w:rsidTr="00CC6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A820AFD" w14:textId="31B854A5" w:rsidR="00040101" w:rsidRPr="006F6370" w:rsidRDefault="00CC7F1A" w:rsidP="00CE014D">
            <w:pPr>
              <w:spacing w:before="40" w:after="4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190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9EC813F" w14:textId="583B4E5A" w:rsidR="00040101" w:rsidRPr="006F6370" w:rsidRDefault="00CC7F1A" w:rsidP="00CE014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Steps</w:t>
            </w:r>
            <w:r w:rsidR="00040101"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165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12738F6" w14:textId="69AB2EDB" w:rsidR="00040101" w:rsidRPr="006F6370" w:rsidRDefault="00CC7F1A" w:rsidP="00CE014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6A7007" w:rsidRPr="003D1887" w14:paraId="3AC269DA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2504D5" w14:textId="0BBC15B6" w:rsidR="006A7007" w:rsidRPr="006F6370" w:rsidRDefault="00146D14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</w:p>
          <w:p w14:paraId="684893DC" w14:textId="03372990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906" w:type="pct"/>
            <w:tcBorders>
              <w:top w:val="single" w:sz="4" w:space="0" w:color="auto"/>
            </w:tcBorders>
            <w:shd w:val="clear" w:color="auto" w:fill="auto"/>
          </w:tcPr>
          <w:p w14:paraId="435D4F77" w14:textId="36A5CD2A" w:rsidR="006A7007" w:rsidRPr="006F6370" w:rsidRDefault="00A64948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Recruitment of staff (case management nurses)</w:t>
            </w:r>
          </w:p>
        </w:tc>
        <w:tc>
          <w:tcPr>
            <w:tcW w:w="1659" w:type="pct"/>
            <w:tcBorders>
              <w:top w:val="single" w:sz="4" w:space="0" w:color="auto"/>
            </w:tcBorders>
            <w:shd w:val="clear" w:color="auto" w:fill="auto"/>
          </w:tcPr>
          <w:p w14:paraId="3841F2AB" w14:textId="77777777" w:rsidR="00986580" w:rsidRPr="006F6370" w:rsidRDefault="00986580" w:rsidP="0098658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Staff required calculated from No. of patients eligible for inclusion in FLS </w:t>
            </w:r>
          </w:p>
          <w:p w14:paraId="6DBE5B53" w14:textId="5507623C" w:rsidR="006A7007" w:rsidRPr="006F6370" w:rsidRDefault="00986580" w:rsidP="0098658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Case management nurse time (h) per patient in 1 year (assuming 3 calls of 10 minutes duration per year)</w:t>
            </w:r>
          </w:p>
        </w:tc>
      </w:tr>
      <w:tr w:rsidR="006A7007" w:rsidRPr="003D1887" w14:paraId="1933ACF0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2FD860DF" w14:textId="64EF9DAC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shd w:val="clear" w:color="auto" w:fill="auto"/>
            <w:hideMark/>
          </w:tcPr>
          <w:p w14:paraId="1B09126C" w14:textId="122CD699" w:rsidR="006A7007" w:rsidRPr="006F6370" w:rsidRDefault="006D4FF5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Development of </w:t>
            </w:r>
            <w:r w:rsidR="007569A6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quality-of-care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standards among experts</w:t>
            </w:r>
          </w:p>
        </w:tc>
        <w:tc>
          <w:tcPr>
            <w:tcW w:w="1659" w:type="pct"/>
            <w:shd w:val="clear" w:color="auto" w:fill="auto"/>
            <w:hideMark/>
          </w:tcPr>
          <w:p w14:paraId="461470AE" w14:textId="4C66A448" w:rsidR="006A7007" w:rsidRPr="006F6370" w:rsidRDefault="006D4FF5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Two meetings (opening and closing) of 2 hours each and time for elaboration, review and training (6 hours per expert) = 10 hours per expert.</w:t>
            </w:r>
          </w:p>
        </w:tc>
      </w:tr>
      <w:tr w:rsidR="006A7007" w:rsidRPr="006F6370" w14:paraId="63FDA939" w14:textId="77777777" w:rsidTr="00CC64EF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6E7E31FA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vMerge w:val="restart"/>
            <w:shd w:val="clear" w:color="auto" w:fill="auto"/>
            <w:hideMark/>
          </w:tcPr>
          <w:p w14:paraId="4B930A1A" w14:textId="77777777" w:rsidR="00E46588" w:rsidRPr="006F6370" w:rsidRDefault="00E46588" w:rsidP="00E4658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 specialists in bone metabolism, 1 in traumatology and surgery, 1 in radiology, 1 in rehabilitation, 1 in hospital pharmacy, 1 in nursing, 1 in emergency care, 1 in primary care</w:t>
            </w:r>
          </w:p>
          <w:p w14:paraId="62F76255" w14:textId="77777777" w:rsidR="00E46588" w:rsidRPr="006F6370" w:rsidRDefault="00E46588" w:rsidP="00E4658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expert patient</w:t>
            </w:r>
          </w:p>
          <w:p w14:paraId="7A5025E6" w14:textId="53AEACDD" w:rsidR="006A7007" w:rsidRPr="006F6370" w:rsidRDefault="00E46588" w:rsidP="00E4658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representative of each Spanish region</w:t>
            </w:r>
          </w:p>
        </w:tc>
        <w:tc>
          <w:tcPr>
            <w:tcW w:w="1659" w:type="pct"/>
            <w:shd w:val="clear" w:color="auto" w:fill="auto"/>
            <w:hideMark/>
          </w:tcPr>
          <w:p w14:paraId="0848980C" w14:textId="11A4557B" w:rsidR="006A7007" w:rsidRPr="006F6370" w:rsidRDefault="006A700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9 </w:t>
            </w:r>
            <w:r w:rsidR="00E46588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specialists</w:t>
            </w:r>
          </w:p>
        </w:tc>
      </w:tr>
      <w:tr w:rsidR="006A7007" w:rsidRPr="006F6370" w14:paraId="40AA7188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1551D7A3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vMerge/>
            <w:shd w:val="clear" w:color="auto" w:fill="auto"/>
            <w:hideMark/>
          </w:tcPr>
          <w:p w14:paraId="7FCA3937" w14:textId="77777777" w:rsidR="006A7007" w:rsidRPr="006F6370" w:rsidRDefault="006A700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659" w:type="pct"/>
            <w:shd w:val="clear" w:color="auto" w:fill="auto"/>
            <w:hideMark/>
          </w:tcPr>
          <w:p w14:paraId="0C01EB3E" w14:textId="6F27B1F6" w:rsidR="006A7007" w:rsidRPr="006F6370" w:rsidRDefault="006A700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pa</w:t>
            </w:r>
            <w:r w:rsidR="00E46588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tient</w:t>
            </w:r>
          </w:p>
        </w:tc>
      </w:tr>
      <w:tr w:rsidR="006A7007" w:rsidRPr="006F6370" w14:paraId="2EFBBECE" w14:textId="77777777" w:rsidTr="00CC64EF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65D2373C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vMerge/>
            <w:shd w:val="clear" w:color="auto" w:fill="auto"/>
            <w:hideMark/>
          </w:tcPr>
          <w:p w14:paraId="4C9DE7EA" w14:textId="77777777" w:rsidR="006A7007" w:rsidRPr="006F6370" w:rsidRDefault="006A700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659" w:type="pct"/>
            <w:shd w:val="clear" w:color="auto" w:fill="auto"/>
            <w:hideMark/>
          </w:tcPr>
          <w:p w14:paraId="60D6E428" w14:textId="112E3029" w:rsidR="006A7007" w:rsidRPr="006F6370" w:rsidRDefault="006A700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17 </w:t>
            </w:r>
            <w:r w:rsidR="00E46588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representants </w:t>
            </w:r>
          </w:p>
        </w:tc>
      </w:tr>
      <w:tr w:rsidR="006A7007" w:rsidRPr="006F6370" w14:paraId="4015362E" w14:textId="77777777" w:rsidTr="00CC64EF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0AD3AA5F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shd w:val="clear" w:color="auto" w:fill="auto"/>
            <w:hideMark/>
          </w:tcPr>
          <w:p w14:paraId="753BC790" w14:textId="4C41C1B6" w:rsidR="006A7007" w:rsidRPr="006F6370" w:rsidRDefault="00AA32C6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Management of scientific endorsements</w:t>
            </w:r>
          </w:p>
        </w:tc>
        <w:tc>
          <w:tcPr>
            <w:tcW w:w="1659" w:type="pct"/>
            <w:shd w:val="clear" w:color="auto" w:fill="auto"/>
            <w:hideMark/>
          </w:tcPr>
          <w:p w14:paraId="1163E357" w14:textId="374B2C16" w:rsidR="006A7007" w:rsidRPr="006F6370" w:rsidRDefault="006A700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3 </w:t>
            </w:r>
            <w:r w:rsidR="002B6CE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scientific endorsements</w:t>
            </w:r>
          </w:p>
        </w:tc>
      </w:tr>
      <w:tr w:rsidR="006A7007" w:rsidRPr="003D1887" w14:paraId="384FD52D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08CC57AF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shd w:val="clear" w:color="auto" w:fill="auto"/>
            <w:hideMark/>
          </w:tcPr>
          <w:p w14:paraId="224C874E" w14:textId="5120B478" w:rsidR="006A7007" w:rsidRPr="006F6370" w:rsidRDefault="00AA364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Design and layout of the document</w:t>
            </w:r>
          </w:p>
        </w:tc>
        <w:tc>
          <w:tcPr>
            <w:tcW w:w="1659" w:type="pct"/>
            <w:shd w:val="clear" w:color="auto" w:fill="auto"/>
            <w:hideMark/>
          </w:tcPr>
          <w:p w14:paraId="6CEF6DAF" w14:textId="2CD6A696" w:rsidR="006A7007" w:rsidRPr="006F6370" w:rsidRDefault="00AA364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cost for guide design</w:t>
            </w:r>
          </w:p>
        </w:tc>
      </w:tr>
      <w:tr w:rsidR="006A7007" w:rsidRPr="003D1887" w14:paraId="7314B02C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69B1E9E6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vMerge w:val="restart"/>
            <w:shd w:val="clear" w:color="auto" w:fill="auto"/>
            <w:hideMark/>
          </w:tcPr>
          <w:p w14:paraId="6967127D" w14:textId="6A1ACF3F" w:rsidR="006A7007" w:rsidRPr="006F6370" w:rsidRDefault="0050436D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Dissemination of the document to all PC centres and hospitals that treat patients with fragility fractures in the 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(hospitals with trauma services will be considered).</w:t>
            </w:r>
          </w:p>
        </w:tc>
        <w:tc>
          <w:tcPr>
            <w:tcW w:w="1659" w:type="pct"/>
            <w:shd w:val="clear" w:color="auto" w:fill="auto"/>
            <w:hideMark/>
          </w:tcPr>
          <w:p w14:paraId="323D41DE" w14:textId="1F610C5A" w:rsidR="006A7007" w:rsidRPr="006F6370" w:rsidRDefault="0050436D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Sending through institutional channels of a note advising of the </w:t>
            </w:r>
            <w:r w:rsidR="0019264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document's publication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.</w:t>
            </w:r>
          </w:p>
        </w:tc>
      </w:tr>
      <w:tr w:rsidR="006A7007" w:rsidRPr="003D1887" w14:paraId="573AEBCA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7BB76F9B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vMerge/>
            <w:shd w:val="clear" w:color="auto" w:fill="auto"/>
            <w:hideMark/>
          </w:tcPr>
          <w:p w14:paraId="4741959A" w14:textId="77777777" w:rsidR="006A7007" w:rsidRPr="006F6370" w:rsidRDefault="006A7007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659" w:type="pct"/>
            <w:shd w:val="clear" w:color="auto" w:fill="auto"/>
            <w:hideMark/>
          </w:tcPr>
          <w:p w14:paraId="3A151E5F" w14:textId="12D1BA78" w:rsidR="006A7007" w:rsidRPr="006F6370" w:rsidRDefault="00AA38DF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The communication channels already in place would be used, so there would be no extra cost to the 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.</w:t>
            </w:r>
          </w:p>
        </w:tc>
      </w:tr>
      <w:tr w:rsidR="006A7007" w:rsidRPr="003D1887" w14:paraId="026A9DA1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0A7496F4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shd w:val="clear" w:color="auto" w:fill="auto"/>
            <w:hideMark/>
          </w:tcPr>
          <w:p w14:paraId="35CFB7B4" w14:textId="70004A49" w:rsidR="006A7007" w:rsidRPr="006F6370" w:rsidRDefault="00AA38DF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Web publication of recommendations</w:t>
            </w:r>
          </w:p>
        </w:tc>
        <w:tc>
          <w:tcPr>
            <w:tcW w:w="1659" w:type="pct"/>
            <w:shd w:val="clear" w:color="auto" w:fill="auto"/>
            <w:hideMark/>
          </w:tcPr>
          <w:p w14:paraId="7CC73C8B" w14:textId="14943C59" w:rsidR="006A7007" w:rsidRPr="006F6370" w:rsidRDefault="00AA38DF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It is assumed that it would be included in the </w:t>
            </w:r>
            <w:r w:rsidR="0019264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contracted web services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.</w:t>
            </w:r>
          </w:p>
        </w:tc>
      </w:tr>
      <w:tr w:rsidR="006A7007" w:rsidRPr="006F6370" w14:paraId="32322069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4F2DEA27" w14:textId="77777777" w:rsidR="006A7007" w:rsidRPr="006F6370" w:rsidRDefault="006A700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shd w:val="clear" w:color="auto" w:fill="auto"/>
            <w:hideMark/>
          </w:tcPr>
          <w:p w14:paraId="2F7CAAA5" w14:textId="44F9BC16" w:rsidR="006A7007" w:rsidRPr="006F6370" w:rsidRDefault="0099478A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Presentation day of the process (online)</w:t>
            </w:r>
          </w:p>
        </w:tc>
        <w:tc>
          <w:tcPr>
            <w:tcW w:w="1659" w:type="pct"/>
            <w:shd w:val="clear" w:color="auto" w:fill="auto"/>
            <w:hideMark/>
          </w:tcPr>
          <w:p w14:paraId="5CAB4991" w14:textId="451980D1" w:rsidR="006A7007" w:rsidRPr="006F6370" w:rsidRDefault="0099478A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price</w:t>
            </w:r>
          </w:p>
        </w:tc>
      </w:tr>
      <w:tr w:rsidR="002D5D14" w:rsidRPr="006F6370" w14:paraId="11BA37A9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 w:val="restart"/>
            <w:shd w:val="clear" w:color="auto" w:fill="auto"/>
          </w:tcPr>
          <w:p w14:paraId="5D395123" w14:textId="73DA833D" w:rsidR="002D5D14" w:rsidRPr="006F6370" w:rsidRDefault="00155D97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Healthcare professionals</w:t>
            </w:r>
          </w:p>
        </w:tc>
        <w:tc>
          <w:tcPr>
            <w:tcW w:w="1906" w:type="pct"/>
            <w:shd w:val="clear" w:color="auto" w:fill="auto"/>
          </w:tcPr>
          <w:p w14:paraId="7AEA9E47" w14:textId="2254CF9C" w:rsidR="002D5D14" w:rsidRPr="006F6370" w:rsidRDefault="0099478A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Creation of multidisciplinary teams for the management of FLS</w:t>
            </w:r>
          </w:p>
        </w:tc>
        <w:tc>
          <w:tcPr>
            <w:tcW w:w="1659" w:type="pct"/>
            <w:shd w:val="clear" w:color="auto" w:fill="auto"/>
          </w:tcPr>
          <w:p w14:paraId="15C71696" w14:textId="2F1BE70F" w:rsidR="002D5D14" w:rsidRPr="006F6370" w:rsidRDefault="003155DD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Staffing requirements calculated from the number of patient candidates for FLS. Specialist time commitment</w:t>
            </w:r>
          </w:p>
        </w:tc>
      </w:tr>
      <w:tr w:rsidR="002D5D14" w:rsidRPr="003D1887" w14:paraId="77CCA568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481222BA" w14:textId="364608B3" w:rsidR="002D5D14" w:rsidRPr="006F6370" w:rsidRDefault="002D5D14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06" w:type="pct"/>
            <w:shd w:val="clear" w:color="auto" w:fill="auto"/>
            <w:hideMark/>
          </w:tcPr>
          <w:p w14:paraId="7ACB1774" w14:textId="60C94D03" w:rsidR="002D5D14" w:rsidRPr="006F6370" w:rsidRDefault="003155DD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assistance</w:t>
            </w:r>
          </w:p>
        </w:tc>
        <w:tc>
          <w:tcPr>
            <w:tcW w:w="1659" w:type="pct"/>
            <w:shd w:val="clear" w:color="auto" w:fill="auto"/>
            <w:hideMark/>
          </w:tcPr>
          <w:p w14:paraId="5C4FADD5" w14:textId="406E71DC" w:rsidR="002D5D14" w:rsidRPr="006F6370" w:rsidRDefault="00560250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time within the working day</w:t>
            </w:r>
          </w:p>
        </w:tc>
      </w:tr>
      <w:tr w:rsidR="002D5D14" w:rsidRPr="003D1887" w14:paraId="41F6005C" w14:textId="77777777" w:rsidTr="00CC6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shd w:val="clear" w:color="auto" w:fill="auto"/>
          </w:tcPr>
          <w:p w14:paraId="35BDF678" w14:textId="280C29F9" w:rsidR="002D5D14" w:rsidRPr="006F6370" w:rsidRDefault="003A33A1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Case management nursing</w:t>
            </w:r>
          </w:p>
        </w:tc>
        <w:tc>
          <w:tcPr>
            <w:tcW w:w="1906" w:type="pct"/>
            <w:shd w:val="clear" w:color="auto" w:fill="auto"/>
          </w:tcPr>
          <w:p w14:paraId="53A51BE8" w14:textId="79E87457" w:rsidR="002D5D14" w:rsidRPr="006F6370" w:rsidRDefault="003A33A1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Follow-up calls to the patient (every 3 months; 4 calls per patient per year)</w:t>
            </w:r>
          </w:p>
        </w:tc>
        <w:tc>
          <w:tcPr>
            <w:tcW w:w="1659" w:type="pct"/>
            <w:shd w:val="clear" w:color="auto" w:fill="auto"/>
          </w:tcPr>
          <w:p w14:paraId="002C639C" w14:textId="5C7C0530" w:rsidR="002D5D14" w:rsidRPr="006F6370" w:rsidRDefault="00555D9F" w:rsidP="002D5D1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Cost calculated from annual salary (within working hours) and </w:t>
            </w:r>
            <w:r w:rsidR="0019264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the 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number of nurses required.</w:t>
            </w:r>
          </w:p>
        </w:tc>
      </w:tr>
      <w:tr w:rsidR="002D5D14" w:rsidRPr="006F6370" w14:paraId="7DD96C70" w14:textId="77777777" w:rsidTr="00CC64E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pct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3DE7A529" w14:textId="62FCFA5B" w:rsidR="002D5D14" w:rsidRPr="006F6370" w:rsidRDefault="00555D9F" w:rsidP="002D5D14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lastRenderedPageBreak/>
              <w:t xml:space="preserve">Total investment cost </w:t>
            </w:r>
          </w:p>
        </w:tc>
        <w:tc>
          <w:tcPr>
            <w:tcW w:w="1659" w:type="pct"/>
            <w:tcBorders>
              <w:top w:val="none" w:sz="0" w:space="0" w:color="auto"/>
            </w:tcBorders>
            <w:shd w:val="clear" w:color="auto" w:fill="auto"/>
            <w:hideMark/>
          </w:tcPr>
          <w:p w14:paraId="7AB7F25A" w14:textId="79EF23E7" w:rsidR="002D5D14" w:rsidRPr="006F6370" w:rsidRDefault="00613AEE" w:rsidP="002D5D14">
            <w:pPr>
              <w:spacing w:before="40" w:after="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="002D5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806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="002D5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698</w:t>
            </w:r>
          </w:p>
        </w:tc>
      </w:tr>
    </w:tbl>
    <w:p w14:paraId="1308D5E0" w14:textId="2A806238" w:rsidR="00040101" w:rsidRPr="006F6370" w:rsidRDefault="006E24CA" w:rsidP="00040101">
      <w:pPr>
        <w:pStyle w:val="Caption"/>
        <w:rPr>
          <w:lang w:val="en-GB"/>
        </w:rPr>
      </w:pPr>
      <w:r w:rsidRPr="006F6370">
        <w:rPr>
          <w:lang w:val="en-GB"/>
        </w:rPr>
        <w:t>ST3-2. Estimated investment of Sub-Action 2 (Action 1)</w:t>
      </w:r>
    </w:p>
    <w:tbl>
      <w:tblPr>
        <w:tblStyle w:val="GridTable4"/>
        <w:tblW w:w="133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E0" w:firstRow="1" w:lastRow="1" w:firstColumn="1" w:lastColumn="0" w:noHBand="1" w:noVBand="1"/>
      </w:tblPr>
      <w:tblGrid>
        <w:gridCol w:w="3823"/>
        <w:gridCol w:w="5103"/>
        <w:gridCol w:w="4394"/>
      </w:tblGrid>
      <w:tr w:rsidR="00CC7F1A" w:rsidRPr="006F6370" w14:paraId="738B6530" w14:textId="77777777" w:rsidTr="00CC6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5019E95" w14:textId="703C2D6E" w:rsidR="00CC7F1A" w:rsidRPr="006F6370" w:rsidRDefault="00CC7F1A" w:rsidP="00CC7F1A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510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A2D9A6A" w14:textId="73678C7C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439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28997A6" w14:textId="297E88C1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6E24CA" w:rsidRPr="003D1887" w14:paraId="6807EF12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51C3065" w14:textId="5623DA49" w:rsidR="006E24CA" w:rsidRPr="006F6370" w:rsidRDefault="00146D14" w:rsidP="006E24CA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SN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</w:p>
          <w:p w14:paraId="10ADE263" w14:textId="77777777" w:rsidR="006E24CA" w:rsidRPr="006F6370" w:rsidRDefault="006E24CA" w:rsidP="006E24CA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</w:p>
          <w:p w14:paraId="45B5D0E2" w14:textId="71DA5731" w:rsidR="006E24CA" w:rsidRPr="006F6370" w:rsidRDefault="006E24CA" w:rsidP="006E24CA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B1B54FA" w14:textId="2D60464A" w:rsidR="006E24CA" w:rsidRPr="006F6370" w:rsidRDefault="00413735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Meetings of a multidisciplinary working group to agree on the care process.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97E3B9" w14:textId="4FF80ED0" w:rsidR="006E24CA" w:rsidRPr="006F6370" w:rsidRDefault="00850E02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 meetings of 2 h each = 6 hours per expert</w:t>
            </w:r>
          </w:p>
        </w:tc>
      </w:tr>
      <w:tr w:rsidR="006E24CA" w:rsidRPr="003D1887" w14:paraId="604079A8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136B6E97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17CB23B7" w14:textId="77777777" w:rsidR="00850E02" w:rsidRPr="006F6370" w:rsidRDefault="00850E02" w:rsidP="00850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 specialists in bone metabolism, 1 in traumatology and surgery, 1 in radiology, 1 in nursing, 1 in emergencies, 1 in primary care.</w:t>
            </w:r>
          </w:p>
          <w:p w14:paraId="1B7E63A9" w14:textId="6725D528" w:rsidR="006E24CA" w:rsidRPr="006F6370" w:rsidRDefault="00850E02" w:rsidP="00850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expert patient</w:t>
            </w:r>
          </w:p>
        </w:tc>
        <w:tc>
          <w:tcPr>
            <w:tcW w:w="4394" w:type="dxa"/>
            <w:shd w:val="clear" w:color="auto" w:fill="auto"/>
            <w:hideMark/>
          </w:tcPr>
          <w:p w14:paraId="5AC204D6" w14:textId="21D38B91" w:rsidR="006E24CA" w:rsidRPr="006F6370" w:rsidRDefault="00850E02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Teaching hours: 2 hours per expert</w:t>
            </w:r>
          </w:p>
        </w:tc>
      </w:tr>
      <w:tr w:rsidR="006E24CA" w:rsidRPr="006F6370" w14:paraId="531C0EC1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2487FBCC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hideMark/>
          </w:tcPr>
          <w:p w14:paraId="0FD38BD1" w14:textId="77777777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14:paraId="41A78813" w14:textId="32139084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7 </w:t>
            </w:r>
            <w:r w:rsidR="00850E02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specialists</w:t>
            </w:r>
          </w:p>
        </w:tc>
      </w:tr>
      <w:tr w:rsidR="006E24CA" w:rsidRPr="006F6370" w14:paraId="2B44DAA6" w14:textId="77777777" w:rsidTr="00CC64E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766ED162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hideMark/>
          </w:tcPr>
          <w:p w14:paraId="1463A38D" w14:textId="77777777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14:paraId="4D8610F1" w14:textId="358D237B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pa</w:t>
            </w:r>
            <w:r w:rsidR="00850E02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tient</w:t>
            </w:r>
          </w:p>
        </w:tc>
      </w:tr>
      <w:tr w:rsidR="006E24CA" w:rsidRPr="006F6370" w14:paraId="45AC892C" w14:textId="77777777" w:rsidTr="00CC64E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0B84D7C4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02563C4B" w14:textId="698F5AED" w:rsidR="006E24CA" w:rsidRPr="006F6370" w:rsidRDefault="000863CE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Management of scientific endorsements</w:t>
            </w:r>
          </w:p>
        </w:tc>
        <w:tc>
          <w:tcPr>
            <w:tcW w:w="4394" w:type="dxa"/>
            <w:shd w:val="clear" w:color="auto" w:fill="auto"/>
            <w:hideMark/>
          </w:tcPr>
          <w:p w14:paraId="4153C4AA" w14:textId="56B8C010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3 </w:t>
            </w:r>
            <w:r w:rsidR="000863CE"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scientific endorsements</w:t>
            </w:r>
          </w:p>
        </w:tc>
      </w:tr>
      <w:tr w:rsidR="006E24CA" w:rsidRPr="003D1887" w14:paraId="04136A9C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07173E8B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21C72101" w14:textId="25711F22" w:rsidR="006E24CA" w:rsidRPr="006F6370" w:rsidRDefault="000863CE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Design and layout of the document</w:t>
            </w:r>
          </w:p>
        </w:tc>
        <w:tc>
          <w:tcPr>
            <w:tcW w:w="4394" w:type="dxa"/>
            <w:shd w:val="clear" w:color="auto" w:fill="auto"/>
            <w:hideMark/>
          </w:tcPr>
          <w:p w14:paraId="6F49FA47" w14:textId="5BCD3012" w:rsidR="006E24CA" w:rsidRPr="006F6370" w:rsidRDefault="000863CE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cost for guide design</w:t>
            </w:r>
          </w:p>
        </w:tc>
      </w:tr>
      <w:tr w:rsidR="006E24CA" w:rsidRPr="003D1887" w14:paraId="03E36CD1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77ED9D0A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71AE7593" w14:textId="4C157A82" w:rsidR="006E24CA" w:rsidRPr="006F6370" w:rsidRDefault="00E42932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Dissemination of the document to all PC centres and hospitals that treat patients with fragility fractures in the 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(hospitals with trauma services will be considered).</w:t>
            </w:r>
          </w:p>
        </w:tc>
        <w:tc>
          <w:tcPr>
            <w:tcW w:w="4394" w:type="dxa"/>
            <w:shd w:val="clear" w:color="auto" w:fill="auto"/>
            <w:hideMark/>
          </w:tcPr>
          <w:p w14:paraId="4CE18CCD" w14:textId="1CDFDB01" w:rsidR="006E24CA" w:rsidRPr="006F6370" w:rsidRDefault="00E42932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Sending through institutional channels a note advising of the publication of the document.</w:t>
            </w:r>
          </w:p>
        </w:tc>
      </w:tr>
      <w:tr w:rsidR="006E24CA" w:rsidRPr="003D1887" w14:paraId="3BD2BAA2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46D24752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hideMark/>
          </w:tcPr>
          <w:p w14:paraId="0C06F3E0" w14:textId="77777777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14:paraId="01C69F1D" w14:textId="1A8E441C" w:rsidR="006E24CA" w:rsidRPr="006F6370" w:rsidRDefault="00E42932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Communication channels already in place would be used, so there would be no extra cost to the 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="00146D1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.</w:t>
            </w:r>
          </w:p>
        </w:tc>
      </w:tr>
      <w:tr w:rsidR="006E24CA" w:rsidRPr="006F6370" w14:paraId="2625AD37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1E4E9AF1" w14:textId="77777777" w:rsidR="006E24CA" w:rsidRPr="006F6370" w:rsidRDefault="006E24CA" w:rsidP="006E24C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489AE1F9" w14:textId="1EBCECA7" w:rsidR="006E24CA" w:rsidRPr="006F6370" w:rsidRDefault="00A4280D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Day of presentation of the process to the Autonomous Regions (online)</w:t>
            </w:r>
          </w:p>
        </w:tc>
        <w:tc>
          <w:tcPr>
            <w:tcW w:w="4394" w:type="dxa"/>
            <w:shd w:val="clear" w:color="auto" w:fill="auto"/>
            <w:hideMark/>
          </w:tcPr>
          <w:p w14:paraId="78DBDFCD" w14:textId="4986D58D" w:rsidR="006E24CA" w:rsidRPr="006F6370" w:rsidRDefault="00A4280D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price</w:t>
            </w:r>
          </w:p>
        </w:tc>
      </w:tr>
      <w:tr w:rsidR="006E24CA" w:rsidRPr="006F6370" w14:paraId="7F1B641F" w14:textId="77777777" w:rsidTr="00CC64E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0E72E6A2" w14:textId="77777777" w:rsidR="006E24CA" w:rsidRPr="006F6370" w:rsidRDefault="006E24CA" w:rsidP="006E24CA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hideMark/>
          </w:tcPr>
          <w:p w14:paraId="69068B8C" w14:textId="77777777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14:paraId="3B246AA1" w14:textId="5001D1F1" w:rsidR="006E24CA" w:rsidRPr="006F6370" w:rsidRDefault="00A4280D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in each region</w:t>
            </w:r>
          </w:p>
        </w:tc>
      </w:tr>
      <w:tr w:rsidR="006E24CA" w:rsidRPr="003D1887" w14:paraId="324DA4B6" w14:textId="77777777" w:rsidTr="00CC64EF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58DCFDF5" w14:textId="77777777" w:rsidR="006E24CA" w:rsidRPr="006F6370" w:rsidRDefault="006E24CA" w:rsidP="006E24CA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 w:val="restart"/>
            <w:shd w:val="clear" w:color="auto" w:fill="auto"/>
            <w:hideMark/>
          </w:tcPr>
          <w:p w14:paraId="7B0AB3B2" w14:textId="77777777" w:rsidR="00664702" w:rsidRPr="006F6370" w:rsidRDefault="00664702" w:rsidP="00664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Adaptation of the care process in each department/health area, including:</w:t>
            </w:r>
          </w:p>
          <w:p w14:paraId="649C9BE3" w14:textId="52E183AA" w:rsidR="00664702" w:rsidRPr="006F6370" w:rsidRDefault="00664702" w:rsidP="00664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- </w:t>
            </w:r>
            <w:r w:rsidR="0019264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the 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adaptation of the process </w:t>
            </w:r>
          </w:p>
          <w:p w14:paraId="671546C7" w14:textId="77777777" w:rsidR="00664702" w:rsidRPr="006F6370" w:rsidRDefault="00664702" w:rsidP="00664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- staff training</w:t>
            </w:r>
          </w:p>
          <w:p w14:paraId="2D9CD1EE" w14:textId="7517AD89" w:rsidR="006E24CA" w:rsidRPr="006F6370" w:rsidRDefault="00192645" w:rsidP="00664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Two</w:t>
            </w:r>
            <w:r w:rsidR="00664702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specialists in bone metabolism, 1 in traumatology and surgery, 1 in radiology, 1 in nursing, 1 in emergencies, 1 in primary care.</w:t>
            </w:r>
          </w:p>
        </w:tc>
        <w:tc>
          <w:tcPr>
            <w:tcW w:w="4394" w:type="dxa"/>
            <w:shd w:val="clear" w:color="auto" w:fill="auto"/>
            <w:hideMark/>
          </w:tcPr>
          <w:p w14:paraId="742E610A" w14:textId="316F956D" w:rsidR="006E24CA" w:rsidRPr="006F6370" w:rsidRDefault="00202652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In each hospital: dedication of a multidisciplinary team to the adaptation of the process and training of the staff involved (6 hours per expert; salary/hour).</w:t>
            </w:r>
          </w:p>
        </w:tc>
      </w:tr>
      <w:tr w:rsidR="006E24CA" w:rsidRPr="003D1887" w14:paraId="3B82FECC" w14:textId="77777777" w:rsidTr="00CC64EF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</w:tcPr>
          <w:p w14:paraId="67B49921" w14:textId="77777777" w:rsidR="006E24CA" w:rsidRPr="006F6370" w:rsidRDefault="006E24CA" w:rsidP="006E24CA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16637DFA" w14:textId="77777777" w:rsidR="006E24CA" w:rsidRPr="006F6370" w:rsidRDefault="006E24CA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01E4A462" w14:textId="2F7BC642" w:rsidR="006E24CA" w:rsidRPr="006F6370" w:rsidRDefault="00202652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Hospitals with implementation in year 1 (40% assumed, N = 158)</w:t>
            </w:r>
          </w:p>
        </w:tc>
      </w:tr>
      <w:tr w:rsidR="006E24CA" w:rsidRPr="003D1887" w14:paraId="1D50B578" w14:textId="77777777" w:rsidTr="00CC64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  <w:hideMark/>
          </w:tcPr>
          <w:p w14:paraId="2B759E9F" w14:textId="75C2C3C3" w:rsidR="006E24CA" w:rsidRPr="006F6370" w:rsidRDefault="006E24CA" w:rsidP="006E24CA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Healthcare professionals</w:t>
            </w:r>
          </w:p>
        </w:tc>
        <w:tc>
          <w:tcPr>
            <w:tcW w:w="5103" w:type="dxa"/>
            <w:shd w:val="clear" w:color="auto" w:fill="auto"/>
            <w:hideMark/>
          </w:tcPr>
          <w:p w14:paraId="5A530151" w14:textId="77019E0B" w:rsidR="006E24CA" w:rsidRPr="006F6370" w:rsidRDefault="009231A9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assistance</w:t>
            </w:r>
          </w:p>
        </w:tc>
        <w:tc>
          <w:tcPr>
            <w:tcW w:w="4394" w:type="dxa"/>
            <w:shd w:val="clear" w:color="auto" w:fill="auto"/>
            <w:hideMark/>
          </w:tcPr>
          <w:p w14:paraId="3D666C2C" w14:textId="37751D7B" w:rsidR="006E24CA" w:rsidRPr="006F6370" w:rsidRDefault="009231A9" w:rsidP="006E2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time within the working day</w:t>
            </w:r>
          </w:p>
        </w:tc>
      </w:tr>
      <w:tr w:rsidR="00040101" w:rsidRPr="006F6370" w14:paraId="69DE6D67" w14:textId="77777777" w:rsidTr="00CC64E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3C4E7C22" w14:textId="6CC1D45E" w:rsidR="00040101" w:rsidRPr="006F6370" w:rsidRDefault="00CA5EA8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4394" w:type="dxa"/>
            <w:tcBorders>
              <w:top w:val="none" w:sz="0" w:space="0" w:color="auto"/>
            </w:tcBorders>
            <w:shd w:val="clear" w:color="auto" w:fill="auto"/>
            <w:hideMark/>
          </w:tcPr>
          <w:p w14:paraId="29FCFF64" w14:textId="3650B9C1" w:rsidR="00040101" w:rsidRPr="006F6370" w:rsidRDefault="00040101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  <w:r w:rsidR="00613AEE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282</w:t>
            </w:r>
            <w:r w:rsidR="00613AEE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778</w:t>
            </w:r>
          </w:p>
        </w:tc>
      </w:tr>
    </w:tbl>
    <w:p w14:paraId="66B61039" w14:textId="77777777" w:rsidR="00CA5EA8" w:rsidRPr="006F6370" w:rsidRDefault="00CA5EA8" w:rsidP="00040101">
      <w:pPr>
        <w:pStyle w:val="Caption"/>
        <w:rPr>
          <w:lang w:val="en-GB"/>
        </w:rPr>
      </w:pPr>
      <w:bookmarkStart w:id="2" w:name="_Toc78266810"/>
    </w:p>
    <w:p w14:paraId="2089CD9E" w14:textId="77777777" w:rsidR="00CA5EA8" w:rsidRPr="006F6370" w:rsidRDefault="00CA5EA8">
      <w:pPr>
        <w:rPr>
          <w:rFonts w:ascii="Arial" w:hAnsi="Arial" w:cs="Arial"/>
          <w:b/>
          <w:bCs/>
          <w:color w:val="595959" w:themeColor="text1" w:themeTint="A6"/>
          <w:sz w:val="18"/>
          <w:szCs w:val="20"/>
          <w:lang w:val="en-GB"/>
        </w:rPr>
      </w:pPr>
      <w:r w:rsidRPr="006F6370">
        <w:rPr>
          <w:rFonts w:ascii="Arial" w:hAnsi="Arial" w:cs="Arial"/>
          <w:lang w:val="en-GB"/>
        </w:rPr>
        <w:br w:type="page"/>
      </w:r>
    </w:p>
    <w:p w14:paraId="12D3019C" w14:textId="6BA49ABE" w:rsidR="00040101" w:rsidRPr="006F6370" w:rsidRDefault="00CA5EA8" w:rsidP="00040101">
      <w:pPr>
        <w:pStyle w:val="Caption"/>
        <w:rPr>
          <w:color w:val="000000" w:themeColor="text1"/>
          <w:lang w:val="en-GB"/>
        </w:rPr>
      </w:pPr>
      <w:r w:rsidRPr="006F6370">
        <w:rPr>
          <w:lang w:val="en-GB"/>
        </w:rPr>
        <w:lastRenderedPageBreak/>
        <w:t>ST3-3</w:t>
      </w:r>
      <w:r w:rsidR="00040101" w:rsidRPr="006F6370">
        <w:rPr>
          <w:lang w:val="en-GB"/>
        </w:rPr>
        <w:t xml:space="preserve">. </w:t>
      </w:r>
      <w:bookmarkEnd w:id="2"/>
      <w:r w:rsidR="00B0076E" w:rsidRPr="006F6370">
        <w:rPr>
          <w:lang w:val="en-GB"/>
        </w:rPr>
        <w:t>Estimated investment of Sub-Action 3 (Action 1)</w:t>
      </w:r>
    </w:p>
    <w:tbl>
      <w:tblPr>
        <w:tblStyle w:val="GridTable4"/>
        <w:tblW w:w="4961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E0" w:firstRow="1" w:lastRow="1" w:firstColumn="1" w:lastColumn="0" w:noHBand="1" w:noVBand="1"/>
      </w:tblPr>
      <w:tblGrid>
        <w:gridCol w:w="3907"/>
        <w:gridCol w:w="5214"/>
        <w:gridCol w:w="4493"/>
      </w:tblGrid>
      <w:tr w:rsidR="00CC7F1A" w:rsidRPr="006F6370" w14:paraId="20775602" w14:textId="77777777" w:rsidTr="00CC6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3F172DF" w14:textId="2E713FBC" w:rsidR="00CC7F1A" w:rsidRPr="006F6370" w:rsidRDefault="00CC7F1A" w:rsidP="00CC7F1A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191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20D0AD81" w14:textId="23B7F079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1650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009CF533" w14:textId="75C008FC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040101" w:rsidRPr="003D1887" w14:paraId="3B2BB9CC" w14:textId="77777777" w:rsidTr="00CC64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C388596" w14:textId="129965D2" w:rsidR="00B0076E" w:rsidRPr="006F6370" w:rsidRDefault="00146D14" w:rsidP="00B0076E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</w:p>
          <w:p w14:paraId="21FDAB89" w14:textId="33EAA7EA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BAA74A9" w14:textId="4B809E59" w:rsidR="00040101" w:rsidRPr="006F6370" w:rsidRDefault="003B2082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Meetings of the multidisciplinary working group to reach a consensus on the content of the document (7 experts).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54A36F8" w14:textId="351B8876" w:rsidR="00040101" w:rsidRPr="006F6370" w:rsidRDefault="003B2082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 meetings (opening and closing) of 2h each, and time for elaboration and revision (2 hours per expert) = 6 hours per expert</w:t>
            </w:r>
          </w:p>
        </w:tc>
      </w:tr>
      <w:tr w:rsidR="00040101" w:rsidRPr="006F6370" w14:paraId="1B3CC6F3" w14:textId="77777777" w:rsidTr="00CC64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1783A659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shd w:val="clear" w:color="auto" w:fill="auto"/>
            <w:hideMark/>
          </w:tcPr>
          <w:p w14:paraId="309152A4" w14:textId="28696864" w:rsidR="00040101" w:rsidRPr="006F6370" w:rsidRDefault="003B2082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Specialists: 2 in bone metabolism, 1 in traumatology and surgery, 1 in rehabilitation, 1 in nursing, </w:t>
            </w:r>
            <w:r w:rsidR="0019264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and 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in primary care.</w:t>
            </w:r>
          </w:p>
        </w:tc>
        <w:tc>
          <w:tcPr>
            <w:tcW w:w="1650" w:type="pct"/>
            <w:shd w:val="clear" w:color="auto" w:fill="auto"/>
            <w:hideMark/>
          </w:tcPr>
          <w:p w14:paraId="521C1ACB" w14:textId="77E49496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 xml:space="preserve">6 </w:t>
            </w:r>
            <w:r w:rsidR="003B2082"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>specialists</w:t>
            </w:r>
          </w:p>
        </w:tc>
      </w:tr>
      <w:tr w:rsidR="00040101" w:rsidRPr="006F6370" w14:paraId="675000CD" w14:textId="77777777" w:rsidTr="00CC64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05A90CA8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shd w:val="clear" w:color="auto" w:fill="auto"/>
            <w:hideMark/>
          </w:tcPr>
          <w:p w14:paraId="41573B3C" w14:textId="1195B9C8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1 </w:t>
            </w:r>
            <w:r w:rsidR="003B2082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expert patient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1650" w:type="pct"/>
            <w:shd w:val="clear" w:color="auto" w:fill="auto"/>
            <w:hideMark/>
          </w:tcPr>
          <w:p w14:paraId="4A883B19" w14:textId="5D16F203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 xml:space="preserve">1 </w:t>
            </w:r>
            <w:r w:rsidR="003B2082"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>patient</w:t>
            </w:r>
          </w:p>
        </w:tc>
      </w:tr>
      <w:tr w:rsidR="00040101" w:rsidRPr="003D1887" w14:paraId="3F1FFFF3" w14:textId="77777777" w:rsidTr="00CC64EF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033BA6B2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3565" w:type="pct"/>
            <w:gridSpan w:val="2"/>
            <w:shd w:val="clear" w:color="auto" w:fill="auto"/>
            <w:hideMark/>
          </w:tcPr>
          <w:p w14:paraId="2276B58F" w14:textId="0ED252AA" w:rsidR="00040101" w:rsidRPr="006F6370" w:rsidRDefault="00ED5204" w:rsidP="00ED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Preparation of the content of the information document by the working group (review of the </w:t>
            </w:r>
            <w:r w:rsidR="0019264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leading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clinical practice guidelines and preparation of a series of recommendations regarding secondary prevention and guidelines to be followed by the patient after discharge, including, for example</w:t>
            </w:r>
            <w:r w:rsidR="0019264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dietary recommendations, information on treatments and side effects, advice on how to avoid falls, simple exercise plan to be carried out at home)</w:t>
            </w:r>
          </w:p>
        </w:tc>
      </w:tr>
      <w:tr w:rsidR="00040101" w:rsidRPr="003D1887" w14:paraId="61A5AA51" w14:textId="77777777" w:rsidTr="00CC64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49AAE551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shd w:val="clear" w:color="auto" w:fill="auto"/>
            <w:hideMark/>
          </w:tcPr>
          <w:p w14:paraId="3C2C3EAD" w14:textId="1C2ED7A8" w:rsidR="00040101" w:rsidRPr="006F6370" w:rsidRDefault="00A1140C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Focus group with patients</w:t>
            </w:r>
          </w:p>
        </w:tc>
        <w:tc>
          <w:tcPr>
            <w:tcW w:w="1650" w:type="pct"/>
            <w:shd w:val="clear" w:color="auto" w:fill="auto"/>
            <w:hideMark/>
          </w:tcPr>
          <w:p w14:paraId="086D3C0E" w14:textId="35B9F9C8" w:rsidR="00040101" w:rsidRPr="006F6370" w:rsidRDefault="00C701C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The market cost for meeting with 4-5 patients and payment to the patient association will be considered.</w:t>
            </w:r>
          </w:p>
        </w:tc>
      </w:tr>
      <w:tr w:rsidR="00040101" w:rsidRPr="006F6370" w14:paraId="75CF2EC9" w14:textId="77777777" w:rsidTr="00CC64E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2B83DF56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shd w:val="clear" w:color="auto" w:fill="auto"/>
            <w:hideMark/>
          </w:tcPr>
          <w:p w14:paraId="7D1BAE05" w14:textId="13979E5C" w:rsidR="00040101" w:rsidRPr="006F6370" w:rsidRDefault="00C701C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Management of scientific endorsements</w:t>
            </w:r>
          </w:p>
        </w:tc>
        <w:tc>
          <w:tcPr>
            <w:tcW w:w="1650" w:type="pct"/>
            <w:shd w:val="clear" w:color="auto" w:fill="auto"/>
            <w:hideMark/>
          </w:tcPr>
          <w:p w14:paraId="29EFF678" w14:textId="319B5A64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 </w:t>
            </w:r>
            <w:r w:rsidR="00C701CE"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endorsements</w:t>
            </w:r>
          </w:p>
        </w:tc>
      </w:tr>
      <w:tr w:rsidR="00040101" w:rsidRPr="006F6370" w14:paraId="1E9ACC72" w14:textId="77777777" w:rsidTr="00CC64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noWrap/>
            <w:hideMark/>
          </w:tcPr>
          <w:p w14:paraId="2842C304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shd w:val="clear" w:color="auto" w:fill="auto"/>
            <w:hideMark/>
          </w:tcPr>
          <w:p w14:paraId="24403CCF" w14:textId="722557D8" w:rsidR="00040101" w:rsidRPr="006F6370" w:rsidRDefault="00C701C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Design and layout of the leaflet</w:t>
            </w:r>
          </w:p>
        </w:tc>
        <w:tc>
          <w:tcPr>
            <w:tcW w:w="1650" w:type="pct"/>
            <w:shd w:val="clear" w:color="auto" w:fill="auto"/>
            <w:hideMark/>
          </w:tcPr>
          <w:p w14:paraId="4F698832" w14:textId="64942715" w:rsidR="00040101" w:rsidRPr="006F6370" w:rsidRDefault="00C701C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cost</w:t>
            </w:r>
          </w:p>
        </w:tc>
      </w:tr>
      <w:tr w:rsidR="00040101" w:rsidRPr="003D1887" w14:paraId="44D71DC4" w14:textId="77777777" w:rsidTr="00CC64EF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33A1E291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shd w:val="clear" w:color="auto" w:fill="auto"/>
            <w:hideMark/>
          </w:tcPr>
          <w:p w14:paraId="647DB482" w14:textId="720F11F9" w:rsidR="00040101" w:rsidRPr="006F6370" w:rsidRDefault="0046790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Printing of the leaflet</w:t>
            </w:r>
          </w:p>
        </w:tc>
        <w:tc>
          <w:tcPr>
            <w:tcW w:w="1650" w:type="pct"/>
            <w:shd w:val="clear" w:color="auto" w:fill="auto"/>
            <w:hideMark/>
          </w:tcPr>
          <w:p w14:paraId="4582C547" w14:textId="5E4E6C07" w:rsidR="00040101" w:rsidRPr="006F6370" w:rsidRDefault="0046790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Market costs of printing a leaflet x no. of printings according to destination (100 </w:t>
            </w:r>
            <w:r w:rsidR="00AB1A6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brochure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 per hospital, 158 hospitals)</w:t>
            </w:r>
          </w:p>
        </w:tc>
      </w:tr>
      <w:tr w:rsidR="00040101" w:rsidRPr="003D1887" w14:paraId="6AF45F7E" w14:textId="77777777" w:rsidTr="00CC64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0B9DD467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vMerge w:val="restart"/>
            <w:shd w:val="clear" w:color="auto" w:fill="auto"/>
            <w:hideMark/>
          </w:tcPr>
          <w:p w14:paraId="40EA31FC" w14:textId="28DB06EB" w:rsidR="00040101" w:rsidRPr="006F6370" w:rsidRDefault="0046790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Distribution of the leaflet to hospitals caring for patients with fragility fractures (hospitals with trauma services are considered), patient associations, pharmacy offices, day centres</w:t>
            </w:r>
          </w:p>
        </w:tc>
        <w:tc>
          <w:tcPr>
            <w:tcW w:w="1650" w:type="pct"/>
            <w:shd w:val="clear" w:color="auto" w:fill="auto"/>
            <w:hideMark/>
          </w:tcPr>
          <w:p w14:paraId="738C5DB8" w14:textId="045E7DFE" w:rsidR="00040101" w:rsidRPr="006F6370" w:rsidRDefault="00AB1A64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The m</w:t>
            </w:r>
            <w:r w:rsidR="0013541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arket cost of postal delivery of the leaflet</w:t>
            </w:r>
          </w:p>
        </w:tc>
      </w:tr>
      <w:tr w:rsidR="00040101" w:rsidRPr="003D1887" w14:paraId="0CD5B591" w14:textId="77777777" w:rsidTr="00CC64E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3C004428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915" w:type="pct"/>
            <w:vMerge/>
            <w:shd w:val="clear" w:color="auto" w:fill="auto"/>
            <w:hideMark/>
          </w:tcPr>
          <w:p w14:paraId="71439536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650" w:type="pct"/>
            <w:shd w:val="clear" w:color="auto" w:fill="auto"/>
            <w:hideMark/>
          </w:tcPr>
          <w:p w14:paraId="48C01AEC" w14:textId="55F60CC8" w:rsidR="00040101" w:rsidRPr="006F6370" w:rsidRDefault="0013541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copies to be sent to each hospital, association, pharmacy and day centre</w:t>
            </w:r>
          </w:p>
        </w:tc>
      </w:tr>
      <w:tr w:rsidR="0013541E" w:rsidRPr="006F6370" w14:paraId="1F04AECF" w14:textId="77777777" w:rsidTr="00CC64E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pct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6ACF00E2" w14:textId="05D23DCF" w:rsidR="0013541E" w:rsidRPr="006F6370" w:rsidRDefault="0013541E" w:rsidP="0013541E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1650" w:type="pct"/>
            <w:tcBorders>
              <w:top w:val="none" w:sz="0" w:space="0" w:color="auto"/>
            </w:tcBorders>
            <w:shd w:val="clear" w:color="auto" w:fill="auto"/>
            <w:hideMark/>
          </w:tcPr>
          <w:p w14:paraId="2261DA69" w14:textId="6A6DE324" w:rsidR="0013541E" w:rsidRPr="006F6370" w:rsidRDefault="0013541E" w:rsidP="0013541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  <w:r w:rsidR="00613AEE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34</w:t>
            </w:r>
            <w:r w:rsidR="00613AEE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136</w:t>
            </w:r>
          </w:p>
        </w:tc>
      </w:tr>
    </w:tbl>
    <w:p w14:paraId="0E6D91B8" w14:textId="77777777" w:rsidR="00A43F91" w:rsidRPr="006F6370" w:rsidRDefault="00A43F91" w:rsidP="00040101">
      <w:pPr>
        <w:pStyle w:val="Caption"/>
        <w:rPr>
          <w:lang w:val="en-GB"/>
        </w:rPr>
      </w:pPr>
      <w:bookmarkStart w:id="3" w:name="_Toc78266811"/>
    </w:p>
    <w:p w14:paraId="5CBC053B" w14:textId="77777777" w:rsidR="00A43F91" w:rsidRPr="006F6370" w:rsidRDefault="00A43F91">
      <w:pPr>
        <w:rPr>
          <w:rFonts w:ascii="Arial" w:hAnsi="Arial" w:cs="Arial"/>
          <w:b/>
          <w:bCs/>
          <w:color w:val="595959" w:themeColor="text1" w:themeTint="A6"/>
          <w:sz w:val="18"/>
          <w:szCs w:val="20"/>
          <w:lang w:val="en-GB"/>
        </w:rPr>
      </w:pPr>
      <w:r w:rsidRPr="006F6370">
        <w:rPr>
          <w:rFonts w:ascii="Arial" w:hAnsi="Arial" w:cs="Arial"/>
          <w:lang w:val="en-GB"/>
        </w:rPr>
        <w:br w:type="page"/>
      </w:r>
    </w:p>
    <w:p w14:paraId="7E0CBF64" w14:textId="06B22818" w:rsidR="00040101" w:rsidRPr="006F6370" w:rsidRDefault="0013541E" w:rsidP="00040101">
      <w:pPr>
        <w:pStyle w:val="Caption"/>
        <w:rPr>
          <w:color w:val="000000" w:themeColor="text1"/>
          <w:lang w:val="en-GB"/>
        </w:rPr>
      </w:pPr>
      <w:r w:rsidRPr="006F6370">
        <w:rPr>
          <w:lang w:val="en-GB"/>
        </w:rPr>
        <w:lastRenderedPageBreak/>
        <w:t xml:space="preserve">ST3-4. </w:t>
      </w:r>
      <w:bookmarkEnd w:id="3"/>
      <w:r w:rsidR="00E2267C" w:rsidRPr="006F6370">
        <w:rPr>
          <w:lang w:val="en-GB"/>
        </w:rPr>
        <w:t>Estimated investment of Sub-Action 1 (Action 2)</w:t>
      </w:r>
    </w:p>
    <w:tbl>
      <w:tblPr>
        <w:tblStyle w:val="GridTable4"/>
        <w:tblW w:w="4961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E0" w:firstRow="1" w:lastRow="1" w:firstColumn="1" w:lastColumn="0" w:noHBand="1" w:noVBand="1"/>
      </w:tblPr>
      <w:tblGrid>
        <w:gridCol w:w="3907"/>
        <w:gridCol w:w="5217"/>
        <w:gridCol w:w="4490"/>
      </w:tblGrid>
      <w:tr w:rsidR="00CC7F1A" w:rsidRPr="006F6370" w14:paraId="22BECCF5" w14:textId="77777777" w:rsidTr="00A7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A174B73" w14:textId="1175CBD2" w:rsidR="00CC7F1A" w:rsidRPr="006F6370" w:rsidRDefault="00CC7F1A" w:rsidP="00CC7F1A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191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AB658CF" w14:textId="28C28096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164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079FBD4" w14:textId="4B05BBEF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040101" w:rsidRPr="003D1887" w14:paraId="24436311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4C7AF1" w14:textId="72C532AE" w:rsidR="00E2267C" w:rsidRPr="006F6370" w:rsidRDefault="00146D14" w:rsidP="00E2267C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</w:p>
          <w:p w14:paraId="0CC99DC9" w14:textId="20379499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B6E623" w14:textId="18D77F52" w:rsidR="00040101" w:rsidRPr="006F6370" w:rsidRDefault="00D723D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Meetings of the multidisciplinary working group to draft and revise the document</w:t>
            </w:r>
          </w:p>
        </w:tc>
        <w:tc>
          <w:tcPr>
            <w:tcW w:w="164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A79671" w14:textId="46EC1F47" w:rsidR="00040101" w:rsidRPr="006F6370" w:rsidRDefault="00D723D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 meetings of 2h each + time for elaboration, review and training (12 hours per expert) = 18 hours per expert</w:t>
            </w:r>
          </w:p>
        </w:tc>
      </w:tr>
      <w:tr w:rsidR="00040101" w:rsidRPr="006F6370" w14:paraId="40DE4AE8" w14:textId="77777777" w:rsidTr="00A74BA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483C39E0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vMerge w:val="restart"/>
            <w:shd w:val="clear" w:color="auto" w:fill="auto"/>
            <w:hideMark/>
          </w:tcPr>
          <w:p w14:paraId="009ACC54" w14:textId="77777777" w:rsidR="005B022F" w:rsidRPr="006F6370" w:rsidRDefault="005B022F" w:rsidP="005B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Specialists: 2 in bone metabolism, 1 in traumatology and surgery, 1 in radiology, 1 in rehabilitation, 1 in hospital pharmacy, 1 in emergency medicine, 1 in nursing, 1 in primary care, 1 in health care.</w:t>
            </w:r>
          </w:p>
          <w:p w14:paraId="10E18A4C" w14:textId="4D9D6398" w:rsidR="00040101" w:rsidRPr="006F6370" w:rsidRDefault="005B022F" w:rsidP="005B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patient representative</w:t>
            </w:r>
          </w:p>
        </w:tc>
        <w:tc>
          <w:tcPr>
            <w:tcW w:w="1649" w:type="pct"/>
            <w:shd w:val="clear" w:color="auto" w:fill="auto"/>
            <w:noWrap/>
            <w:hideMark/>
          </w:tcPr>
          <w:p w14:paraId="37833D95" w14:textId="3ECBEC49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 xml:space="preserve">9 </w:t>
            </w:r>
            <w:r w:rsidR="005B022F"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>specialists</w:t>
            </w:r>
          </w:p>
        </w:tc>
      </w:tr>
      <w:tr w:rsidR="00040101" w:rsidRPr="006F6370" w14:paraId="3F5084A9" w14:textId="77777777" w:rsidTr="00A74BAF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2AEC6E97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vMerge/>
            <w:shd w:val="clear" w:color="auto" w:fill="auto"/>
            <w:hideMark/>
          </w:tcPr>
          <w:p w14:paraId="4B5B5532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649" w:type="pct"/>
            <w:shd w:val="clear" w:color="auto" w:fill="auto"/>
            <w:noWrap/>
            <w:hideMark/>
          </w:tcPr>
          <w:p w14:paraId="09E03DCD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  <w:p w14:paraId="7AAFA4C1" w14:textId="527124BB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1 </w:t>
            </w:r>
            <w:r w:rsidR="005B022F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patient</w:t>
            </w:r>
          </w:p>
        </w:tc>
      </w:tr>
      <w:tr w:rsidR="00040101" w:rsidRPr="006F6370" w14:paraId="030AC36F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0EFE2DAD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shd w:val="clear" w:color="auto" w:fill="auto"/>
            <w:noWrap/>
            <w:hideMark/>
          </w:tcPr>
          <w:p w14:paraId="482AF700" w14:textId="41088EAD" w:rsidR="00040101" w:rsidRPr="006F6370" w:rsidRDefault="005B022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Management of scientific endorsements</w:t>
            </w:r>
          </w:p>
        </w:tc>
        <w:tc>
          <w:tcPr>
            <w:tcW w:w="1649" w:type="pct"/>
            <w:shd w:val="clear" w:color="auto" w:fill="auto"/>
            <w:noWrap/>
            <w:hideMark/>
          </w:tcPr>
          <w:p w14:paraId="33529AD6" w14:textId="62FAD9B8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3 </w:t>
            </w:r>
            <w:r w:rsidR="005B022F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scientific endorsements</w:t>
            </w:r>
          </w:p>
        </w:tc>
      </w:tr>
      <w:tr w:rsidR="00040101" w:rsidRPr="003D1887" w14:paraId="6AA704DC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4EF83BEF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shd w:val="clear" w:color="auto" w:fill="auto"/>
            <w:noWrap/>
            <w:hideMark/>
          </w:tcPr>
          <w:p w14:paraId="24202C06" w14:textId="7DE582B3" w:rsidR="00040101" w:rsidRPr="006F6370" w:rsidRDefault="00387F7A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Design and layout of the document</w:t>
            </w:r>
          </w:p>
        </w:tc>
        <w:tc>
          <w:tcPr>
            <w:tcW w:w="1649" w:type="pct"/>
            <w:shd w:val="clear" w:color="auto" w:fill="auto"/>
            <w:noWrap/>
            <w:hideMark/>
          </w:tcPr>
          <w:p w14:paraId="0145B7C0" w14:textId="16F9DB75" w:rsidR="00040101" w:rsidRPr="006F6370" w:rsidRDefault="00387F7A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cost for guide design</w:t>
            </w:r>
          </w:p>
        </w:tc>
      </w:tr>
      <w:tr w:rsidR="00040101" w:rsidRPr="003D1887" w14:paraId="1AB5153E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24724A09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vMerge w:val="restart"/>
            <w:shd w:val="clear" w:color="auto" w:fill="auto"/>
            <w:noWrap/>
            <w:hideMark/>
          </w:tcPr>
          <w:p w14:paraId="4F8EFF9A" w14:textId="5C47766D" w:rsidR="00040101" w:rsidRPr="006F6370" w:rsidRDefault="00387F7A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Dissemination of the document to all PC centres and hospitals that treat patients with fragility fractures in the NHS (hospitals with trauma services will be considered).</w:t>
            </w:r>
          </w:p>
        </w:tc>
        <w:tc>
          <w:tcPr>
            <w:tcW w:w="1649" w:type="pct"/>
            <w:shd w:val="clear" w:color="auto" w:fill="auto"/>
            <w:noWrap/>
            <w:hideMark/>
          </w:tcPr>
          <w:p w14:paraId="3BF0A9F6" w14:textId="3814361E" w:rsidR="00040101" w:rsidRPr="006F6370" w:rsidRDefault="00387F7A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Sending through institutional channels a note advising of the publication of the document of harmonisation of recommendations on the ministry's website.</w:t>
            </w:r>
          </w:p>
        </w:tc>
      </w:tr>
      <w:tr w:rsidR="00040101" w:rsidRPr="003D1887" w14:paraId="7D3B6BA6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2FFC9AF4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vMerge/>
            <w:shd w:val="clear" w:color="auto" w:fill="auto"/>
            <w:hideMark/>
          </w:tcPr>
          <w:p w14:paraId="08D15BA9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649" w:type="pct"/>
            <w:shd w:val="clear" w:color="auto" w:fill="auto"/>
            <w:noWrap/>
            <w:hideMark/>
          </w:tcPr>
          <w:p w14:paraId="62B60DC7" w14:textId="5AD8B67D" w:rsidR="00040101" w:rsidRPr="006F6370" w:rsidRDefault="00736DF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Communication channels already in place would be used, so there would be no extra cost to the 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NHS.</w:t>
            </w:r>
          </w:p>
        </w:tc>
      </w:tr>
      <w:tr w:rsidR="00040101" w:rsidRPr="006F6370" w14:paraId="57B50852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6B9DAFC5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shd w:val="clear" w:color="auto" w:fill="auto"/>
            <w:noWrap/>
            <w:hideMark/>
          </w:tcPr>
          <w:p w14:paraId="1B6D0B22" w14:textId="184C27EE" w:rsidR="00040101" w:rsidRPr="006F6370" w:rsidRDefault="00736DF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Presentation day (online)</w:t>
            </w:r>
          </w:p>
        </w:tc>
        <w:tc>
          <w:tcPr>
            <w:tcW w:w="1649" w:type="pct"/>
            <w:shd w:val="clear" w:color="auto" w:fill="auto"/>
            <w:noWrap/>
            <w:hideMark/>
          </w:tcPr>
          <w:p w14:paraId="4150E6DA" w14:textId="5DE3B391" w:rsidR="00040101" w:rsidRPr="006F6370" w:rsidRDefault="00736DF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price</w:t>
            </w:r>
          </w:p>
        </w:tc>
      </w:tr>
      <w:tr w:rsidR="00040101" w:rsidRPr="003D1887" w14:paraId="1F992A48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vMerge/>
            <w:shd w:val="clear" w:color="auto" w:fill="auto"/>
            <w:hideMark/>
          </w:tcPr>
          <w:p w14:paraId="570D046F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916" w:type="pct"/>
            <w:shd w:val="clear" w:color="auto" w:fill="auto"/>
            <w:noWrap/>
            <w:hideMark/>
          </w:tcPr>
          <w:p w14:paraId="296FFD94" w14:textId="40622056" w:rsidR="00040101" w:rsidRPr="006F6370" w:rsidRDefault="00736DF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Publication on the web of the recommendations of the scientific societies.</w:t>
            </w:r>
          </w:p>
        </w:tc>
        <w:tc>
          <w:tcPr>
            <w:tcW w:w="1649" w:type="pct"/>
            <w:shd w:val="clear" w:color="auto" w:fill="auto"/>
            <w:noWrap/>
            <w:hideMark/>
          </w:tcPr>
          <w:p w14:paraId="485FD5C8" w14:textId="3FBB58FF" w:rsidR="00040101" w:rsidRPr="006F6370" w:rsidRDefault="00B7559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It is assumed that it would be included in the web services already contracted.</w:t>
            </w:r>
          </w:p>
        </w:tc>
      </w:tr>
      <w:tr w:rsidR="00040101" w:rsidRPr="003D1887" w14:paraId="7837F7FE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shd w:val="clear" w:color="auto" w:fill="auto"/>
            <w:noWrap/>
            <w:hideMark/>
          </w:tcPr>
          <w:p w14:paraId="51F7D0B7" w14:textId="7B3180B0" w:rsidR="00040101" w:rsidRPr="006F6370" w:rsidRDefault="00E2267C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Healthcare professionals</w:t>
            </w:r>
          </w:p>
        </w:tc>
        <w:tc>
          <w:tcPr>
            <w:tcW w:w="1916" w:type="pct"/>
            <w:shd w:val="clear" w:color="auto" w:fill="auto"/>
            <w:noWrap/>
            <w:hideMark/>
          </w:tcPr>
          <w:p w14:paraId="2B0EDE0A" w14:textId="4BBBBCC4" w:rsidR="00040101" w:rsidRPr="006F6370" w:rsidRDefault="00B7559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Attendance at training</w:t>
            </w:r>
          </w:p>
        </w:tc>
        <w:tc>
          <w:tcPr>
            <w:tcW w:w="1649" w:type="pct"/>
            <w:shd w:val="clear" w:color="auto" w:fill="auto"/>
            <w:noWrap/>
            <w:hideMark/>
          </w:tcPr>
          <w:p w14:paraId="7468EC23" w14:textId="51DB8701" w:rsidR="00040101" w:rsidRPr="006F6370" w:rsidRDefault="00B7559E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Time within their working day</w:t>
            </w:r>
          </w:p>
        </w:tc>
      </w:tr>
      <w:tr w:rsidR="00040101" w:rsidRPr="006F6370" w14:paraId="12A2500E" w14:textId="77777777" w:rsidTr="00A74B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pct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1631C017" w14:textId="1C14EB9C" w:rsidR="00040101" w:rsidRPr="006F6370" w:rsidRDefault="00E2267C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1916" w:type="pct"/>
            <w:tcBorders>
              <w:top w:val="none" w:sz="0" w:space="0" w:color="auto"/>
            </w:tcBorders>
            <w:shd w:val="clear" w:color="auto" w:fill="auto"/>
          </w:tcPr>
          <w:p w14:paraId="0DA2ECBA" w14:textId="77777777" w:rsidR="00040101" w:rsidRPr="006F6370" w:rsidRDefault="00040101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649" w:type="pct"/>
            <w:tcBorders>
              <w:top w:val="none" w:sz="0" w:space="0" w:color="auto"/>
            </w:tcBorders>
            <w:shd w:val="clear" w:color="auto" w:fill="auto"/>
          </w:tcPr>
          <w:p w14:paraId="3E606227" w14:textId="6CC51FDB" w:rsidR="00040101" w:rsidRPr="006F6370" w:rsidRDefault="00294436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="00040101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="00040101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510</w:t>
            </w:r>
          </w:p>
        </w:tc>
      </w:tr>
    </w:tbl>
    <w:p w14:paraId="77E5F369" w14:textId="77777777" w:rsidR="00040101" w:rsidRPr="006F6370" w:rsidRDefault="00040101" w:rsidP="00040101">
      <w:pPr>
        <w:rPr>
          <w:rFonts w:ascii="Arial" w:hAnsi="Arial" w:cs="Arial"/>
          <w:color w:val="000000" w:themeColor="text1"/>
          <w:lang w:val="en-GB"/>
        </w:rPr>
      </w:pPr>
      <w:r w:rsidRPr="006F6370">
        <w:rPr>
          <w:rFonts w:ascii="Arial" w:hAnsi="Arial" w:cs="Arial"/>
          <w:color w:val="000000" w:themeColor="text1"/>
          <w:lang w:val="en-GB"/>
        </w:rPr>
        <w:br w:type="page"/>
      </w:r>
    </w:p>
    <w:p w14:paraId="6E7932A9" w14:textId="5E15174A" w:rsidR="00040101" w:rsidRPr="006F6370" w:rsidRDefault="00E75AB6" w:rsidP="00040101">
      <w:pPr>
        <w:pStyle w:val="Caption"/>
        <w:rPr>
          <w:color w:val="000000" w:themeColor="text1"/>
          <w:lang w:val="en-GB"/>
        </w:rPr>
      </w:pPr>
      <w:bookmarkStart w:id="4" w:name="_Toc78266812"/>
      <w:r w:rsidRPr="006F6370">
        <w:rPr>
          <w:lang w:val="en-GB"/>
        </w:rPr>
        <w:lastRenderedPageBreak/>
        <w:t xml:space="preserve">ST3-5. </w:t>
      </w:r>
      <w:bookmarkEnd w:id="4"/>
      <w:r w:rsidR="007B1677" w:rsidRPr="006F6370">
        <w:rPr>
          <w:lang w:val="en-GB"/>
        </w:rPr>
        <w:t>Estimated investment for Sub-Action 2.2 (Action 2)</w:t>
      </w:r>
    </w:p>
    <w:tbl>
      <w:tblPr>
        <w:tblStyle w:val="GridTable4"/>
        <w:tblW w:w="1346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E0" w:firstRow="1" w:lastRow="1" w:firstColumn="1" w:lastColumn="0" w:noHBand="1" w:noVBand="1"/>
      </w:tblPr>
      <w:tblGrid>
        <w:gridCol w:w="3823"/>
        <w:gridCol w:w="5103"/>
        <w:gridCol w:w="4536"/>
      </w:tblGrid>
      <w:tr w:rsidR="00CC7F1A" w:rsidRPr="006F6370" w14:paraId="02312C92" w14:textId="77777777" w:rsidTr="00A7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noWrap/>
            <w:hideMark/>
          </w:tcPr>
          <w:p w14:paraId="3A997821" w14:textId="56BDA505" w:rsidR="00CC7F1A" w:rsidRPr="006F6370" w:rsidRDefault="00CC7F1A" w:rsidP="00CC7F1A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5103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noWrap/>
            <w:hideMark/>
          </w:tcPr>
          <w:p w14:paraId="2CA251D9" w14:textId="2CE5DC4F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4536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noWrap/>
            <w:hideMark/>
          </w:tcPr>
          <w:p w14:paraId="6A2AACB9" w14:textId="314DD7C7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040101" w:rsidRPr="006F6370" w14:paraId="3B001B1D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67C87E00" w14:textId="151AC9D8" w:rsidR="00DA445D" w:rsidRPr="006F6370" w:rsidRDefault="00146D14" w:rsidP="00DA445D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SN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</w:p>
          <w:p w14:paraId="74C83237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5103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AD2663B" w14:textId="4CF82F85" w:rsidR="007B1677" w:rsidRPr="006F6370" w:rsidRDefault="00CF6110" w:rsidP="007B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Conduction of</w:t>
            </w:r>
            <w:r w:rsidR="007B1677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an annual CFC-accredited online training course on osteoporosis and secondary prevention of fragility fracture. </w:t>
            </w:r>
          </w:p>
          <w:p w14:paraId="44A893BD" w14:textId="77777777" w:rsidR="007B1677" w:rsidRPr="006F6370" w:rsidRDefault="007B1677" w:rsidP="007B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  <w:p w14:paraId="70CD9569" w14:textId="12389D3E" w:rsidR="00040101" w:rsidRPr="006F6370" w:rsidRDefault="007B1677" w:rsidP="007B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Course duration is assumed to be 6 hours.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noWrap/>
            <w:hideMark/>
          </w:tcPr>
          <w:p w14:paraId="19E9D794" w14:textId="1B2F5156" w:rsidR="00040101" w:rsidRPr="006F6370" w:rsidRDefault="001A11A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Human resources for teaching:</w:t>
            </w:r>
          </w:p>
        </w:tc>
      </w:tr>
      <w:tr w:rsidR="00040101" w:rsidRPr="003D1887" w14:paraId="6B68CB57" w14:textId="77777777" w:rsidTr="00A74BAF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0E1CF2EB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hideMark/>
          </w:tcPr>
          <w:p w14:paraId="079FCA83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1828AC5B" w14:textId="5644C29E" w:rsidR="00040101" w:rsidRPr="006F6370" w:rsidRDefault="001A11A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10 specialist teachers in bone metabolism and others (e.g.</w:t>
            </w:r>
            <w:r w:rsid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2 specialists in PC, 2 in rheumatology, 1 in traumatology, 1 in orthogeriatric, 1 in nursing, 1 in endocrinology, 1 in rehabilitation, 1 in pharmacy).</w:t>
            </w:r>
          </w:p>
        </w:tc>
      </w:tr>
      <w:tr w:rsidR="00040101" w:rsidRPr="003D1887" w14:paraId="4B79600D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2E4DAFDC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hideMark/>
          </w:tcPr>
          <w:p w14:paraId="75604A15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0A070C8E" w14:textId="7FAAB49E" w:rsidR="00040101" w:rsidRPr="006F6370" w:rsidRDefault="001A11A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6 h for the preparation of the material by each teacher</w:t>
            </w:r>
          </w:p>
        </w:tc>
      </w:tr>
      <w:tr w:rsidR="00040101" w:rsidRPr="006F6370" w14:paraId="15D0C70B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0A66C2F8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hideMark/>
          </w:tcPr>
          <w:p w14:paraId="23525B51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2986073F" w14:textId="0295119B" w:rsidR="00040101" w:rsidRPr="006F6370" w:rsidRDefault="001A11A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Preparation of materials</w:t>
            </w:r>
          </w:p>
        </w:tc>
      </w:tr>
      <w:tr w:rsidR="00040101" w:rsidRPr="003D1887" w14:paraId="66EBBD39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</w:tcPr>
          <w:p w14:paraId="0570AB98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noWrap/>
          </w:tcPr>
          <w:p w14:paraId="4E739B58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41B507E" w14:textId="24050EA8" w:rsidR="00040101" w:rsidRPr="006F6370" w:rsidRDefault="001A11A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 teachers to teach the course</w:t>
            </w:r>
          </w:p>
        </w:tc>
      </w:tr>
      <w:tr w:rsidR="00040101" w:rsidRPr="006F6370" w14:paraId="07430DE7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7CC73089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noWrap/>
            <w:hideMark/>
          </w:tcPr>
          <w:p w14:paraId="009DE924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4505B6CF" w14:textId="1A695095" w:rsidR="00040101" w:rsidRPr="006F6370" w:rsidRDefault="0074445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6 hours of course duration</w:t>
            </w:r>
          </w:p>
        </w:tc>
      </w:tr>
      <w:tr w:rsidR="00040101" w:rsidRPr="003D1887" w14:paraId="640D22E8" w14:textId="77777777" w:rsidTr="00A74BA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327908AC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noWrap/>
            <w:hideMark/>
          </w:tcPr>
          <w:p w14:paraId="684E7956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val="en-GB"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2591C3B1" w14:textId="3E4000F0" w:rsidR="00040101" w:rsidRPr="006F6370" w:rsidRDefault="0074445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hospitals with trauma service (N = 316)</w:t>
            </w:r>
          </w:p>
        </w:tc>
      </w:tr>
      <w:tr w:rsidR="00040101" w:rsidRPr="003D1887" w14:paraId="792AA975" w14:textId="77777777" w:rsidTr="00A74BA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670114AA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vMerge/>
            <w:shd w:val="clear" w:color="auto" w:fill="auto"/>
            <w:noWrap/>
            <w:hideMark/>
          </w:tcPr>
          <w:p w14:paraId="2F82BDA9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0"/>
                <w:lang w:val="en-GB" w:eastAsia="es-ES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45B2D88E" w14:textId="1432C615" w:rsidR="00040101" w:rsidRPr="006F6370" w:rsidRDefault="0074445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Accreditation of the course in all Spanish regions</w:t>
            </w:r>
          </w:p>
        </w:tc>
      </w:tr>
      <w:tr w:rsidR="00040101" w:rsidRPr="006F6370" w14:paraId="566D5485" w14:textId="77777777" w:rsidTr="00A74BA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74B3E097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33BC010F" w14:textId="03A56E27" w:rsidR="00040101" w:rsidRPr="006F6370" w:rsidRDefault="0044505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Management of scientific endorsements</w:t>
            </w:r>
          </w:p>
        </w:tc>
        <w:tc>
          <w:tcPr>
            <w:tcW w:w="4536" w:type="dxa"/>
            <w:shd w:val="clear" w:color="auto" w:fill="auto"/>
            <w:hideMark/>
          </w:tcPr>
          <w:p w14:paraId="4E816E32" w14:textId="6017B30A" w:rsidR="00040101" w:rsidRPr="006F6370" w:rsidRDefault="0044505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 scientific society endorsements</w:t>
            </w:r>
          </w:p>
        </w:tc>
      </w:tr>
      <w:tr w:rsidR="00040101" w:rsidRPr="003D1887" w14:paraId="433C959E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  <w:noWrap/>
            <w:hideMark/>
          </w:tcPr>
          <w:p w14:paraId="3B5062C9" w14:textId="111DE688" w:rsidR="00040101" w:rsidRPr="006F6370" w:rsidRDefault="00DA445D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Primary care doctors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5EA8526" w14:textId="2C3C6FB6" w:rsidR="00040101" w:rsidRPr="006F6370" w:rsidRDefault="0044505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assistance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102CB42" w14:textId="52EDE906" w:rsidR="00040101" w:rsidRPr="006F6370" w:rsidRDefault="00DA445D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time within the working day</w:t>
            </w:r>
          </w:p>
        </w:tc>
      </w:tr>
      <w:tr w:rsidR="00040101" w:rsidRPr="006F6370" w14:paraId="57CDA6CC" w14:textId="77777777" w:rsidTr="00A74B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0644A4CB" w14:textId="69A80D86" w:rsidR="00040101" w:rsidRPr="006F6370" w:rsidRDefault="007F2EDD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4536" w:type="dxa"/>
            <w:tcBorders>
              <w:top w:val="none" w:sz="0" w:space="0" w:color="auto"/>
            </w:tcBorders>
            <w:shd w:val="clear" w:color="auto" w:fill="auto"/>
            <w:hideMark/>
          </w:tcPr>
          <w:p w14:paraId="1272C3C9" w14:textId="245B9293" w:rsidR="00040101" w:rsidRPr="006F6370" w:rsidRDefault="00040101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  <w:r w:rsidR="0029443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524</w:t>
            </w:r>
            <w:r w:rsidR="00294436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581</w:t>
            </w:r>
          </w:p>
        </w:tc>
      </w:tr>
    </w:tbl>
    <w:p w14:paraId="0784C378" w14:textId="77777777" w:rsidR="00040101" w:rsidRPr="006F6370" w:rsidRDefault="00040101" w:rsidP="00040101">
      <w:pPr>
        <w:pStyle w:val="Subtitle"/>
        <w:rPr>
          <w:b/>
          <w:bCs/>
          <w:color w:val="595959" w:themeColor="text1" w:themeTint="A6"/>
          <w:lang w:val="en-GB"/>
        </w:rPr>
      </w:pPr>
      <w:bookmarkStart w:id="5" w:name="_Ref65014257"/>
    </w:p>
    <w:p w14:paraId="0B4B8087" w14:textId="77777777" w:rsidR="00040101" w:rsidRPr="006F6370" w:rsidRDefault="00040101" w:rsidP="00040101">
      <w:pPr>
        <w:rPr>
          <w:rFonts w:ascii="Arial" w:eastAsiaTheme="minorEastAsia" w:hAnsi="Arial" w:cs="Arial"/>
          <w:b/>
          <w:bCs/>
          <w:spacing w:val="15"/>
          <w:lang w:val="en-GB"/>
        </w:rPr>
      </w:pPr>
      <w:r w:rsidRPr="006F6370">
        <w:rPr>
          <w:rFonts w:ascii="Arial" w:hAnsi="Arial" w:cs="Arial"/>
          <w:b/>
          <w:bCs/>
          <w:lang w:val="en-GB"/>
        </w:rPr>
        <w:br w:type="page"/>
      </w:r>
    </w:p>
    <w:p w14:paraId="772F7F18" w14:textId="5C4E9F51" w:rsidR="00040101" w:rsidRPr="006F6370" w:rsidRDefault="007F2EDD" w:rsidP="00227425">
      <w:pPr>
        <w:pStyle w:val="Caption"/>
        <w:rPr>
          <w:color w:val="000000" w:themeColor="text1"/>
          <w:lang w:val="en-GB"/>
        </w:rPr>
      </w:pPr>
      <w:bookmarkStart w:id="6" w:name="_Toc78266813"/>
      <w:bookmarkEnd w:id="5"/>
      <w:r w:rsidRPr="006F6370">
        <w:rPr>
          <w:lang w:val="en-GB"/>
        </w:rPr>
        <w:lastRenderedPageBreak/>
        <w:t xml:space="preserve">ST3-6. </w:t>
      </w:r>
      <w:bookmarkEnd w:id="6"/>
      <w:r w:rsidR="00C22F6F" w:rsidRPr="006F6370">
        <w:rPr>
          <w:lang w:val="en-GB"/>
        </w:rPr>
        <w:t>Estimated investment for Sub-Action 2.3 (Action 2)</w:t>
      </w:r>
    </w:p>
    <w:tbl>
      <w:tblPr>
        <w:tblStyle w:val="GridTable4"/>
        <w:tblW w:w="1346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E0" w:firstRow="1" w:lastRow="1" w:firstColumn="1" w:lastColumn="0" w:noHBand="1" w:noVBand="1"/>
      </w:tblPr>
      <w:tblGrid>
        <w:gridCol w:w="3823"/>
        <w:gridCol w:w="4961"/>
        <w:gridCol w:w="4678"/>
      </w:tblGrid>
      <w:tr w:rsidR="00CC7F1A" w:rsidRPr="006F6370" w14:paraId="6B0BE839" w14:textId="77777777" w:rsidTr="00A7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42BBAF2" w14:textId="63E3EE36" w:rsidR="00CC7F1A" w:rsidRPr="006F6370" w:rsidRDefault="00CC7F1A" w:rsidP="00CC7F1A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496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CAFC03D" w14:textId="54D83D6A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467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D6EB469" w14:textId="0162750E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040101" w:rsidRPr="003D1887" w14:paraId="24EFD2AE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19ED7B9" w14:textId="298F49B7" w:rsidR="00040101" w:rsidRPr="006F6370" w:rsidRDefault="00C22F6F" w:rsidP="00CE014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Healthcare professionals</w:t>
            </w:r>
            <w:r w:rsidR="00040101" w:rsidRPr="006F6370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C69D57" w14:textId="7FE012B8" w:rsidR="00040101" w:rsidRPr="006F6370" w:rsidRDefault="00C22F6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Preparation of two meetings per year: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F8ED0DE" w14:textId="3CAC1570" w:rsidR="00040101" w:rsidRPr="006F6370" w:rsidRDefault="00D9152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Estimated time for each session (outside working hours) 6h (3h preparation + 3h meeting)</w:t>
            </w:r>
          </w:p>
        </w:tc>
      </w:tr>
      <w:tr w:rsidR="00040101" w:rsidRPr="003D1887" w14:paraId="05650575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</w:tcPr>
          <w:p w14:paraId="1F7224C5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vMerge/>
            <w:shd w:val="clear" w:color="auto" w:fill="auto"/>
            <w:noWrap/>
          </w:tcPr>
          <w:p w14:paraId="78F95EF2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11BC71C3" w14:textId="1F1C24D2" w:rsidR="00040101" w:rsidRPr="006F6370" w:rsidRDefault="00D9152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Average hourly wage of 2 bone metabolism specialists and 1 PA</w:t>
            </w:r>
          </w:p>
        </w:tc>
      </w:tr>
      <w:tr w:rsidR="00040101" w:rsidRPr="003D1887" w14:paraId="0C722397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4293140E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shd w:val="clear" w:color="auto" w:fill="auto"/>
            <w:noWrap/>
            <w:hideMark/>
          </w:tcPr>
          <w:p w14:paraId="1F754384" w14:textId="72B32A23" w:rsidR="00040101" w:rsidRPr="006F6370" w:rsidRDefault="007550F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annual online session by specialists for all health centres in the area.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0ABDE0A" w14:textId="26B47001" w:rsidR="00040101" w:rsidRPr="006F6370" w:rsidRDefault="007550F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Assumes 1 session per hospital (delivered at the same time to all health centres in the area) (N=316)</w:t>
            </w:r>
          </w:p>
        </w:tc>
      </w:tr>
      <w:tr w:rsidR="00040101" w:rsidRPr="003D1887" w14:paraId="1353DF00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4EEB244C" w14:textId="77777777" w:rsidR="00040101" w:rsidRPr="006F6370" w:rsidRDefault="00040101" w:rsidP="00CE014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shd w:val="clear" w:color="auto" w:fill="auto"/>
            <w:noWrap/>
            <w:hideMark/>
          </w:tcPr>
          <w:p w14:paraId="2DDC586B" w14:textId="7DF1E782" w:rsidR="00040101" w:rsidRPr="006F6370" w:rsidRDefault="007550F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additional annual face-to-face session per health centre, including a primary care trainer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938CE6B" w14:textId="09C2508D" w:rsidR="00040101" w:rsidRPr="006F6370" w:rsidRDefault="007550F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Estimated time for each session (outside working hours) 6h (3h preparation + 3h meeting).</w:t>
            </w:r>
          </w:p>
        </w:tc>
      </w:tr>
      <w:tr w:rsidR="00040101" w:rsidRPr="003D1887" w14:paraId="1098D96E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139ECDDB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hideMark/>
          </w:tcPr>
          <w:p w14:paraId="5700F28C" w14:textId="48604241" w:rsidR="00040101" w:rsidRPr="006F6370" w:rsidRDefault="00BD376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These will be sessions in which clinical cases will be discussed </w:t>
            </w:r>
            <w:r w:rsidR="00AB1A64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 debate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the best approach and follow-up of </w:t>
            </w:r>
            <w:r w:rsidR="00B860E7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postmenopausal 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patients with OP after fragility fracture.</w:t>
            </w:r>
            <w:r w:rsidR="00040101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A65DB3F" w14:textId="2FDA93C7" w:rsidR="00040101" w:rsidRPr="006F6370" w:rsidRDefault="00B860E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Average hourly wage of 2 bone metabolism specialists, 1PC</w:t>
            </w:r>
          </w:p>
        </w:tc>
      </w:tr>
      <w:tr w:rsidR="00040101" w:rsidRPr="003D1887" w14:paraId="16748814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52DA06C2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vMerge/>
            <w:shd w:val="clear" w:color="auto" w:fill="auto"/>
            <w:hideMark/>
          </w:tcPr>
          <w:p w14:paraId="11422A5A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14:paraId="325F8B6C" w14:textId="60A9C862" w:rsidR="00040101" w:rsidRPr="006F6370" w:rsidRDefault="006D1664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 session per health centre (N = 2,063)</w:t>
            </w:r>
          </w:p>
        </w:tc>
      </w:tr>
      <w:tr w:rsidR="00040101" w:rsidRPr="003D1887" w14:paraId="1DACBEE2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noWrap/>
            <w:hideMark/>
          </w:tcPr>
          <w:p w14:paraId="77E10DF3" w14:textId="77777777" w:rsidR="00040101" w:rsidRPr="006F6370" w:rsidRDefault="00040101" w:rsidP="00CE014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shd w:val="clear" w:color="auto" w:fill="auto"/>
            <w:noWrap/>
            <w:hideMark/>
          </w:tcPr>
          <w:p w14:paraId="0FE123C8" w14:textId="2432608D" w:rsidR="00040101" w:rsidRPr="006F6370" w:rsidRDefault="006D1664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Attendance at meetings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B2676EA" w14:textId="6C7935DC" w:rsidR="00040101" w:rsidRPr="006F6370" w:rsidRDefault="00EE6264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 hours per meeting within working hours.</w:t>
            </w:r>
          </w:p>
        </w:tc>
      </w:tr>
      <w:tr w:rsidR="00040101" w:rsidRPr="006F6370" w14:paraId="67AC04DE" w14:textId="77777777" w:rsidTr="00A74B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0723AFB5" w14:textId="275D402B" w:rsidR="00040101" w:rsidRPr="006F6370" w:rsidRDefault="00EE6264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4678" w:type="dxa"/>
            <w:tcBorders>
              <w:top w:val="none" w:sz="0" w:space="0" w:color="auto"/>
            </w:tcBorders>
            <w:shd w:val="clear" w:color="auto" w:fill="auto"/>
            <w:hideMark/>
          </w:tcPr>
          <w:p w14:paraId="7F1870CA" w14:textId="0B738FA5" w:rsidR="00040101" w:rsidRPr="006F6370" w:rsidRDefault="00040101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976</w:t>
            </w:r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099</w:t>
            </w:r>
          </w:p>
        </w:tc>
      </w:tr>
    </w:tbl>
    <w:p w14:paraId="361E8AC9" w14:textId="26D91119" w:rsidR="00040101" w:rsidRPr="006F6370" w:rsidRDefault="00EE6264" w:rsidP="00040101">
      <w:pPr>
        <w:pStyle w:val="Caption"/>
        <w:rPr>
          <w:color w:val="000000" w:themeColor="text1"/>
          <w:lang w:val="en-GB"/>
        </w:rPr>
      </w:pPr>
      <w:bookmarkStart w:id="7" w:name="_Toc78266814"/>
      <w:r w:rsidRPr="006F6370">
        <w:rPr>
          <w:lang w:val="en-GB"/>
        </w:rPr>
        <w:t>ST3-7</w:t>
      </w:r>
      <w:r w:rsidR="00040101" w:rsidRPr="006F6370">
        <w:rPr>
          <w:lang w:val="en-GB"/>
        </w:rPr>
        <w:t xml:space="preserve">. </w:t>
      </w:r>
      <w:bookmarkEnd w:id="7"/>
      <w:r w:rsidR="00C33EA8" w:rsidRPr="006F6370">
        <w:rPr>
          <w:lang w:val="en-GB"/>
        </w:rPr>
        <w:t>Estimated investment for Sub-Action 2.4 (Action 2)</w:t>
      </w:r>
    </w:p>
    <w:tbl>
      <w:tblPr>
        <w:tblStyle w:val="GridTable4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E0" w:firstRow="1" w:lastRow="1" w:firstColumn="1" w:lastColumn="0" w:noHBand="1" w:noVBand="1"/>
      </w:tblPr>
      <w:tblGrid>
        <w:gridCol w:w="3907"/>
        <w:gridCol w:w="5069"/>
        <w:gridCol w:w="4745"/>
      </w:tblGrid>
      <w:tr w:rsidR="00CC7F1A" w:rsidRPr="006F6370" w14:paraId="0867292F" w14:textId="77777777" w:rsidTr="00A7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4CBF17A3" w14:textId="38B34A22" w:rsidR="00CC7F1A" w:rsidRPr="006F6370" w:rsidRDefault="00CC7F1A" w:rsidP="00CC7F1A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184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59FAA127" w14:textId="34451DF4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172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7F05464E" w14:textId="060B40E5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C33EA8" w:rsidRPr="003D1887" w14:paraId="6BFF8099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65F0592" w14:textId="77E776D3" w:rsidR="00C33EA8" w:rsidRPr="006F6370" w:rsidRDefault="00C33EA8" w:rsidP="00C33EA8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Healthcare professionals</w:t>
            </w:r>
            <w:r w:rsidRPr="006F6370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84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791C5FF" w14:textId="77777777" w:rsidR="00C33EA8" w:rsidRPr="006F6370" w:rsidRDefault="00C33EA8" w:rsidP="00C3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Preparation of an annual session between specialised care (coordinated fracture unit, if it exists) and emergency and radiology staff. </w:t>
            </w:r>
          </w:p>
          <w:p w14:paraId="6E659A6E" w14:textId="77777777" w:rsidR="00C33EA8" w:rsidRPr="006F6370" w:rsidRDefault="00C33EA8" w:rsidP="00C3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  <w:p w14:paraId="2A55BC4E" w14:textId="4AE26326" w:rsidR="00C33EA8" w:rsidRPr="006F6370" w:rsidRDefault="00C33EA8" w:rsidP="00C3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These will be sessions in which clinical cases will be discussed.</w:t>
            </w:r>
          </w:p>
          <w:p w14:paraId="3625C3BE" w14:textId="77777777" w:rsidR="00C33EA8" w:rsidRPr="006F6370" w:rsidRDefault="00C33EA8" w:rsidP="00C3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> </w:t>
            </w:r>
          </w:p>
          <w:p w14:paraId="61D32DD5" w14:textId="77777777" w:rsidR="00C33EA8" w:rsidRPr="006F6370" w:rsidRDefault="00C33EA8" w:rsidP="00C3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729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D922E19" w14:textId="1CAD618F" w:rsidR="00C33EA8" w:rsidRPr="006F6370" w:rsidRDefault="001E31A0" w:rsidP="00C3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Estimated time for each 6-hour session (outside working hours): 3h preparation + 3h meeting time</w:t>
            </w:r>
          </w:p>
        </w:tc>
      </w:tr>
      <w:tr w:rsidR="00040101" w:rsidRPr="003D1887" w14:paraId="75561502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787A9B79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12AB60C1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hideMark/>
          </w:tcPr>
          <w:p w14:paraId="53AB7FE3" w14:textId="5B37063A" w:rsidR="00040101" w:rsidRPr="006F6370" w:rsidRDefault="001E31A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hospitals caring for patients with fragility fracture (assumes hospitals with trauma service, N = 316)</w:t>
            </w:r>
          </w:p>
        </w:tc>
      </w:tr>
      <w:tr w:rsidR="00040101" w:rsidRPr="003D1887" w14:paraId="64558451" w14:textId="77777777" w:rsidTr="00A74BA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0270DD00" w14:textId="77777777" w:rsidR="00040101" w:rsidRPr="006F6370" w:rsidRDefault="00040101" w:rsidP="00CE01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3EDAF270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hideMark/>
          </w:tcPr>
          <w:p w14:paraId="70937752" w14:textId="00421852" w:rsidR="00040101" w:rsidRPr="006F6370" w:rsidRDefault="001E31A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Average hourly wage of 2 specialists in bone metabolism, 1 in emergency medicine, 1 in radiology</w:t>
            </w:r>
          </w:p>
        </w:tc>
      </w:tr>
      <w:tr w:rsidR="00040101" w:rsidRPr="003D1887" w14:paraId="729752D7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44BA7252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shd w:val="clear" w:color="auto" w:fill="auto"/>
            <w:hideMark/>
          </w:tcPr>
          <w:p w14:paraId="3FC08456" w14:textId="4FED19B9" w:rsidR="00040101" w:rsidRPr="006F6370" w:rsidRDefault="001E31A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Attendance at meetings</w:t>
            </w:r>
          </w:p>
        </w:tc>
        <w:tc>
          <w:tcPr>
            <w:tcW w:w="1729" w:type="pct"/>
            <w:shd w:val="clear" w:color="auto" w:fill="auto"/>
            <w:hideMark/>
          </w:tcPr>
          <w:p w14:paraId="57A1BB32" w14:textId="46F343E4" w:rsidR="00040101" w:rsidRPr="006F6370" w:rsidRDefault="00FB423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 hours per meeting within working hours.</w:t>
            </w:r>
          </w:p>
        </w:tc>
      </w:tr>
      <w:tr w:rsidR="00040101" w:rsidRPr="006F6370" w14:paraId="5D86E6A8" w14:textId="77777777" w:rsidTr="00A74B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3251EE9A" w14:textId="1DC20BD2" w:rsidR="00040101" w:rsidRPr="006F6370" w:rsidRDefault="00B72C0E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1729" w:type="pct"/>
            <w:tcBorders>
              <w:top w:val="none" w:sz="0" w:space="0" w:color="auto"/>
            </w:tcBorders>
            <w:shd w:val="clear" w:color="auto" w:fill="auto"/>
            <w:hideMark/>
          </w:tcPr>
          <w:p w14:paraId="0C3B6463" w14:textId="47C7087E" w:rsidR="00040101" w:rsidRPr="006F6370" w:rsidRDefault="00040101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  <w:bookmarkStart w:id="8" w:name="RANGE!F12"/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175</w:t>
            </w:r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642</w:t>
            </w:r>
            <w:bookmarkEnd w:id="8"/>
          </w:p>
        </w:tc>
      </w:tr>
    </w:tbl>
    <w:p w14:paraId="3E58B826" w14:textId="77777777" w:rsidR="00040101" w:rsidRPr="006F6370" w:rsidRDefault="00040101" w:rsidP="00040101">
      <w:pPr>
        <w:rPr>
          <w:rFonts w:ascii="Arial" w:hAnsi="Arial" w:cs="Arial"/>
          <w:color w:val="000000" w:themeColor="text1"/>
          <w:lang w:val="en-GB"/>
        </w:rPr>
      </w:pPr>
    </w:p>
    <w:p w14:paraId="6C9D5FBF" w14:textId="77777777" w:rsidR="00040101" w:rsidRPr="006F6370" w:rsidRDefault="00040101" w:rsidP="00040101">
      <w:pPr>
        <w:rPr>
          <w:rFonts w:ascii="Arial" w:hAnsi="Arial" w:cs="Arial"/>
          <w:color w:val="000000" w:themeColor="text1"/>
          <w:lang w:val="en-GB"/>
        </w:rPr>
      </w:pPr>
      <w:r w:rsidRPr="006F6370">
        <w:rPr>
          <w:rFonts w:ascii="Arial" w:hAnsi="Arial" w:cs="Arial"/>
          <w:color w:val="000000" w:themeColor="text1"/>
          <w:lang w:val="en-GB"/>
        </w:rPr>
        <w:br w:type="page"/>
      </w:r>
    </w:p>
    <w:p w14:paraId="7AC61842" w14:textId="4B3C61DD" w:rsidR="00040101" w:rsidRPr="006F6370" w:rsidRDefault="00FB4231" w:rsidP="00040101">
      <w:pPr>
        <w:pStyle w:val="Caption"/>
        <w:rPr>
          <w:color w:val="000000" w:themeColor="text1"/>
          <w:lang w:val="en-GB"/>
        </w:rPr>
      </w:pPr>
      <w:bookmarkStart w:id="9" w:name="_Toc78266815"/>
      <w:r w:rsidRPr="006F6370">
        <w:rPr>
          <w:lang w:val="en-GB"/>
        </w:rPr>
        <w:lastRenderedPageBreak/>
        <w:t xml:space="preserve">ST3-8. </w:t>
      </w:r>
      <w:bookmarkEnd w:id="9"/>
      <w:r w:rsidR="006800DD" w:rsidRPr="006F6370">
        <w:rPr>
          <w:lang w:val="en-GB"/>
        </w:rPr>
        <w:t>Estimated investment of Sub-Action 2.5 (Action 2)</w:t>
      </w:r>
    </w:p>
    <w:tbl>
      <w:tblPr>
        <w:tblStyle w:val="GridTable4"/>
        <w:tblW w:w="1346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E0" w:firstRow="1" w:lastRow="1" w:firstColumn="1" w:lastColumn="0" w:noHBand="1" w:noVBand="1"/>
      </w:tblPr>
      <w:tblGrid>
        <w:gridCol w:w="3823"/>
        <w:gridCol w:w="4961"/>
        <w:gridCol w:w="4678"/>
      </w:tblGrid>
      <w:tr w:rsidR="00CC7F1A" w:rsidRPr="006F6370" w14:paraId="677E3428" w14:textId="77777777" w:rsidTr="00A7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C9D8B19" w14:textId="54BCD776" w:rsidR="00CC7F1A" w:rsidRPr="006F6370" w:rsidRDefault="00CC7F1A" w:rsidP="00CC7F1A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496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2EDFFF1" w14:textId="5C5A86CD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467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F80B3CA" w14:textId="43F60A99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040101" w:rsidRPr="006F6370" w14:paraId="6C31CCCF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2484A2" w14:textId="0AFAFC65" w:rsidR="006800DD" w:rsidRPr="006F6370" w:rsidRDefault="00146D14" w:rsidP="006800DD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</w:p>
          <w:p w14:paraId="6FA3D252" w14:textId="66275CEB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C8944A" w14:textId="3E2C86D4" w:rsidR="00040101" w:rsidRPr="006F6370" w:rsidRDefault="00CF611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Conduction of</w:t>
            </w:r>
            <w:r w:rsidR="007B7C51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an annual online training day (6 hours)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EDC880" w14:textId="70F5AE8D" w:rsidR="00040101" w:rsidRPr="006F6370" w:rsidRDefault="007B7C5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Human resources for teaching:</w:t>
            </w:r>
          </w:p>
        </w:tc>
      </w:tr>
      <w:tr w:rsidR="00040101" w:rsidRPr="003D1887" w14:paraId="198AB131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4D8B1A35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vMerge/>
            <w:shd w:val="clear" w:color="auto" w:fill="auto"/>
            <w:hideMark/>
          </w:tcPr>
          <w:p w14:paraId="6C794A94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14:paraId="042EFC1E" w14:textId="3FEE6927" w:rsidR="00040101" w:rsidRPr="006F6370" w:rsidRDefault="007B7C5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Assumes 3 speakers (1 PA specialist, 1 nurse, 1 specialist involved in the management of OP part of a FLS).</w:t>
            </w:r>
          </w:p>
        </w:tc>
      </w:tr>
      <w:tr w:rsidR="00040101" w:rsidRPr="003D1887" w14:paraId="3AA12A13" w14:textId="77777777" w:rsidTr="00A74BA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78BC514E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vMerge/>
            <w:shd w:val="clear" w:color="auto" w:fill="auto"/>
            <w:hideMark/>
          </w:tcPr>
          <w:p w14:paraId="6B88197D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14:paraId="5F46CFDD" w14:textId="26216E12" w:rsidR="00040101" w:rsidRPr="006F6370" w:rsidRDefault="00F64DD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6 hours of material development and 6 hours per edition.</w:t>
            </w:r>
          </w:p>
        </w:tc>
      </w:tr>
      <w:tr w:rsidR="00040101" w:rsidRPr="006F6370" w14:paraId="52D83240" w14:textId="77777777" w:rsidTr="00A74BAF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7A64B8F0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vMerge/>
            <w:shd w:val="clear" w:color="auto" w:fill="auto"/>
            <w:hideMark/>
          </w:tcPr>
          <w:p w14:paraId="0517BC36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14:paraId="7A9C222E" w14:textId="2F5784CF" w:rsidR="00040101" w:rsidRPr="006F6370" w:rsidRDefault="00F64DD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50 editions are assumed</w:t>
            </w:r>
          </w:p>
        </w:tc>
      </w:tr>
      <w:tr w:rsidR="00040101" w:rsidRPr="006F6370" w14:paraId="2CDA44C9" w14:textId="77777777" w:rsidTr="00A74BAF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shd w:val="clear" w:color="auto" w:fill="auto"/>
            <w:hideMark/>
          </w:tcPr>
          <w:p w14:paraId="4B0C9EAF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4961" w:type="dxa"/>
            <w:shd w:val="clear" w:color="auto" w:fill="auto"/>
            <w:noWrap/>
            <w:hideMark/>
          </w:tcPr>
          <w:p w14:paraId="3E308CD2" w14:textId="5F50B58E" w:rsidR="00040101" w:rsidRPr="006F6370" w:rsidRDefault="00F64DD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Management of scientific endorsements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79727AF" w14:textId="66190200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 </w:t>
            </w:r>
            <w:r w:rsidR="00F64DD6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scientific endorsements</w:t>
            </w:r>
          </w:p>
        </w:tc>
      </w:tr>
      <w:tr w:rsidR="00040101" w:rsidRPr="003D1887" w14:paraId="33456BAD" w14:textId="77777777" w:rsidTr="00A74B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  <w:noWrap/>
            <w:hideMark/>
          </w:tcPr>
          <w:p w14:paraId="4C8D8F30" w14:textId="3FBB0413" w:rsidR="00040101" w:rsidRPr="006F6370" w:rsidRDefault="007B7C5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Dentists and maxillofacial surgeons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14:paraId="6DBAF8CE" w14:textId="4EEA1E39" w:rsidR="00040101" w:rsidRPr="006F6370" w:rsidRDefault="00A00383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assistance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8E7E4E8" w14:textId="5AE45281" w:rsidR="00040101" w:rsidRPr="006F6370" w:rsidRDefault="00A00383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time within the working day</w:t>
            </w:r>
          </w:p>
        </w:tc>
      </w:tr>
      <w:tr w:rsidR="00040101" w:rsidRPr="006F6370" w14:paraId="7F9ABCC4" w14:textId="77777777" w:rsidTr="00A74B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0940AC0F" w14:textId="03C80115" w:rsidR="00040101" w:rsidRPr="006F6370" w:rsidRDefault="00A00383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4678" w:type="dxa"/>
            <w:tcBorders>
              <w:top w:val="none" w:sz="0" w:space="0" w:color="auto"/>
            </w:tcBorders>
            <w:shd w:val="clear" w:color="auto" w:fill="auto"/>
            <w:hideMark/>
          </w:tcPr>
          <w:p w14:paraId="1115779F" w14:textId="71044ED2" w:rsidR="00040101" w:rsidRPr="006F6370" w:rsidRDefault="00040101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88</w:t>
            </w:r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620</w:t>
            </w:r>
          </w:p>
        </w:tc>
      </w:tr>
    </w:tbl>
    <w:p w14:paraId="3A5F4D66" w14:textId="5045A62E" w:rsidR="00040101" w:rsidRPr="006F6370" w:rsidRDefault="00A00383" w:rsidP="00040101">
      <w:pPr>
        <w:pStyle w:val="Caption"/>
        <w:rPr>
          <w:color w:val="000000" w:themeColor="text1"/>
          <w:lang w:val="en-GB"/>
        </w:rPr>
      </w:pPr>
      <w:bookmarkStart w:id="10" w:name="_Toc78266816"/>
      <w:r w:rsidRPr="006F6370">
        <w:rPr>
          <w:lang w:val="en-GB"/>
        </w:rPr>
        <w:t>ST3-9</w:t>
      </w:r>
      <w:r w:rsidR="00040101" w:rsidRPr="006F6370">
        <w:rPr>
          <w:lang w:val="en-GB"/>
        </w:rPr>
        <w:t xml:space="preserve">. </w:t>
      </w:r>
      <w:bookmarkEnd w:id="10"/>
      <w:r w:rsidR="00237E61" w:rsidRPr="006F6370">
        <w:rPr>
          <w:lang w:val="en-GB"/>
        </w:rPr>
        <w:t>Estimated investment for Sub-Action 2.6 (Action 2)</w:t>
      </w:r>
    </w:p>
    <w:tbl>
      <w:tblPr>
        <w:tblStyle w:val="GridTable4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E0" w:firstRow="1" w:lastRow="1" w:firstColumn="1" w:lastColumn="0" w:noHBand="1" w:noVBand="1"/>
      </w:tblPr>
      <w:tblGrid>
        <w:gridCol w:w="3907"/>
        <w:gridCol w:w="5069"/>
        <w:gridCol w:w="4745"/>
      </w:tblGrid>
      <w:tr w:rsidR="00CC7F1A" w:rsidRPr="006F6370" w14:paraId="041897DA" w14:textId="77777777" w:rsidTr="00A7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5291945" w14:textId="0B49B443" w:rsidR="00CC7F1A" w:rsidRPr="006F6370" w:rsidRDefault="00CC7F1A" w:rsidP="00CC7F1A">
            <w:pPr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184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4BB5664" w14:textId="63031A55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172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1EE0A93" w14:textId="2F72D455" w:rsidR="00CC7F1A" w:rsidRPr="006F6370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040101" w:rsidRPr="006F6370" w14:paraId="4AACC0CA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1C85FB" w14:textId="3D575BBB" w:rsidR="00237E61" w:rsidRPr="006F6370" w:rsidRDefault="00146D14" w:rsidP="00237E6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</w:p>
          <w:p w14:paraId="3E862FA2" w14:textId="1E7B4541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DE1E7D" w14:textId="11556362" w:rsidR="00040101" w:rsidRPr="006F6370" w:rsidRDefault="0065211A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Conduction of</w:t>
            </w:r>
            <w:r w:rsidR="00535E18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a CFC-accredited online training course for community pharmacists (20 hours).</w:t>
            </w:r>
          </w:p>
        </w:tc>
        <w:tc>
          <w:tcPr>
            <w:tcW w:w="172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446393" w14:textId="28A7FDF0" w:rsidR="00040101" w:rsidRPr="006F6370" w:rsidRDefault="00535E1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Human resources for teaching:</w:t>
            </w:r>
          </w:p>
        </w:tc>
      </w:tr>
      <w:tr w:rsidR="00040101" w:rsidRPr="003D1887" w14:paraId="7E8A78D1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606CDCAC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4B5AA3C7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6F49D558" w14:textId="3D44FE15" w:rsidR="00040101" w:rsidRPr="006F6370" w:rsidRDefault="0075117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Adaptation of materials developed for </w:t>
            </w:r>
            <w:r w:rsidR="00E93751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sub-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action </w:t>
            </w:r>
            <w:r w:rsidR="003B1C95"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2.5</w:t>
            </w:r>
          </w:p>
        </w:tc>
      </w:tr>
      <w:tr w:rsidR="00040101" w:rsidRPr="006F6370" w14:paraId="160B26FF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2149E0D7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2A4355C6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743E5336" w14:textId="71E457E4" w:rsidR="00040101" w:rsidRPr="006F6370" w:rsidRDefault="00E9375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4 hours of each professional</w:t>
            </w:r>
          </w:p>
        </w:tc>
      </w:tr>
      <w:tr w:rsidR="00040101" w:rsidRPr="003D1887" w14:paraId="6089DF14" w14:textId="77777777" w:rsidTr="00A74BA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44E3B929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6F434065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vMerge w:val="restart"/>
            <w:shd w:val="clear" w:color="auto" w:fill="auto"/>
            <w:hideMark/>
          </w:tcPr>
          <w:p w14:paraId="020A4F1E" w14:textId="466087F2" w:rsidR="00040101" w:rsidRPr="006F6370" w:rsidRDefault="003B1C9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10 specialist teachers in bone metabolism and others (e.g. 2 specialists in PC, 2 in rheumatology, 1 in traumatology, 1 in orthogeriatrics, 1 in nursing, 1 in endocrinology, 1 in rehabilitation, 1 in pharmacy).</w:t>
            </w:r>
          </w:p>
        </w:tc>
      </w:tr>
      <w:tr w:rsidR="00040101" w:rsidRPr="003D1887" w14:paraId="59DC8382" w14:textId="77777777" w:rsidTr="00A74BA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243FF06A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43F6DD70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vMerge/>
            <w:shd w:val="clear" w:color="auto" w:fill="auto"/>
            <w:hideMark/>
          </w:tcPr>
          <w:p w14:paraId="7099DDBD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</w:tr>
      <w:tr w:rsidR="00040101" w:rsidRPr="006F6370" w14:paraId="35FB7013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1E401EAE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1CE5C4AB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35B6843A" w14:textId="41FF47A3" w:rsidR="00040101" w:rsidRPr="006F6370" w:rsidRDefault="003B1C9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50 editions are assumed</w:t>
            </w:r>
          </w:p>
        </w:tc>
      </w:tr>
      <w:tr w:rsidR="00040101" w:rsidRPr="003D1887" w14:paraId="6BF016DB" w14:textId="77777777" w:rsidTr="00A74BA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0A075BED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575E5076" w14:textId="77777777" w:rsidR="00040101" w:rsidRPr="006F6370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5841B601" w14:textId="2633DDED" w:rsidR="00040101" w:rsidRPr="006F6370" w:rsidRDefault="004137A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Accreditation of the course in all regions</w:t>
            </w:r>
          </w:p>
        </w:tc>
      </w:tr>
      <w:tr w:rsidR="00040101" w:rsidRPr="006F6370" w14:paraId="127450DD" w14:textId="77777777" w:rsidTr="00A74BA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74A9CF3C" w14:textId="77777777" w:rsidR="00040101" w:rsidRPr="006F6370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shd w:val="clear" w:color="auto" w:fill="auto"/>
            <w:noWrap/>
            <w:hideMark/>
          </w:tcPr>
          <w:p w14:paraId="31801E6B" w14:textId="3EA4D189" w:rsidR="00040101" w:rsidRPr="006F6370" w:rsidRDefault="004137A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Management of scientific endorsements</w:t>
            </w:r>
          </w:p>
        </w:tc>
        <w:tc>
          <w:tcPr>
            <w:tcW w:w="1729" w:type="pct"/>
            <w:shd w:val="clear" w:color="auto" w:fill="auto"/>
            <w:noWrap/>
            <w:hideMark/>
          </w:tcPr>
          <w:p w14:paraId="1B1BBED2" w14:textId="5A46456D" w:rsidR="00040101" w:rsidRPr="006F6370" w:rsidRDefault="004137A0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 endorsements</w:t>
            </w:r>
          </w:p>
        </w:tc>
      </w:tr>
      <w:tr w:rsidR="00040101" w:rsidRPr="003D1887" w14:paraId="2A73EDD9" w14:textId="77777777" w:rsidTr="00A74BA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shd w:val="clear" w:color="auto" w:fill="auto"/>
            <w:noWrap/>
            <w:hideMark/>
          </w:tcPr>
          <w:p w14:paraId="134EE835" w14:textId="74899E43" w:rsidR="00040101" w:rsidRPr="006F6370" w:rsidRDefault="00A128A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Pharmacists</w:t>
            </w:r>
          </w:p>
        </w:tc>
        <w:tc>
          <w:tcPr>
            <w:tcW w:w="1847" w:type="pct"/>
            <w:shd w:val="clear" w:color="auto" w:fill="auto"/>
            <w:noWrap/>
            <w:hideMark/>
          </w:tcPr>
          <w:p w14:paraId="552EFC64" w14:textId="25DCCD83" w:rsidR="00040101" w:rsidRPr="006F6370" w:rsidRDefault="00A128A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assistance</w:t>
            </w:r>
          </w:p>
        </w:tc>
        <w:tc>
          <w:tcPr>
            <w:tcW w:w="1729" w:type="pct"/>
            <w:shd w:val="clear" w:color="auto" w:fill="auto"/>
            <w:noWrap/>
            <w:hideMark/>
          </w:tcPr>
          <w:p w14:paraId="06955895" w14:textId="65FD1A82" w:rsidR="00040101" w:rsidRPr="006F6370" w:rsidRDefault="00A128A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time outside working hours</w:t>
            </w:r>
          </w:p>
        </w:tc>
      </w:tr>
      <w:tr w:rsidR="00040101" w:rsidRPr="006F6370" w14:paraId="2D3D1193" w14:textId="77777777" w:rsidTr="00A74B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3C786DA2" w14:textId="0E54B0B9" w:rsidR="00040101" w:rsidRPr="006F6370" w:rsidRDefault="00A128A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1729" w:type="pct"/>
            <w:tcBorders>
              <w:top w:val="none" w:sz="0" w:space="0" w:color="auto"/>
            </w:tcBorders>
            <w:shd w:val="clear" w:color="auto" w:fill="auto"/>
            <w:hideMark/>
          </w:tcPr>
          <w:p w14:paraId="7312A47C" w14:textId="37BACF81" w:rsidR="00040101" w:rsidRPr="006F6370" w:rsidRDefault="00040101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187</w:t>
            </w:r>
            <w:r w:rsidR="00094338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Pr="006F6370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261</w:t>
            </w:r>
          </w:p>
        </w:tc>
      </w:tr>
    </w:tbl>
    <w:p w14:paraId="479E338C" w14:textId="7F2F6291" w:rsidR="00040101" w:rsidRPr="006F6370" w:rsidRDefault="00A128A1" w:rsidP="00040101">
      <w:pPr>
        <w:pStyle w:val="Caption"/>
        <w:rPr>
          <w:lang w:val="en-GB"/>
        </w:rPr>
      </w:pPr>
      <w:bookmarkStart w:id="11" w:name="_Toc78266817"/>
      <w:r w:rsidRPr="006F6370">
        <w:rPr>
          <w:lang w:val="en-GB"/>
        </w:rPr>
        <w:lastRenderedPageBreak/>
        <w:t>ST3-10</w:t>
      </w:r>
      <w:r w:rsidR="00040101" w:rsidRPr="006F6370">
        <w:rPr>
          <w:lang w:val="en-GB"/>
        </w:rPr>
        <w:t xml:space="preserve">. </w:t>
      </w:r>
      <w:bookmarkEnd w:id="11"/>
      <w:r w:rsidR="006C711B" w:rsidRPr="006F6370">
        <w:rPr>
          <w:lang w:val="en-GB"/>
        </w:rPr>
        <w:t>Estimated investment of action 3</w:t>
      </w:r>
    </w:p>
    <w:tbl>
      <w:tblPr>
        <w:tblStyle w:val="GridTable4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E0" w:firstRow="1" w:lastRow="1" w:firstColumn="1" w:lastColumn="0" w:noHBand="1" w:noVBand="1"/>
      </w:tblPr>
      <w:tblGrid>
        <w:gridCol w:w="3907"/>
        <w:gridCol w:w="5069"/>
        <w:gridCol w:w="4745"/>
      </w:tblGrid>
      <w:tr w:rsidR="00A74BAF" w:rsidRPr="00A74BAF" w14:paraId="4BF3BA7C" w14:textId="77777777" w:rsidTr="00A7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B2C6631" w14:textId="6B2624D7" w:rsidR="00CC7F1A" w:rsidRPr="00A74BAF" w:rsidRDefault="00CC7F1A" w:rsidP="00CC7F1A">
            <w:pPr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184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1592199" w14:textId="5262B23A" w:rsidR="00CC7F1A" w:rsidRPr="00A74BAF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172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36A9C1D" w14:textId="0088F342" w:rsidR="00CC7F1A" w:rsidRPr="00A74BAF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A74BAF" w:rsidRPr="00A74BAF" w14:paraId="535B03A4" w14:textId="77777777" w:rsidTr="00A74BAF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DF97625" w14:textId="60A78638" w:rsidR="006C711B" w:rsidRPr="00A74BAF" w:rsidRDefault="00146D14" w:rsidP="006C711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</w:p>
          <w:p w14:paraId="775AE49E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84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5018259" w14:textId="3D643740" w:rsidR="00040101" w:rsidRPr="00A74BAF" w:rsidRDefault="000A3AD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Open information day for healthcare professionals. It will consist of 2 sessions (1 per registration) in which the results obtained will be discussed and awareness will be raised about the advantages of its use.</w:t>
            </w:r>
          </w:p>
        </w:tc>
        <w:tc>
          <w:tcPr>
            <w:tcW w:w="172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F28166" w14:textId="5301B009" w:rsidR="00040101" w:rsidRPr="00A74BAF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2 </w:t>
            </w:r>
            <w:r w:rsidR="000A3ADF"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sessions</w:t>
            </w:r>
          </w:p>
        </w:tc>
      </w:tr>
      <w:tr w:rsidR="00A74BAF" w:rsidRPr="00A74BAF" w14:paraId="7D1E6C1A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65A77F65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 w:val="restart"/>
            <w:shd w:val="clear" w:color="auto" w:fill="auto"/>
            <w:hideMark/>
          </w:tcPr>
          <w:p w14:paraId="65CF3735" w14:textId="15DBDF8D" w:rsidR="00040101" w:rsidRPr="00A74BAF" w:rsidRDefault="000A3AD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Online training course on the operation and use of the register for centres interested in the register.</w:t>
            </w:r>
          </w:p>
        </w:tc>
        <w:tc>
          <w:tcPr>
            <w:tcW w:w="1729" w:type="pct"/>
            <w:shd w:val="clear" w:color="auto" w:fill="auto"/>
            <w:noWrap/>
            <w:hideMark/>
          </w:tcPr>
          <w:p w14:paraId="5985CD36" w14:textId="5143E75C" w:rsidR="00040101" w:rsidRPr="00A74BAF" w:rsidRDefault="000A3AD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price</w:t>
            </w:r>
            <w:r w:rsidR="00040101"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</w:p>
        </w:tc>
      </w:tr>
      <w:tr w:rsidR="00A74BAF" w:rsidRPr="003D1887" w14:paraId="15F0CD57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13261955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37A69D55" w14:textId="77777777" w:rsidR="00040101" w:rsidRPr="00A74BAF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0DEE9C59" w14:textId="3491F977" w:rsidR="00040101" w:rsidRPr="00A74BAF" w:rsidRDefault="000A3ADF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new centres joining the national registers (assuming the % that results in 50% of hospitals joining [n=316] without subtracting those already existing)</w:t>
            </w:r>
          </w:p>
        </w:tc>
      </w:tr>
      <w:tr w:rsidR="00A74BAF" w:rsidRPr="003D1887" w14:paraId="0DA72F90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</w:tcPr>
          <w:p w14:paraId="52022F43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</w:tcPr>
          <w:p w14:paraId="38DC0112" w14:textId="77777777" w:rsidR="00040101" w:rsidRPr="00A74BAF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</w:tcPr>
          <w:p w14:paraId="6B21E04F" w14:textId="18DC9060" w:rsidR="00040101" w:rsidRPr="00A74BAF" w:rsidRDefault="007A55D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centres affiliated to the RFC (N=72)</w:t>
            </w:r>
          </w:p>
        </w:tc>
      </w:tr>
      <w:tr w:rsidR="00A74BAF" w:rsidRPr="003D1887" w14:paraId="7F08F053" w14:textId="77777777" w:rsidTr="00A74BAF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</w:tcPr>
          <w:p w14:paraId="61D85A56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</w:tcPr>
          <w:p w14:paraId="440E89D5" w14:textId="77777777" w:rsidR="00040101" w:rsidRPr="00A74BAF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</w:tcPr>
          <w:p w14:paraId="7CCA7C21" w14:textId="36E58534" w:rsidR="00040101" w:rsidRPr="00A74BAF" w:rsidRDefault="007A55D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centres affiliated to REFRA (N=13)</w:t>
            </w:r>
          </w:p>
        </w:tc>
      </w:tr>
      <w:tr w:rsidR="00A74BAF" w:rsidRPr="00A74BAF" w14:paraId="1634F2BD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14F8A78D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 w:val="restart"/>
            <w:shd w:val="clear" w:color="auto" w:fill="auto"/>
            <w:hideMark/>
          </w:tcPr>
          <w:p w14:paraId="22408864" w14:textId="6837B16B" w:rsidR="00040101" w:rsidRPr="00A74BAF" w:rsidRDefault="007A55D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Support in </w:t>
            </w:r>
            <w:r w:rsidR="00D35E7D"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analysing the information and elaborating</w:t>
            </w: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the biannual report of the 2 registers.</w:t>
            </w:r>
          </w:p>
        </w:tc>
        <w:tc>
          <w:tcPr>
            <w:tcW w:w="1729" w:type="pct"/>
            <w:shd w:val="clear" w:color="auto" w:fill="auto"/>
            <w:noWrap/>
            <w:hideMark/>
          </w:tcPr>
          <w:p w14:paraId="20BD38B3" w14:textId="62CB5DAE" w:rsidR="00040101" w:rsidRPr="00A74BAF" w:rsidRDefault="007A55D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records (N=2)</w:t>
            </w:r>
          </w:p>
        </w:tc>
      </w:tr>
      <w:tr w:rsidR="00A74BAF" w:rsidRPr="00A74BAF" w14:paraId="2D4702A5" w14:textId="77777777" w:rsidTr="00A74BA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0850E99F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231F2BA4" w14:textId="77777777" w:rsidR="00040101" w:rsidRPr="00A74BAF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7DD9F2DD" w14:textId="3C0F2703" w:rsidR="00040101" w:rsidRPr="00A74BAF" w:rsidRDefault="007A55D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price</w:t>
            </w:r>
          </w:p>
        </w:tc>
      </w:tr>
      <w:tr w:rsidR="00A74BAF" w:rsidRPr="003D1887" w14:paraId="3027392C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 w:val="restart"/>
            <w:shd w:val="clear" w:color="auto" w:fill="auto"/>
            <w:noWrap/>
            <w:hideMark/>
          </w:tcPr>
          <w:p w14:paraId="183D3F3F" w14:textId="5E07BC28" w:rsidR="006C711B" w:rsidRPr="00A74BAF" w:rsidRDefault="006C711B" w:rsidP="006C711B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Healthcare professionals</w:t>
            </w:r>
            <w:r w:rsidRPr="00A74BAF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847" w:type="pct"/>
            <w:vMerge w:val="restart"/>
            <w:shd w:val="clear" w:color="auto" w:fill="auto"/>
            <w:hideMark/>
          </w:tcPr>
          <w:p w14:paraId="00B01C6C" w14:textId="69D6B3A0" w:rsidR="006C711B" w:rsidRPr="00A74BAF" w:rsidRDefault="006D2D17" w:rsidP="006C7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Time spent on data collection for registers and monitoring of data quality (annual)</w:t>
            </w:r>
          </w:p>
        </w:tc>
        <w:tc>
          <w:tcPr>
            <w:tcW w:w="1729" w:type="pct"/>
            <w:shd w:val="clear" w:color="auto" w:fill="auto"/>
            <w:noWrap/>
            <w:hideMark/>
          </w:tcPr>
          <w:p w14:paraId="7F3F081D" w14:textId="25EB2B23" w:rsidR="006C711B" w:rsidRPr="00A74BAF" w:rsidRDefault="00D35E7D" w:rsidP="006C7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="006D2D17"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alf an hour per patient and an average of 50 patients per year in each centre (No. hours/year=75).</w:t>
            </w:r>
          </w:p>
        </w:tc>
      </w:tr>
      <w:tr w:rsidR="00A74BAF" w:rsidRPr="003D1887" w14:paraId="48053AB2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6BC91CEE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1D67CF66" w14:textId="77777777" w:rsidR="00040101" w:rsidRPr="00A74BAF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328C3620" w14:textId="575D980A" w:rsidR="00040101" w:rsidRPr="00A74BAF" w:rsidRDefault="006D2D1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No. of new centres joining the national registers (assuming the % that results in 50% of hospitals joining [n=316] without subtracting those already existing)</w:t>
            </w:r>
          </w:p>
        </w:tc>
      </w:tr>
      <w:tr w:rsidR="00A74BAF" w:rsidRPr="003D1887" w14:paraId="55A2D5AD" w14:textId="77777777" w:rsidTr="00A74BA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0BA9AD09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vMerge/>
            <w:shd w:val="clear" w:color="auto" w:fill="auto"/>
            <w:hideMark/>
          </w:tcPr>
          <w:p w14:paraId="075FFB1B" w14:textId="77777777" w:rsidR="00040101" w:rsidRPr="00A74BAF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9" w:type="pct"/>
            <w:shd w:val="clear" w:color="auto" w:fill="auto"/>
            <w:noWrap/>
            <w:hideMark/>
          </w:tcPr>
          <w:p w14:paraId="0830DD34" w14:textId="056016C1" w:rsidR="00040101" w:rsidRPr="00A74BAF" w:rsidRDefault="006D2D1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Hourly wage per professional specialist</w:t>
            </w:r>
          </w:p>
        </w:tc>
      </w:tr>
      <w:tr w:rsidR="00A74BAF" w:rsidRPr="00A74BAF" w14:paraId="653093EB" w14:textId="77777777" w:rsidTr="00A74B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hideMark/>
          </w:tcPr>
          <w:p w14:paraId="62EC3A1E" w14:textId="77777777" w:rsidR="00040101" w:rsidRPr="00A74BAF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7" w:type="pct"/>
            <w:shd w:val="clear" w:color="auto" w:fill="auto"/>
            <w:hideMark/>
          </w:tcPr>
          <w:p w14:paraId="1B7E7CCC" w14:textId="5135BFB8" w:rsidR="00040101" w:rsidRPr="00A74BAF" w:rsidRDefault="006D2D17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Training assistance</w:t>
            </w:r>
          </w:p>
        </w:tc>
        <w:tc>
          <w:tcPr>
            <w:tcW w:w="1729" w:type="pct"/>
            <w:shd w:val="clear" w:color="auto" w:fill="auto"/>
            <w:noWrap/>
            <w:hideMark/>
          </w:tcPr>
          <w:p w14:paraId="5E86672A" w14:textId="548C5F85" w:rsidR="00040101" w:rsidRPr="00A74BAF" w:rsidRDefault="00A67E88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Within working hours</w:t>
            </w:r>
          </w:p>
        </w:tc>
      </w:tr>
      <w:tr w:rsidR="00A74BAF" w:rsidRPr="00A74BAF" w14:paraId="009EE9EE" w14:textId="77777777" w:rsidTr="00A74B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72892C27" w14:textId="77777777" w:rsidR="00A67E88" w:rsidRPr="00A74BAF" w:rsidRDefault="00A67E88" w:rsidP="00A67E88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  <w:p w14:paraId="1B063DEE" w14:textId="53A16AC0" w:rsidR="00A67E88" w:rsidRPr="00A74BAF" w:rsidRDefault="00A67E88" w:rsidP="00A67E88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729" w:type="pct"/>
            <w:tcBorders>
              <w:top w:val="none" w:sz="0" w:space="0" w:color="auto"/>
            </w:tcBorders>
            <w:shd w:val="clear" w:color="auto" w:fill="auto"/>
          </w:tcPr>
          <w:p w14:paraId="59828E6E" w14:textId="5BCD8E43" w:rsidR="00A67E88" w:rsidRPr="00A74BAF" w:rsidRDefault="00094338" w:rsidP="00A67E8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="00A67E88"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379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="00A67E88" w:rsidRPr="00A74BAF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410</w:t>
            </w:r>
          </w:p>
        </w:tc>
      </w:tr>
    </w:tbl>
    <w:p w14:paraId="6B810C60" w14:textId="136A7413" w:rsidR="00040101" w:rsidRPr="006F6370" w:rsidRDefault="00040101" w:rsidP="00040101">
      <w:pPr>
        <w:pStyle w:val="Tpie"/>
        <w:rPr>
          <w:rFonts w:ascii="Arial" w:hAnsi="Arial" w:cs="Arial"/>
          <w:lang w:val="en-GB"/>
        </w:rPr>
      </w:pPr>
    </w:p>
    <w:p w14:paraId="50C4B291" w14:textId="77777777" w:rsidR="00040101" w:rsidRPr="006F6370" w:rsidRDefault="00040101" w:rsidP="00040101">
      <w:pPr>
        <w:rPr>
          <w:rFonts w:ascii="Arial" w:hAnsi="Arial" w:cs="Arial"/>
          <w:sz w:val="18"/>
          <w:szCs w:val="18"/>
          <w:lang w:val="en-GB"/>
        </w:rPr>
      </w:pPr>
      <w:r w:rsidRPr="006F6370">
        <w:rPr>
          <w:rFonts w:ascii="Arial" w:hAnsi="Arial" w:cs="Arial"/>
          <w:lang w:val="en-GB"/>
        </w:rPr>
        <w:br w:type="page"/>
      </w:r>
    </w:p>
    <w:p w14:paraId="0717EFEC" w14:textId="46E67FA4" w:rsidR="00040101" w:rsidRPr="006F6370" w:rsidRDefault="00A67E88" w:rsidP="00040101">
      <w:pPr>
        <w:pStyle w:val="Caption"/>
        <w:rPr>
          <w:lang w:val="en-GB"/>
        </w:rPr>
      </w:pPr>
      <w:bookmarkStart w:id="12" w:name="_Toc78266818"/>
      <w:r w:rsidRPr="006F6370">
        <w:rPr>
          <w:lang w:val="en-GB"/>
        </w:rPr>
        <w:lastRenderedPageBreak/>
        <w:t>ST3-11</w:t>
      </w:r>
      <w:r w:rsidR="00040101" w:rsidRPr="006F6370">
        <w:rPr>
          <w:lang w:val="en-GB"/>
        </w:rPr>
        <w:t xml:space="preserve">. </w:t>
      </w:r>
      <w:bookmarkEnd w:id="12"/>
      <w:r w:rsidR="006E0115" w:rsidRPr="006F6370">
        <w:rPr>
          <w:lang w:val="en-GB"/>
        </w:rPr>
        <w:t>Estimated investment of action 4</w:t>
      </w:r>
    </w:p>
    <w:tbl>
      <w:tblPr>
        <w:tblStyle w:val="GridTable4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E0" w:firstRow="1" w:lastRow="1" w:firstColumn="1" w:lastColumn="0" w:noHBand="1" w:noVBand="1"/>
      </w:tblPr>
      <w:tblGrid>
        <w:gridCol w:w="3908"/>
        <w:gridCol w:w="5071"/>
        <w:gridCol w:w="4742"/>
      </w:tblGrid>
      <w:tr w:rsidR="00A346E7" w:rsidRPr="00A346E7" w14:paraId="62A8D6FF" w14:textId="77777777" w:rsidTr="00A34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C5BF84B" w14:textId="4B4C4619" w:rsidR="00CC7F1A" w:rsidRPr="00A346E7" w:rsidRDefault="00CC7F1A" w:rsidP="00CC7F1A">
            <w:pPr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Stakeholders</w:t>
            </w:r>
          </w:p>
        </w:tc>
        <w:tc>
          <w:tcPr>
            <w:tcW w:w="1848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F511AA2" w14:textId="1271B9B7" w:rsidR="00CC7F1A" w:rsidRPr="00A346E7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Steps </w:t>
            </w:r>
          </w:p>
        </w:tc>
        <w:tc>
          <w:tcPr>
            <w:tcW w:w="1728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57773F8" w14:textId="6732362C" w:rsidR="00CC7F1A" w:rsidRPr="00A346E7" w:rsidRDefault="00CC7F1A" w:rsidP="00CC7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Resources</w:t>
            </w:r>
          </w:p>
        </w:tc>
      </w:tr>
      <w:tr w:rsidR="00A346E7" w:rsidRPr="003D1887" w14:paraId="51DBE480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C7EDEC" w14:textId="1B0D1119" w:rsidR="00040101" w:rsidRPr="00A346E7" w:rsidRDefault="00146D14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D226DE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H</w:t>
            </w: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NS</w:t>
            </w:r>
            <w:r w:rsidR="00040101" w:rsidRPr="00A346E7">
              <w:rPr>
                <w:rFonts w:ascii="Arial" w:eastAsia="Times New Roman" w:hAnsi="Arial" w:cs="Arial"/>
                <w:lang w:val="en-GB" w:eastAsia="es-ES"/>
              </w:rPr>
              <w:t> </w:t>
            </w:r>
          </w:p>
        </w:tc>
        <w:tc>
          <w:tcPr>
            <w:tcW w:w="184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FF5AEB" w14:textId="49E29636" w:rsidR="00040101" w:rsidRPr="00A346E7" w:rsidRDefault="006E011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Working meetings to agree on the contents of the advertising campaign and the information poster.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4FAE3A" w14:textId="4A314F99" w:rsidR="00040101" w:rsidRPr="00A346E7" w:rsidRDefault="006E0115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2 meetings with a duration per meeting of 4 h (8 h for each expert)</w:t>
            </w:r>
          </w:p>
        </w:tc>
      </w:tr>
      <w:tr w:rsidR="00A346E7" w:rsidRPr="00A346E7" w14:paraId="1C08886B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7BD9DF08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shd w:val="clear" w:color="auto" w:fill="auto"/>
            <w:noWrap/>
            <w:hideMark/>
          </w:tcPr>
          <w:p w14:paraId="704E429E" w14:textId="454508C4" w:rsidR="00040101" w:rsidRPr="00A346E7" w:rsidRDefault="007D68EB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7 experts: 2 specialists in bone metabolism, 1 in traumatology and surgery, 1 in rehabilitation, 1 in nursing and 1 in primary care.</w:t>
            </w:r>
          </w:p>
        </w:tc>
        <w:tc>
          <w:tcPr>
            <w:tcW w:w="1728" w:type="pct"/>
            <w:shd w:val="clear" w:color="auto" w:fill="auto"/>
            <w:hideMark/>
          </w:tcPr>
          <w:p w14:paraId="055EAC66" w14:textId="325023B9" w:rsidR="00040101" w:rsidRPr="00A346E7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7 </w:t>
            </w:r>
            <w:r w:rsidR="007D68EB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specialists</w:t>
            </w:r>
          </w:p>
        </w:tc>
      </w:tr>
      <w:tr w:rsidR="00A346E7" w:rsidRPr="00A346E7" w14:paraId="7DEFC7F4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0E662FAA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shd w:val="clear" w:color="auto" w:fill="auto"/>
            <w:noWrap/>
            <w:hideMark/>
          </w:tcPr>
          <w:p w14:paraId="013F487B" w14:textId="0E745872" w:rsidR="00040101" w:rsidRPr="00A346E7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1 </w:t>
            </w:r>
            <w:r w:rsidR="007D68EB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expert patient</w:t>
            </w: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1728" w:type="pct"/>
            <w:shd w:val="clear" w:color="auto" w:fill="auto"/>
            <w:hideMark/>
          </w:tcPr>
          <w:p w14:paraId="73CC413D" w14:textId="57F51E2B" w:rsidR="00040101" w:rsidRPr="00A346E7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1 </w:t>
            </w:r>
            <w:r w:rsidR="007D68EB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patient</w:t>
            </w:r>
          </w:p>
        </w:tc>
      </w:tr>
      <w:tr w:rsidR="00A346E7" w:rsidRPr="003D1887" w14:paraId="2EC57849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72D6DEB0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shd w:val="clear" w:color="auto" w:fill="auto"/>
            <w:noWrap/>
            <w:hideMark/>
          </w:tcPr>
          <w:p w14:paraId="3829FA4D" w14:textId="39AE57A2" w:rsidR="00040101" w:rsidRPr="00A346E7" w:rsidRDefault="00E52C8C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Elaboration of information campaign on TV, radio, bus (different formats).</w:t>
            </w:r>
          </w:p>
        </w:tc>
        <w:tc>
          <w:tcPr>
            <w:tcW w:w="1728" w:type="pct"/>
            <w:shd w:val="clear" w:color="auto" w:fill="auto"/>
            <w:noWrap/>
            <w:hideMark/>
          </w:tcPr>
          <w:p w14:paraId="3D743942" w14:textId="1D645725" w:rsidR="00040101" w:rsidRPr="00A346E7" w:rsidRDefault="00D35E7D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The m</w:t>
            </w:r>
            <w:r w:rsidR="00E52C8C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arket cost of developing the formats for video, radio and bus advertisement</w:t>
            </w: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</w:t>
            </w:r>
            <w:r w:rsidR="00E52C8C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 xml:space="preserve"> based on the content defined by the experts.</w:t>
            </w:r>
          </w:p>
        </w:tc>
      </w:tr>
      <w:tr w:rsidR="00A346E7" w:rsidRPr="003D1887" w14:paraId="7F368C43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68A46428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vMerge w:val="restart"/>
            <w:shd w:val="clear" w:color="auto" w:fill="auto"/>
            <w:noWrap/>
            <w:hideMark/>
          </w:tcPr>
          <w:p w14:paraId="05A331FE" w14:textId="1BD30FC3" w:rsidR="00040101" w:rsidRPr="00A346E7" w:rsidRDefault="00E52C8C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Dissemination of the public information campaign in the media</w:t>
            </w:r>
          </w:p>
        </w:tc>
        <w:tc>
          <w:tcPr>
            <w:tcW w:w="1728" w:type="pct"/>
            <w:shd w:val="clear" w:color="auto" w:fill="auto"/>
            <w:noWrap/>
            <w:hideMark/>
          </w:tcPr>
          <w:p w14:paraId="60C1A07C" w14:textId="0377D3C9" w:rsidR="00040101" w:rsidRPr="00A346E7" w:rsidRDefault="00E52C8C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Cost of broadcasting the campaign on TV channels</w:t>
            </w:r>
          </w:p>
        </w:tc>
      </w:tr>
      <w:tr w:rsidR="00A346E7" w:rsidRPr="003D1887" w14:paraId="0B854327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6AAFD0A9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vMerge/>
            <w:shd w:val="clear" w:color="auto" w:fill="auto"/>
            <w:hideMark/>
          </w:tcPr>
          <w:p w14:paraId="75E4DA01" w14:textId="77777777" w:rsidR="00040101" w:rsidRPr="00A346E7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8" w:type="pct"/>
            <w:shd w:val="clear" w:color="auto" w:fill="auto"/>
            <w:noWrap/>
            <w:hideMark/>
          </w:tcPr>
          <w:p w14:paraId="678C46CE" w14:textId="2A3054B5" w:rsidR="00040101" w:rsidRPr="00A346E7" w:rsidRDefault="00E52C8C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Cost of the radio broadcast of the campaign</w:t>
            </w:r>
          </w:p>
        </w:tc>
      </w:tr>
      <w:tr w:rsidR="00A346E7" w:rsidRPr="003D1887" w14:paraId="55782D27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126DDB61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vMerge/>
            <w:shd w:val="clear" w:color="auto" w:fill="auto"/>
            <w:hideMark/>
          </w:tcPr>
          <w:p w14:paraId="1B85D229" w14:textId="77777777" w:rsidR="00040101" w:rsidRPr="00A346E7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8" w:type="pct"/>
            <w:shd w:val="clear" w:color="auto" w:fill="auto"/>
            <w:noWrap/>
            <w:hideMark/>
          </w:tcPr>
          <w:p w14:paraId="77DC3207" w14:textId="1241B300" w:rsidR="00040101" w:rsidRPr="00A346E7" w:rsidRDefault="00FD213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Cost of the campaign in means of transport (taxi, bus)</w:t>
            </w:r>
          </w:p>
        </w:tc>
      </w:tr>
      <w:tr w:rsidR="00A346E7" w:rsidRPr="003D1887" w14:paraId="17C63A59" w14:textId="77777777" w:rsidTr="00A346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7E691FAF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shd w:val="clear" w:color="auto" w:fill="auto"/>
            <w:noWrap/>
            <w:hideMark/>
          </w:tcPr>
          <w:p w14:paraId="21F179B5" w14:textId="674EA8DC" w:rsidR="00040101" w:rsidRPr="00A346E7" w:rsidRDefault="00FD213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Poster design</w:t>
            </w:r>
          </w:p>
        </w:tc>
        <w:tc>
          <w:tcPr>
            <w:tcW w:w="1728" w:type="pct"/>
            <w:shd w:val="clear" w:color="auto" w:fill="auto"/>
            <w:noWrap/>
            <w:hideMark/>
          </w:tcPr>
          <w:p w14:paraId="47D6D56B" w14:textId="39CDDE1A" w:rsidR="00040101" w:rsidRPr="00A346E7" w:rsidRDefault="00D35E7D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The m</w:t>
            </w:r>
            <w:r w:rsidR="00FD2139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arket cost of poster design</w:t>
            </w:r>
          </w:p>
        </w:tc>
      </w:tr>
      <w:tr w:rsidR="00A346E7" w:rsidRPr="003D1887" w14:paraId="73A6A728" w14:textId="77777777" w:rsidTr="00A346E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2AB91EF5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vMerge w:val="restart"/>
            <w:shd w:val="clear" w:color="auto" w:fill="auto"/>
            <w:noWrap/>
            <w:hideMark/>
          </w:tcPr>
          <w:p w14:paraId="1AE56071" w14:textId="381A6E01" w:rsidR="00040101" w:rsidRPr="00A346E7" w:rsidRDefault="00FD2139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Poster printing</w:t>
            </w:r>
          </w:p>
        </w:tc>
        <w:tc>
          <w:tcPr>
            <w:tcW w:w="1728" w:type="pct"/>
            <w:shd w:val="clear" w:color="auto" w:fill="auto"/>
            <w:noWrap/>
            <w:hideMark/>
          </w:tcPr>
          <w:p w14:paraId="6CB194CE" w14:textId="7AF291D7" w:rsidR="00040101" w:rsidRPr="00A346E7" w:rsidRDefault="00DF074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Market costs of printing one poster</w:t>
            </w:r>
          </w:p>
        </w:tc>
      </w:tr>
      <w:tr w:rsidR="00A346E7" w:rsidRPr="003D1887" w14:paraId="4EA5BF74" w14:textId="77777777" w:rsidTr="00A346E7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5B67A157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vMerge/>
            <w:shd w:val="clear" w:color="auto" w:fill="auto"/>
            <w:hideMark/>
          </w:tcPr>
          <w:p w14:paraId="31A57188" w14:textId="77777777" w:rsidR="00040101" w:rsidRPr="00A346E7" w:rsidRDefault="00040101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728" w:type="pct"/>
            <w:shd w:val="clear" w:color="auto" w:fill="auto"/>
            <w:hideMark/>
          </w:tcPr>
          <w:p w14:paraId="3301299A" w14:textId="29CE5062" w:rsidR="00040101" w:rsidRPr="00A346E7" w:rsidRDefault="00DF074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One copy for each PC centre, hospital (one for the emergency department, one for general consultations, one for the traumatology department), 1 copy for pharmacies (No. of pharmacies), 1 copy for day-care centres (No. of pharmacies), 1 copy for day-care centres (No. of day-care centres), 1 copy for the emergency department (No. of pharmacies).</w:t>
            </w:r>
          </w:p>
        </w:tc>
      </w:tr>
      <w:tr w:rsidR="00A346E7" w:rsidRPr="003D1887" w14:paraId="750B3697" w14:textId="77777777" w:rsidTr="00A346E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pct"/>
            <w:vMerge/>
            <w:shd w:val="clear" w:color="auto" w:fill="auto"/>
            <w:noWrap/>
            <w:hideMark/>
          </w:tcPr>
          <w:p w14:paraId="47AE9C0F" w14:textId="77777777" w:rsidR="00040101" w:rsidRPr="00A346E7" w:rsidRDefault="00040101" w:rsidP="00CE014D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</w:p>
        </w:tc>
        <w:tc>
          <w:tcPr>
            <w:tcW w:w="1848" w:type="pct"/>
            <w:shd w:val="clear" w:color="auto" w:fill="auto"/>
            <w:noWrap/>
            <w:hideMark/>
          </w:tcPr>
          <w:p w14:paraId="10A5B9E7" w14:textId="29516876" w:rsidR="00040101" w:rsidRPr="00A346E7" w:rsidRDefault="00DF074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Sending of posters</w:t>
            </w:r>
          </w:p>
        </w:tc>
        <w:tc>
          <w:tcPr>
            <w:tcW w:w="1728" w:type="pct"/>
            <w:shd w:val="clear" w:color="auto" w:fill="auto"/>
            <w:hideMark/>
          </w:tcPr>
          <w:p w14:paraId="40D98D36" w14:textId="79176774" w:rsidR="00040101" w:rsidRPr="00A346E7" w:rsidRDefault="00DF0746" w:rsidP="00CE0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Poster delivery cost x number of centres (28,155)</w:t>
            </w:r>
          </w:p>
        </w:tc>
      </w:tr>
      <w:tr w:rsidR="00A346E7" w:rsidRPr="00A346E7" w14:paraId="5F6F54FE" w14:textId="77777777" w:rsidTr="00A346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gridSpan w:val="2"/>
            <w:tcBorders>
              <w:top w:val="none" w:sz="0" w:space="0" w:color="auto"/>
            </w:tcBorders>
            <w:shd w:val="clear" w:color="auto" w:fill="auto"/>
            <w:noWrap/>
            <w:hideMark/>
          </w:tcPr>
          <w:p w14:paraId="38CB4606" w14:textId="61D1E5AD" w:rsidR="00192645" w:rsidRPr="00A346E7" w:rsidRDefault="00192645" w:rsidP="00CE014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investment cost</w:t>
            </w:r>
          </w:p>
        </w:tc>
        <w:tc>
          <w:tcPr>
            <w:tcW w:w="1728" w:type="pct"/>
            <w:tcBorders>
              <w:top w:val="none" w:sz="0" w:space="0" w:color="auto"/>
            </w:tcBorders>
            <w:shd w:val="clear" w:color="auto" w:fill="auto"/>
          </w:tcPr>
          <w:p w14:paraId="694A38BB" w14:textId="3B84104A" w:rsidR="00192645" w:rsidRPr="00A346E7" w:rsidRDefault="00094338" w:rsidP="00CE014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€</w:t>
            </w:r>
            <w:r w:rsidR="00192645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882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,</w:t>
            </w:r>
            <w:r w:rsidR="00192645" w:rsidRPr="00A346E7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928</w:t>
            </w:r>
          </w:p>
        </w:tc>
      </w:tr>
    </w:tbl>
    <w:p w14:paraId="4F55B8EE" w14:textId="4E778098" w:rsidR="00040101" w:rsidRPr="006F6370" w:rsidRDefault="00926733" w:rsidP="00926733">
      <w:pPr>
        <w:tabs>
          <w:tab w:val="left" w:pos="3256"/>
        </w:tabs>
        <w:rPr>
          <w:rFonts w:ascii="Arial" w:hAnsi="Arial" w:cs="Arial"/>
          <w:lang w:val="en-US"/>
        </w:rPr>
      </w:pPr>
      <w:r w:rsidRPr="006F6370">
        <w:rPr>
          <w:rFonts w:ascii="Arial" w:hAnsi="Arial" w:cs="Arial"/>
          <w:lang w:val="en-GB"/>
        </w:rPr>
        <w:tab/>
      </w:r>
      <w:r w:rsidR="005E51B4" w:rsidRPr="006F6370">
        <w:rPr>
          <w:rFonts w:ascii="Arial" w:hAnsi="Arial" w:cs="Arial"/>
          <w:lang w:val="en-US"/>
        </w:rPr>
        <w:t xml:space="preserve"> </w:t>
      </w:r>
    </w:p>
    <w:p w14:paraId="4D1C862A" w14:textId="2B61C8B4" w:rsidR="00926733" w:rsidRPr="006F6370" w:rsidRDefault="006833B6" w:rsidP="00EB572E">
      <w:pPr>
        <w:ind w:left="142"/>
        <w:rPr>
          <w:rFonts w:ascii="Arial" w:hAnsi="Arial" w:cs="Arial"/>
          <w:sz w:val="24"/>
          <w:szCs w:val="24"/>
          <w:lang w:val="en-US"/>
        </w:rPr>
        <w:sectPr w:rsidR="00926733" w:rsidRPr="006F6370" w:rsidSect="00EB649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0" w:h="11900" w:orient="landscape"/>
          <w:pgMar w:top="1418" w:right="1417" w:bottom="1701" w:left="1702" w:header="708" w:footer="708" w:gutter="0"/>
          <w:cols w:space="708"/>
          <w:docGrid w:linePitch="360"/>
        </w:sectPr>
      </w:pPr>
      <w:r w:rsidRPr="006F6370">
        <w:rPr>
          <w:rFonts w:ascii="Arial" w:hAnsi="Arial" w:cs="Arial"/>
          <w:sz w:val="18"/>
          <w:szCs w:val="18"/>
          <w:lang w:val="en-US"/>
        </w:rPr>
        <w:t xml:space="preserve">FLS: fracture liaison service; OP: </w:t>
      </w:r>
      <w:r w:rsidR="00D17A48" w:rsidRPr="006F6370">
        <w:rPr>
          <w:rFonts w:ascii="Arial" w:hAnsi="Arial" w:cs="Arial"/>
          <w:sz w:val="18"/>
          <w:szCs w:val="18"/>
          <w:lang w:val="en-US"/>
        </w:rPr>
        <w:t>osteoporosis; PC</w:t>
      </w:r>
      <w:r w:rsidR="00BC219A" w:rsidRPr="006F6370">
        <w:rPr>
          <w:rFonts w:ascii="Arial" w:hAnsi="Arial" w:cs="Arial"/>
          <w:sz w:val="18"/>
          <w:szCs w:val="18"/>
          <w:lang w:val="en-US"/>
        </w:rPr>
        <w:t xml:space="preserve">: primary </w:t>
      </w:r>
      <w:r w:rsidR="008B778C" w:rsidRPr="006F6370">
        <w:rPr>
          <w:rFonts w:ascii="Arial" w:hAnsi="Arial" w:cs="Arial"/>
          <w:sz w:val="18"/>
          <w:szCs w:val="18"/>
          <w:lang w:val="en-US"/>
        </w:rPr>
        <w:t>care</w:t>
      </w:r>
      <w:r w:rsidR="00BC219A" w:rsidRPr="006F6370">
        <w:rPr>
          <w:rFonts w:ascii="Arial" w:hAnsi="Arial" w:cs="Arial"/>
          <w:sz w:val="18"/>
          <w:szCs w:val="18"/>
          <w:lang w:val="en-US"/>
        </w:rPr>
        <w:t>;</w:t>
      </w:r>
      <w:r w:rsidR="008B778C" w:rsidRPr="006F6370">
        <w:rPr>
          <w:rFonts w:ascii="Arial" w:hAnsi="Arial" w:cs="Arial"/>
          <w:sz w:val="18"/>
          <w:szCs w:val="18"/>
          <w:lang w:val="en-US"/>
        </w:rPr>
        <w:t xml:space="preserve"> REFRA:</w:t>
      </w:r>
      <w:r w:rsidR="009E41A0" w:rsidRPr="006F6370">
        <w:rPr>
          <w:rFonts w:ascii="Arial" w:hAnsi="Arial" w:cs="Arial"/>
          <w:sz w:val="18"/>
          <w:szCs w:val="18"/>
          <w:lang w:val="en-US"/>
        </w:rPr>
        <w:t xml:space="preserve"> </w:t>
      </w:r>
      <w:r w:rsidR="00E47980" w:rsidRPr="006F6370">
        <w:rPr>
          <w:rFonts w:ascii="Arial" w:hAnsi="Arial" w:cs="Arial"/>
          <w:sz w:val="18"/>
          <w:szCs w:val="18"/>
          <w:lang w:val="en-US"/>
        </w:rPr>
        <w:t xml:space="preserve"> </w:t>
      </w:r>
      <w:r w:rsidR="00F621DD" w:rsidRPr="006F6370">
        <w:rPr>
          <w:rFonts w:ascii="Arial" w:hAnsi="Arial" w:cs="Arial"/>
          <w:sz w:val="18"/>
          <w:szCs w:val="18"/>
          <w:lang w:val="en-US"/>
        </w:rPr>
        <w:t>Spanish fracture</w:t>
      </w:r>
      <w:r w:rsidR="00D17A48" w:rsidRPr="006F6370">
        <w:rPr>
          <w:rFonts w:ascii="Arial" w:hAnsi="Arial" w:cs="Arial"/>
          <w:sz w:val="18"/>
          <w:szCs w:val="18"/>
          <w:lang w:val="en-US"/>
        </w:rPr>
        <w:t>s</w:t>
      </w:r>
      <w:r w:rsidR="00F621DD" w:rsidRPr="006F6370">
        <w:rPr>
          <w:rFonts w:ascii="Arial" w:hAnsi="Arial" w:cs="Arial"/>
          <w:sz w:val="18"/>
          <w:szCs w:val="18"/>
          <w:lang w:val="en-US"/>
        </w:rPr>
        <w:t xml:space="preserve"> register</w:t>
      </w:r>
      <w:r w:rsidR="00E47980" w:rsidRPr="006F6370">
        <w:rPr>
          <w:rFonts w:ascii="Arial" w:hAnsi="Arial" w:cs="Arial"/>
          <w:sz w:val="18"/>
          <w:szCs w:val="18"/>
          <w:lang w:val="en-US"/>
        </w:rPr>
        <w:t xml:space="preserve">; </w:t>
      </w:r>
      <w:r w:rsidR="007378A7" w:rsidRPr="006F6370">
        <w:rPr>
          <w:rFonts w:ascii="Arial" w:hAnsi="Arial" w:cs="Arial"/>
          <w:sz w:val="18"/>
          <w:szCs w:val="18"/>
          <w:lang w:val="en-US"/>
        </w:rPr>
        <w:t xml:space="preserve">RFC: Hip </w:t>
      </w:r>
      <w:r w:rsidR="00F621DD" w:rsidRPr="006F6370">
        <w:rPr>
          <w:rFonts w:ascii="Arial" w:hAnsi="Arial" w:cs="Arial"/>
          <w:sz w:val="18"/>
          <w:szCs w:val="18"/>
          <w:lang w:val="en-US"/>
        </w:rPr>
        <w:t>fractures register</w:t>
      </w:r>
      <w:r w:rsidR="007378A7" w:rsidRPr="006F6370">
        <w:rPr>
          <w:rFonts w:ascii="Arial" w:hAnsi="Arial" w:cs="Arial"/>
          <w:sz w:val="18"/>
          <w:szCs w:val="18"/>
          <w:lang w:val="en-US"/>
        </w:rPr>
        <w:t>; SNHS: Spanish National Health System; TV: television.</w:t>
      </w:r>
    </w:p>
    <w:p w14:paraId="7E0C221E" w14:textId="4A2DA4AC" w:rsidR="00800ACF" w:rsidRPr="006F6370" w:rsidRDefault="004E7844">
      <w:pPr>
        <w:rPr>
          <w:rFonts w:ascii="Arial" w:eastAsia="Calibri" w:hAnsi="Arial" w:cs="Arial"/>
          <w:bCs/>
          <w:sz w:val="24"/>
          <w:szCs w:val="24"/>
          <w:lang w:val="en-GB"/>
        </w:rPr>
      </w:pPr>
      <w:r w:rsidRPr="006F6370">
        <w:rPr>
          <w:rFonts w:ascii="Arial" w:eastAsia="Calibri" w:hAnsi="Arial" w:cs="Arial"/>
          <w:b/>
          <w:sz w:val="24"/>
          <w:szCs w:val="24"/>
          <w:lang w:val="en-US"/>
        </w:rPr>
        <w:lastRenderedPageBreak/>
        <w:t>Supplementary Table 4</w:t>
      </w:r>
      <w:r w:rsidR="00800ACF" w:rsidRPr="006F6370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r w:rsidR="00B2381B"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Estimation of willingness to pay </w:t>
      </w:r>
      <w:r w:rsidR="00D17A48"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(WTP) </w:t>
      </w:r>
      <w:r w:rsidR="00B2381B" w:rsidRPr="006F6370">
        <w:rPr>
          <w:rFonts w:ascii="Arial" w:eastAsia="Calibri" w:hAnsi="Arial" w:cs="Arial"/>
          <w:bCs/>
          <w:sz w:val="24"/>
          <w:szCs w:val="24"/>
          <w:lang w:val="en-GB"/>
        </w:rPr>
        <w:t>in each domain of health-related quality of life considered</w:t>
      </w:r>
      <w:r w:rsidR="0074134A" w:rsidRPr="006F6370">
        <w:rPr>
          <w:rFonts w:ascii="Arial" w:eastAsia="Calibri" w:hAnsi="Arial" w:cs="Arial"/>
          <w:bCs/>
          <w:sz w:val="24"/>
          <w:szCs w:val="24"/>
          <w:lang w:val="en-GB"/>
        </w:rPr>
        <w:t>.</w:t>
      </w:r>
    </w:p>
    <w:tbl>
      <w:tblPr>
        <w:tblStyle w:val="GridTable4"/>
        <w:tblW w:w="4869" w:type="pct"/>
        <w:tblInd w:w="-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E0" w:firstRow="1" w:lastRow="1" w:firstColumn="1" w:lastColumn="0" w:noHBand="1" w:noVBand="1"/>
      </w:tblPr>
      <w:tblGrid>
        <w:gridCol w:w="2648"/>
        <w:gridCol w:w="574"/>
        <w:gridCol w:w="1191"/>
        <w:gridCol w:w="1477"/>
        <w:gridCol w:w="1192"/>
        <w:gridCol w:w="1189"/>
      </w:tblGrid>
      <w:tr w:rsidR="004C5E21" w:rsidRPr="009F1184" w14:paraId="0CBF78F0" w14:textId="26DDCD78" w:rsidTr="004C5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4820186" w14:textId="18A39B98" w:rsidR="00C70AFD" w:rsidRPr="009F1184" w:rsidRDefault="00C70AFD" w:rsidP="00CE014D">
            <w:pPr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Domain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161B3" w14:textId="3E4E4FF7" w:rsidR="00C70AFD" w:rsidRPr="009F1184" w:rsidRDefault="00C70AFD" w:rsidP="004C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% affected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1040564" w14:textId="77777777" w:rsidR="002626A3" w:rsidRDefault="002626A3" w:rsidP="004C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GB" w:eastAsia="es-ES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Base-case</w:t>
            </w:r>
          </w:p>
          <w:p w14:paraId="708DD8B5" w14:textId="78952B1A" w:rsidR="00C70AFD" w:rsidRPr="009F1184" w:rsidRDefault="00C70AFD" w:rsidP="004C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 xml:space="preserve">Average </w:t>
            </w:r>
            <w:r w:rsidRPr="00166548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WTP</w:t>
            </w:r>
            <w:r w:rsidR="004C5E21" w:rsidRPr="00166548"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val="en-GB" w:eastAsia="es-ES"/>
              </w:rPr>
              <w:t xml:space="preserve"> a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4A7AC" w14:textId="77777777" w:rsidR="00C70AFD" w:rsidRPr="003D1887" w:rsidRDefault="002626A3" w:rsidP="004C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  <w:lang w:val="en-GB" w:eastAsia="es-ES"/>
              </w:rPr>
            </w:pPr>
            <w:r w:rsidRPr="003D188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Best-case</w:t>
            </w:r>
          </w:p>
          <w:p w14:paraId="0688006B" w14:textId="2E2F8E55" w:rsidR="002626A3" w:rsidRPr="003D1887" w:rsidRDefault="002626A3" w:rsidP="004C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3D188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Average WTP</w:t>
            </w:r>
            <w:r w:rsidR="00EC6173" w:rsidRPr="003D1887"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val="en-GB" w:eastAsia="es-ES"/>
              </w:rPr>
              <w:t>b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FB707" w14:textId="77777777" w:rsidR="00C70AFD" w:rsidRPr="003D1887" w:rsidRDefault="002626A3" w:rsidP="004C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auto"/>
                <w:sz w:val="18"/>
                <w:szCs w:val="18"/>
                <w:lang w:val="en-GB" w:eastAsia="es-ES"/>
              </w:rPr>
            </w:pPr>
            <w:r w:rsidRPr="003D188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Worst-case</w:t>
            </w:r>
          </w:p>
          <w:p w14:paraId="26203EB3" w14:textId="3E203401" w:rsidR="002626A3" w:rsidRPr="003D1887" w:rsidRDefault="002626A3" w:rsidP="004C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</w:pPr>
            <w:r w:rsidRPr="003D188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Average WTP</w:t>
            </w:r>
            <w:r w:rsidR="00C7141A" w:rsidRPr="003D1887"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val="en-GB" w:eastAsia="es-ES"/>
              </w:rPr>
              <w:t>c</w:t>
            </w:r>
          </w:p>
        </w:tc>
      </w:tr>
      <w:tr w:rsidR="001808FA" w:rsidRPr="009F1184" w14:paraId="5B32F628" w14:textId="76F8B12F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94B" w14:textId="6A5C8E87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Work situation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15E60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47 %</w:t>
            </w:r>
          </w:p>
        </w:tc>
        <w:tc>
          <w:tcPr>
            <w:tcW w:w="0" w:type="pc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86E5155" w14:textId="3814222D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379.46</w:t>
            </w:r>
          </w:p>
        </w:tc>
        <w:tc>
          <w:tcPr>
            <w:tcW w:w="0" w:type="pct"/>
            <w:tcBorders>
              <w:top w:val="single" w:sz="4" w:space="0" w:color="auto"/>
            </w:tcBorders>
            <w:vAlign w:val="center"/>
          </w:tcPr>
          <w:p w14:paraId="4B06C0C9" w14:textId="2B4BBF67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1808FA" w:rsidRPr="003D1887">
              <w:rPr>
                <w:rFonts w:ascii="Arial" w:hAnsi="Arial" w:cs="Arial"/>
                <w:sz w:val="18"/>
                <w:szCs w:val="18"/>
              </w:rPr>
              <w:t>670.00</w:t>
            </w:r>
          </w:p>
        </w:tc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3DB254D5" w14:textId="6DFCDD65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A739FA" w:rsidRPr="003D1887">
              <w:rPr>
                <w:rFonts w:ascii="Arial" w:hAnsi="Arial" w:cs="Arial"/>
                <w:sz w:val="18"/>
                <w:szCs w:val="18"/>
              </w:rPr>
              <w:t>351.03</w:t>
            </w:r>
          </w:p>
        </w:tc>
      </w:tr>
      <w:tr w:rsidR="001808FA" w:rsidRPr="009F1184" w14:paraId="7EC11A20" w14:textId="4CB56D8D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  <w:hideMark/>
          </w:tcPr>
          <w:p w14:paraId="4D1A32EC" w14:textId="370FBE38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Ability to carry out daily activities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01207223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48 %</w:t>
            </w:r>
          </w:p>
        </w:tc>
        <w:tc>
          <w:tcPr>
            <w:tcW w:w="0" w:type="pct"/>
            <w:shd w:val="clear" w:color="auto" w:fill="EDEDED" w:themeFill="accent3" w:themeFillTint="33"/>
            <w:noWrap/>
            <w:vAlign w:val="center"/>
            <w:hideMark/>
          </w:tcPr>
          <w:p w14:paraId="54C7597E" w14:textId="776FEFDC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625.00</w:t>
            </w:r>
          </w:p>
        </w:tc>
        <w:tc>
          <w:tcPr>
            <w:tcW w:w="0" w:type="pct"/>
            <w:vAlign w:val="center"/>
          </w:tcPr>
          <w:p w14:paraId="56C727C9" w14:textId="5FE023DD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A14647" w:rsidRPr="003D1887">
              <w:rPr>
                <w:rFonts w:ascii="Arial" w:hAnsi="Arial" w:cs="Arial"/>
                <w:sz w:val="18"/>
                <w:szCs w:val="18"/>
              </w:rPr>
              <w:t>887.50</w:t>
            </w:r>
          </w:p>
        </w:tc>
        <w:tc>
          <w:tcPr>
            <w:tcW w:w="748" w:type="pct"/>
            <w:vAlign w:val="center"/>
          </w:tcPr>
          <w:p w14:paraId="67388EE4" w14:textId="24782138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A739FA" w:rsidRPr="003D1887">
              <w:rPr>
                <w:rFonts w:ascii="Arial" w:hAnsi="Arial" w:cs="Arial"/>
                <w:sz w:val="18"/>
                <w:szCs w:val="18"/>
              </w:rPr>
              <w:t>701.61</w:t>
            </w:r>
          </w:p>
        </w:tc>
      </w:tr>
      <w:tr w:rsidR="001808FA" w:rsidRPr="009F1184" w14:paraId="02B5A48B" w14:textId="739301EB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  <w:hideMark/>
          </w:tcPr>
          <w:p w14:paraId="511443BF" w14:textId="5E4CA20B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Same degree of mobility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1177D5A0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47 %</w:t>
            </w:r>
          </w:p>
        </w:tc>
        <w:tc>
          <w:tcPr>
            <w:tcW w:w="0" w:type="pct"/>
            <w:shd w:val="clear" w:color="auto" w:fill="EDEDED" w:themeFill="accent3" w:themeFillTint="33"/>
            <w:noWrap/>
            <w:vAlign w:val="center"/>
            <w:hideMark/>
          </w:tcPr>
          <w:p w14:paraId="3D4B096E" w14:textId="1C51D11F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598.21</w:t>
            </w:r>
          </w:p>
        </w:tc>
        <w:tc>
          <w:tcPr>
            <w:tcW w:w="0" w:type="pct"/>
            <w:vAlign w:val="center"/>
          </w:tcPr>
          <w:p w14:paraId="0B351308" w14:textId="377A1B7B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A14647" w:rsidRPr="003D1887">
              <w:rPr>
                <w:rFonts w:ascii="Arial" w:hAnsi="Arial" w:cs="Arial"/>
                <w:sz w:val="18"/>
                <w:szCs w:val="18"/>
              </w:rPr>
              <w:t>904.17</w:t>
            </w:r>
          </w:p>
        </w:tc>
        <w:tc>
          <w:tcPr>
            <w:tcW w:w="748" w:type="pct"/>
            <w:vAlign w:val="center"/>
          </w:tcPr>
          <w:p w14:paraId="69BD934C" w14:textId="6759E94B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A739FA" w:rsidRPr="003D1887">
              <w:rPr>
                <w:rFonts w:ascii="Arial" w:hAnsi="Arial" w:cs="Arial"/>
                <w:sz w:val="18"/>
                <w:szCs w:val="18"/>
              </w:rPr>
              <w:t>547.99</w:t>
            </w:r>
          </w:p>
        </w:tc>
      </w:tr>
      <w:tr w:rsidR="001808FA" w:rsidRPr="009F1184" w14:paraId="41200154" w14:textId="00987ACF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  <w:hideMark/>
          </w:tcPr>
          <w:p w14:paraId="0D762B56" w14:textId="78EADD26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Same degree of pain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096936A0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72 %</w:t>
            </w:r>
          </w:p>
        </w:tc>
        <w:tc>
          <w:tcPr>
            <w:tcW w:w="0" w:type="pct"/>
            <w:shd w:val="clear" w:color="auto" w:fill="EDEDED" w:themeFill="accent3" w:themeFillTint="33"/>
            <w:noWrap/>
            <w:vAlign w:val="center"/>
            <w:hideMark/>
          </w:tcPr>
          <w:p w14:paraId="24613AF8" w14:textId="09D05208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587.21</w:t>
            </w:r>
          </w:p>
        </w:tc>
        <w:tc>
          <w:tcPr>
            <w:tcW w:w="0" w:type="pct"/>
            <w:vAlign w:val="center"/>
          </w:tcPr>
          <w:p w14:paraId="30FCF89E" w14:textId="653606DB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A14647" w:rsidRPr="003D1887">
              <w:rPr>
                <w:rFonts w:ascii="Arial" w:hAnsi="Arial" w:cs="Arial"/>
                <w:sz w:val="18"/>
                <w:szCs w:val="18"/>
              </w:rPr>
              <w:t>1,054.17</w:t>
            </w:r>
          </w:p>
        </w:tc>
        <w:tc>
          <w:tcPr>
            <w:tcW w:w="748" w:type="pct"/>
            <w:vAlign w:val="center"/>
          </w:tcPr>
          <w:p w14:paraId="74AC12D7" w14:textId="069F511E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A739FA" w:rsidRPr="003D1887">
              <w:rPr>
                <w:rFonts w:ascii="Arial" w:hAnsi="Arial" w:cs="Arial"/>
                <w:sz w:val="18"/>
                <w:szCs w:val="18"/>
              </w:rPr>
              <w:t>424.42</w:t>
            </w:r>
          </w:p>
        </w:tc>
      </w:tr>
      <w:tr w:rsidR="001808FA" w:rsidRPr="009F1184" w14:paraId="32F20559" w14:textId="57B34B09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  <w:hideMark/>
          </w:tcPr>
          <w:p w14:paraId="03DFC711" w14:textId="2BE4ECA7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Leisure activities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3AE47898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35 %</w:t>
            </w:r>
          </w:p>
        </w:tc>
        <w:tc>
          <w:tcPr>
            <w:tcW w:w="0" w:type="pct"/>
            <w:shd w:val="clear" w:color="auto" w:fill="EDEDED" w:themeFill="accent3" w:themeFillTint="33"/>
            <w:noWrap/>
            <w:vAlign w:val="center"/>
            <w:hideMark/>
          </w:tcPr>
          <w:p w14:paraId="69F33981" w14:textId="17E7A020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446.43</w:t>
            </w:r>
          </w:p>
        </w:tc>
        <w:tc>
          <w:tcPr>
            <w:tcW w:w="0" w:type="pct"/>
            <w:vAlign w:val="center"/>
          </w:tcPr>
          <w:p w14:paraId="03FE107F" w14:textId="5DF15411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111458" w:rsidRPr="003D1887">
              <w:rPr>
                <w:rFonts w:ascii="Arial" w:hAnsi="Arial" w:cs="Arial"/>
                <w:sz w:val="18"/>
                <w:szCs w:val="18"/>
              </w:rPr>
              <w:t>766.67</w:t>
            </w:r>
          </w:p>
        </w:tc>
        <w:tc>
          <w:tcPr>
            <w:tcW w:w="748" w:type="pct"/>
            <w:vAlign w:val="center"/>
          </w:tcPr>
          <w:p w14:paraId="14527136" w14:textId="03E6F0D1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4C5E21" w:rsidRPr="003D1887">
              <w:rPr>
                <w:rFonts w:ascii="Arial" w:hAnsi="Arial" w:cs="Arial"/>
                <w:sz w:val="18"/>
                <w:szCs w:val="18"/>
              </w:rPr>
              <w:t>194.14</w:t>
            </w:r>
          </w:p>
        </w:tc>
      </w:tr>
      <w:tr w:rsidR="001808FA" w:rsidRPr="009F1184" w14:paraId="5B065D54" w14:textId="5A6F93B6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  <w:hideMark/>
          </w:tcPr>
          <w:p w14:paraId="09C3E800" w14:textId="3CB2153E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Family relations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3BA7F21C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11 %</w:t>
            </w:r>
          </w:p>
        </w:tc>
        <w:tc>
          <w:tcPr>
            <w:tcW w:w="0" w:type="pct"/>
            <w:shd w:val="clear" w:color="auto" w:fill="EDEDED" w:themeFill="accent3" w:themeFillTint="33"/>
            <w:noWrap/>
            <w:vAlign w:val="center"/>
            <w:hideMark/>
          </w:tcPr>
          <w:p w14:paraId="34FFF929" w14:textId="2BF6AD57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432.69</w:t>
            </w:r>
          </w:p>
        </w:tc>
        <w:tc>
          <w:tcPr>
            <w:tcW w:w="0" w:type="pct"/>
            <w:vAlign w:val="center"/>
          </w:tcPr>
          <w:p w14:paraId="401AE010" w14:textId="59B744EA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111458" w:rsidRPr="003D1887">
              <w:rPr>
                <w:rFonts w:ascii="Arial" w:hAnsi="Arial" w:cs="Arial"/>
                <w:sz w:val="18"/>
                <w:szCs w:val="18"/>
              </w:rPr>
              <w:t>687.50</w:t>
            </w:r>
          </w:p>
        </w:tc>
        <w:tc>
          <w:tcPr>
            <w:tcW w:w="748" w:type="pct"/>
            <w:vAlign w:val="center"/>
          </w:tcPr>
          <w:p w14:paraId="0582A322" w14:textId="4762AB5F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4C5E21" w:rsidRPr="003D1887">
              <w:rPr>
                <w:rFonts w:ascii="Arial" w:hAnsi="Arial" w:cs="Arial"/>
                <w:sz w:val="18"/>
                <w:szCs w:val="18"/>
              </w:rPr>
              <w:t>199.50</w:t>
            </w:r>
          </w:p>
        </w:tc>
      </w:tr>
      <w:tr w:rsidR="001808FA" w:rsidRPr="009F1184" w14:paraId="40CDE3DA" w14:textId="7B2E12B2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  <w:hideMark/>
          </w:tcPr>
          <w:p w14:paraId="1E374BA4" w14:textId="1E9D0DF4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Intimate life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4A5D8A2D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20 %</w:t>
            </w:r>
          </w:p>
        </w:tc>
        <w:tc>
          <w:tcPr>
            <w:tcW w:w="0" w:type="pct"/>
            <w:shd w:val="clear" w:color="auto" w:fill="EDEDED" w:themeFill="accent3" w:themeFillTint="33"/>
            <w:noWrap/>
            <w:vAlign w:val="center"/>
            <w:hideMark/>
          </w:tcPr>
          <w:p w14:paraId="018AB1A6" w14:textId="25790AEC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468.75</w:t>
            </w:r>
          </w:p>
        </w:tc>
        <w:tc>
          <w:tcPr>
            <w:tcW w:w="0" w:type="pct"/>
            <w:vAlign w:val="center"/>
          </w:tcPr>
          <w:p w14:paraId="79E015FD" w14:textId="7BC2ED85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111458" w:rsidRPr="003D1887">
              <w:rPr>
                <w:rFonts w:ascii="Arial" w:hAnsi="Arial" w:cs="Arial"/>
                <w:sz w:val="18"/>
                <w:szCs w:val="18"/>
              </w:rPr>
              <w:t>629.17</w:t>
            </w:r>
          </w:p>
        </w:tc>
        <w:tc>
          <w:tcPr>
            <w:tcW w:w="748" w:type="pct"/>
            <w:vAlign w:val="center"/>
          </w:tcPr>
          <w:p w14:paraId="31904268" w14:textId="26AC2FB8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4C5E21" w:rsidRPr="003D1887">
              <w:rPr>
                <w:rFonts w:ascii="Arial" w:hAnsi="Arial" w:cs="Arial"/>
                <w:sz w:val="18"/>
                <w:szCs w:val="18"/>
              </w:rPr>
              <w:t>385.42</w:t>
            </w:r>
          </w:p>
        </w:tc>
      </w:tr>
      <w:tr w:rsidR="001808FA" w:rsidRPr="009F1184" w14:paraId="12B11188" w14:textId="0404670F" w:rsidTr="003D188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  <w:hideMark/>
          </w:tcPr>
          <w:p w14:paraId="35AB0507" w14:textId="4B7572F6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Emotional state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7CECB2E2" w14:textId="77777777" w:rsidR="00C70AFD" w:rsidRPr="009F1184" w:rsidRDefault="00C70AFD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42 %</w:t>
            </w:r>
          </w:p>
        </w:tc>
        <w:tc>
          <w:tcPr>
            <w:tcW w:w="0" w:type="pct"/>
            <w:shd w:val="clear" w:color="auto" w:fill="EDEDED" w:themeFill="accent3" w:themeFillTint="33"/>
            <w:noWrap/>
            <w:vAlign w:val="center"/>
            <w:hideMark/>
          </w:tcPr>
          <w:p w14:paraId="1F978409" w14:textId="21FE2D26" w:rsidR="00C70AFD" w:rsidRPr="009F1184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C70AFD" w:rsidRPr="009F1184">
              <w:rPr>
                <w:rFonts w:ascii="Arial" w:hAnsi="Arial" w:cs="Arial"/>
                <w:sz w:val="18"/>
                <w:szCs w:val="18"/>
                <w:lang w:val="en-GB"/>
              </w:rPr>
              <w:t>605.00</w:t>
            </w:r>
          </w:p>
        </w:tc>
        <w:tc>
          <w:tcPr>
            <w:tcW w:w="0" w:type="pct"/>
            <w:vAlign w:val="center"/>
          </w:tcPr>
          <w:p w14:paraId="1B1628F0" w14:textId="158D64A8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111458" w:rsidRPr="003D1887">
              <w:rPr>
                <w:rFonts w:ascii="Arial" w:hAnsi="Arial" w:cs="Arial"/>
                <w:sz w:val="18"/>
                <w:szCs w:val="18"/>
              </w:rPr>
              <w:t>829.17</w:t>
            </w:r>
          </w:p>
        </w:tc>
        <w:tc>
          <w:tcPr>
            <w:tcW w:w="748" w:type="pct"/>
            <w:vAlign w:val="center"/>
          </w:tcPr>
          <w:p w14:paraId="37F24AF8" w14:textId="08810CDD" w:rsidR="00C70AFD" w:rsidRPr="003D1887" w:rsidRDefault="000E36D4" w:rsidP="004C5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</w:t>
            </w:r>
            <w:r w:rsidR="004C5E21" w:rsidRPr="003D1887">
              <w:rPr>
                <w:rFonts w:ascii="Arial" w:hAnsi="Arial" w:cs="Arial"/>
                <w:sz w:val="18"/>
                <w:szCs w:val="18"/>
              </w:rPr>
              <w:t>652.86</w:t>
            </w:r>
          </w:p>
        </w:tc>
      </w:tr>
      <w:tr w:rsidR="000E36D4" w:rsidRPr="009F1184" w14:paraId="463F3649" w14:textId="0B35F5EF" w:rsidTr="000E36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pct"/>
            <w:gridSpan w:val="2"/>
            <w:shd w:val="clear" w:color="auto" w:fill="auto"/>
            <w:noWrap/>
            <w:vAlign w:val="center"/>
          </w:tcPr>
          <w:p w14:paraId="2DFA5417" w14:textId="5C2CEC6E" w:rsidR="00C70AFD" w:rsidRPr="009F1184" w:rsidRDefault="00C70AFD" w:rsidP="004C5E21">
            <w:pPr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Total cost of WTP</w:t>
            </w:r>
          </w:p>
        </w:tc>
        <w:tc>
          <w:tcPr>
            <w:tcW w:w="751" w:type="pct"/>
            <w:shd w:val="clear" w:color="auto" w:fill="auto"/>
          </w:tcPr>
          <w:p w14:paraId="7778CD58" w14:textId="77777777" w:rsidR="00C70AFD" w:rsidRPr="009F1184" w:rsidRDefault="00C70AFD" w:rsidP="00CE014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</w:pPr>
            <w:r w:rsidRPr="009F1184">
              <w:rPr>
                <w:rFonts w:ascii="Arial" w:eastAsia="Times New Roman" w:hAnsi="Arial" w:cs="Arial"/>
                <w:sz w:val="18"/>
                <w:szCs w:val="18"/>
                <w:lang w:val="en-GB" w:eastAsia="es-ES"/>
              </w:rPr>
              <w:t>--</w:t>
            </w:r>
          </w:p>
        </w:tc>
        <w:tc>
          <w:tcPr>
            <w:tcW w:w="750" w:type="pct"/>
            <w:shd w:val="clear" w:color="auto" w:fill="EDEDED" w:themeFill="accent3" w:themeFillTint="33"/>
            <w:noWrap/>
            <w:vAlign w:val="center"/>
          </w:tcPr>
          <w:p w14:paraId="706AA4BF" w14:textId="732E34B9" w:rsidR="00C70AFD" w:rsidRPr="009F1184" w:rsidRDefault="00C70AFD" w:rsidP="004C5E2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F1184">
              <w:rPr>
                <w:rFonts w:ascii="Arial" w:hAnsi="Arial" w:cs="Arial"/>
                <w:sz w:val="18"/>
                <w:szCs w:val="18"/>
                <w:lang w:val="en-GB"/>
              </w:rPr>
              <w:t>1,728.13 €</w:t>
            </w:r>
          </w:p>
        </w:tc>
        <w:tc>
          <w:tcPr>
            <w:tcW w:w="749" w:type="pct"/>
            <w:vAlign w:val="center"/>
          </w:tcPr>
          <w:p w14:paraId="49D51BA1" w14:textId="535099E3" w:rsidR="00C70AFD" w:rsidRPr="009F1184" w:rsidRDefault="00284193" w:rsidP="000E36D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€2,733.19</w:t>
            </w:r>
          </w:p>
        </w:tc>
        <w:tc>
          <w:tcPr>
            <w:tcW w:w="748" w:type="pct"/>
            <w:vAlign w:val="center"/>
          </w:tcPr>
          <w:p w14:paraId="30287FE8" w14:textId="77883F7F" w:rsidR="00C70AFD" w:rsidRPr="009F1184" w:rsidRDefault="00284193" w:rsidP="000E36D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€1,501.49</w:t>
            </w:r>
          </w:p>
        </w:tc>
      </w:tr>
    </w:tbl>
    <w:p w14:paraId="295C30AE" w14:textId="6CE4011F" w:rsidR="00EC6173" w:rsidRPr="00C7141A" w:rsidRDefault="002C1A4B">
      <w:pPr>
        <w:rPr>
          <w:rFonts w:ascii="Arial" w:hAnsi="Arial" w:cs="Arial"/>
          <w:sz w:val="18"/>
          <w:szCs w:val="18"/>
          <w:lang w:val="en-GB"/>
        </w:rPr>
      </w:pPr>
      <w:r w:rsidRPr="003D1887">
        <w:rPr>
          <w:rFonts w:ascii="Arial" w:hAnsi="Arial" w:cs="Arial"/>
          <w:sz w:val="18"/>
          <w:szCs w:val="18"/>
          <w:vertAlign w:val="superscript"/>
          <w:lang w:val="en-GB"/>
        </w:rPr>
        <w:t>a</w:t>
      </w:r>
      <w:r w:rsidR="0040082D" w:rsidRPr="006F6370">
        <w:rPr>
          <w:rFonts w:ascii="Arial" w:hAnsi="Arial" w:cs="Arial"/>
          <w:sz w:val="18"/>
          <w:szCs w:val="18"/>
          <w:lang w:val="en-GB"/>
        </w:rPr>
        <w:t>Cost weighted to the proportion of patients showing impairment in each domain</w:t>
      </w:r>
      <w:r w:rsidR="0053103C">
        <w:rPr>
          <w:rFonts w:ascii="Arial" w:hAnsi="Arial" w:cs="Arial"/>
          <w:sz w:val="18"/>
          <w:szCs w:val="18"/>
          <w:lang w:val="en-GB"/>
        </w:rPr>
        <w:t xml:space="preserve">. </w:t>
      </w:r>
      <w:r w:rsidR="00B06BFB">
        <w:rPr>
          <w:rFonts w:ascii="Arial" w:hAnsi="Arial" w:cs="Arial"/>
          <w:sz w:val="18"/>
          <w:szCs w:val="18"/>
          <w:lang w:val="en-GB"/>
        </w:rPr>
        <w:t>To avoid cost overestimation, a</w:t>
      </w:r>
      <w:r w:rsidR="00724A31">
        <w:rPr>
          <w:rFonts w:ascii="Arial" w:hAnsi="Arial" w:cs="Arial"/>
          <w:sz w:val="18"/>
          <w:szCs w:val="18"/>
          <w:lang w:val="en-GB"/>
        </w:rPr>
        <w:t xml:space="preserve"> 50% correction</w:t>
      </w:r>
      <w:r w:rsidR="00E474A9">
        <w:rPr>
          <w:rFonts w:ascii="Arial" w:hAnsi="Arial" w:cs="Arial"/>
          <w:sz w:val="18"/>
          <w:szCs w:val="18"/>
          <w:lang w:val="en-GB"/>
        </w:rPr>
        <w:t xml:space="preserve"> was </w:t>
      </w:r>
      <w:r w:rsidR="00656C8A">
        <w:rPr>
          <w:rFonts w:ascii="Arial" w:hAnsi="Arial" w:cs="Arial"/>
          <w:sz w:val="18"/>
          <w:szCs w:val="18"/>
          <w:lang w:val="en-GB"/>
        </w:rPr>
        <w:t xml:space="preserve">applied to the WTP value </w:t>
      </w:r>
      <w:r w:rsidR="00C752E8">
        <w:rPr>
          <w:rFonts w:ascii="Arial" w:hAnsi="Arial" w:cs="Arial"/>
          <w:sz w:val="18"/>
          <w:szCs w:val="18"/>
          <w:lang w:val="en-GB"/>
        </w:rPr>
        <w:t xml:space="preserve">of each domain </w:t>
      </w:r>
      <w:r w:rsidR="00656C8A">
        <w:rPr>
          <w:rFonts w:ascii="Arial" w:hAnsi="Arial" w:cs="Arial"/>
          <w:sz w:val="18"/>
          <w:szCs w:val="18"/>
          <w:lang w:val="en-GB"/>
        </w:rPr>
        <w:t>assigned by patients</w:t>
      </w:r>
      <w:r w:rsidR="00E474A9">
        <w:rPr>
          <w:rFonts w:ascii="Arial" w:hAnsi="Arial" w:cs="Arial"/>
          <w:sz w:val="18"/>
          <w:szCs w:val="18"/>
          <w:lang w:val="en-GB"/>
        </w:rPr>
        <w:t xml:space="preserve"> to discount the </w:t>
      </w:r>
      <w:r w:rsidR="004811E9" w:rsidRPr="004811E9">
        <w:rPr>
          <w:rFonts w:ascii="Arial" w:hAnsi="Arial" w:cs="Arial"/>
          <w:sz w:val="18"/>
          <w:szCs w:val="18"/>
          <w:lang w:val="en-GB"/>
        </w:rPr>
        <w:t xml:space="preserve">possible influence of the improvement of other domains </w:t>
      </w:r>
      <w:r w:rsidR="00E469A3">
        <w:rPr>
          <w:rFonts w:ascii="Arial" w:hAnsi="Arial" w:cs="Arial"/>
          <w:sz w:val="18"/>
          <w:szCs w:val="18"/>
          <w:lang w:val="en-GB"/>
        </w:rPr>
        <w:t>on that specific domain.</w:t>
      </w:r>
      <w:r w:rsidR="00E474A9">
        <w:rPr>
          <w:rFonts w:ascii="Arial" w:hAnsi="Arial" w:cs="Arial"/>
          <w:sz w:val="18"/>
          <w:szCs w:val="18"/>
          <w:lang w:val="en-GB"/>
        </w:rPr>
        <w:t xml:space="preserve"> </w:t>
      </w:r>
      <w:r w:rsidR="00EC6173" w:rsidRPr="00412C46">
        <w:rPr>
          <w:rFonts w:ascii="Arial" w:eastAsia="Times New Roman" w:hAnsi="Arial" w:cs="Arial"/>
          <w:sz w:val="18"/>
          <w:szCs w:val="18"/>
          <w:vertAlign w:val="superscript"/>
          <w:lang w:val="en-GB" w:eastAsia="es-ES"/>
        </w:rPr>
        <w:t>b</w:t>
      </w:r>
      <w:r w:rsidR="00C7141A">
        <w:rPr>
          <w:rFonts w:ascii="Arial" w:eastAsia="Times New Roman" w:hAnsi="Arial" w:cs="Arial"/>
          <w:sz w:val="18"/>
          <w:szCs w:val="18"/>
          <w:lang w:val="en-GB" w:eastAsia="es-ES"/>
        </w:rPr>
        <w:t xml:space="preserve">All patients considered, without applying any correction. </w:t>
      </w:r>
      <w:r w:rsidR="00C7141A" w:rsidRPr="003D1887">
        <w:rPr>
          <w:rFonts w:ascii="Arial" w:eastAsia="Times New Roman" w:hAnsi="Arial" w:cs="Arial"/>
          <w:sz w:val="18"/>
          <w:szCs w:val="18"/>
          <w:vertAlign w:val="superscript"/>
          <w:lang w:val="en-GB" w:eastAsia="es-ES"/>
        </w:rPr>
        <w:t>c</w:t>
      </w:r>
      <w:r w:rsidR="008965F3">
        <w:rPr>
          <w:rFonts w:ascii="Arial" w:eastAsia="Times New Roman" w:hAnsi="Arial" w:cs="Arial"/>
          <w:sz w:val="18"/>
          <w:szCs w:val="18"/>
          <w:lang w:val="en-GB" w:eastAsia="es-ES"/>
        </w:rPr>
        <w:t xml:space="preserve">WTP of patients showing impairment in each domain minus </w:t>
      </w:r>
      <w:r w:rsidR="00632A70">
        <w:rPr>
          <w:rFonts w:ascii="Arial" w:eastAsia="Times New Roman" w:hAnsi="Arial" w:cs="Arial"/>
          <w:sz w:val="18"/>
          <w:szCs w:val="18"/>
          <w:lang w:val="en-GB" w:eastAsia="es-ES"/>
        </w:rPr>
        <w:t>WTP of patients not showing impairment on that domain.</w:t>
      </w:r>
    </w:p>
    <w:p w14:paraId="070353C7" w14:textId="77777777" w:rsidR="00767E85" w:rsidRPr="006F6370" w:rsidRDefault="00767E85">
      <w:pPr>
        <w:rPr>
          <w:rFonts w:ascii="Arial" w:hAnsi="Arial" w:cs="Arial"/>
          <w:sz w:val="18"/>
          <w:szCs w:val="18"/>
          <w:lang w:val="en-GB"/>
        </w:rPr>
      </w:pPr>
      <w:r w:rsidRPr="006F6370">
        <w:rPr>
          <w:rFonts w:ascii="Arial" w:hAnsi="Arial" w:cs="Arial"/>
          <w:sz w:val="18"/>
          <w:szCs w:val="18"/>
          <w:lang w:val="en-GB"/>
        </w:rPr>
        <w:br w:type="page"/>
      </w:r>
    </w:p>
    <w:p w14:paraId="25B1AD38" w14:textId="11F2569C" w:rsidR="00767E85" w:rsidRPr="006F6370" w:rsidRDefault="00767E85" w:rsidP="00767E85">
      <w:pPr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6F6370">
        <w:rPr>
          <w:rFonts w:ascii="Arial" w:eastAsia="Calibri" w:hAnsi="Arial" w:cs="Arial"/>
          <w:b/>
          <w:sz w:val="24"/>
          <w:szCs w:val="24"/>
          <w:lang w:val="en-GB"/>
        </w:rPr>
        <w:lastRenderedPageBreak/>
        <w:t xml:space="preserve">Supplementary Table </w:t>
      </w:r>
      <w:r w:rsidR="00B9066D" w:rsidRPr="006F6370">
        <w:rPr>
          <w:rFonts w:ascii="Arial" w:eastAsia="Calibri" w:hAnsi="Arial" w:cs="Arial"/>
          <w:b/>
          <w:sz w:val="24"/>
          <w:szCs w:val="24"/>
          <w:lang w:val="en-GB"/>
        </w:rPr>
        <w:t>5</w:t>
      </w:r>
      <w:r w:rsidRPr="006F6370">
        <w:rPr>
          <w:rFonts w:ascii="Arial" w:eastAsia="Calibri" w:hAnsi="Arial" w:cs="Arial"/>
          <w:bCs/>
          <w:sz w:val="24"/>
          <w:szCs w:val="24"/>
          <w:lang w:val="en-GB"/>
        </w:rPr>
        <w:t>.</w:t>
      </w:r>
      <w:r w:rsidRPr="006F6370">
        <w:rPr>
          <w:rFonts w:ascii="Arial" w:hAnsi="Arial" w:cs="Arial"/>
          <w:lang w:val="en-GB"/>
        </w:rPr>
        <w:t xml:space="preserve"> </w:t>
      </w:r>
      <w:r w:rsidR="00B9066D" w:rsidRPr="006F6370">
        <w:rPr>
          <w:rFonts w:ascii="Arial" w:eastAsia="Calibri" w:hAnsi="Arial" w:cs="Arial"/>
          <w:bCs/>
          <w:sz w:val="24"/>
          <w:szCs w:val="24"/>
          <w:lang w:val="en-GB"/>
        </w:rPr>
        <w:t>SROI results</w:t>
      </w:r>
      <w:r w:rsidR="00516EBD"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: overall and </w:t>
      </w:r>
      <w:r w:rsidR="001365CC" w:rsidRPr="006F6370">
        <w:rPr>
          <w:rFonts w:ascii="Arial" w:eastAsia="Calibri" w:hAnsi="Arial" w:cs="Arial"/>
          <w:bCs/>
          <w:sz w:val="24"/>
          <w:szCs w:val="24"/>
          <w:lang w:val="en-GB"/>
        </w:rPr>
        <w:t xml:space="preserve">broken down </w:t>
      </w:r>
      <w:r w:rsidR="00516EBD" w:rsidRPr="006F6370">
        <w:rPr>
          <w:rFonts w:ascii="Arial" w:eastAsia="Calibri" w:hAnsi="Arial" w:cs="Arial"/>
          <w:bCs/>
          <w:sz w:val="24"/>
          <w:szCs w:val="24"/>
          <w:lang w:val="en-GB"/>
        </w:rPr>
        <w:t>per action for all scenarios considered.</w:t>
      </w:r>
    </w:p>
    <w:tbl>
      <w:tblPr>
        <w:tblStyle w:val="GridTable4"/>
        <w:tblW w:w="8642" w:type="dxa"/>
        <w:tblLook w:val="0420" w:firstRow="1" w:lastRow="0" w:firstColumn="0" w:lastColumn="0" w:noHBand="0" w:noVBand="1"/>
      </w:tblPr>
      <w:tblGrid>
        <w:gridCol w:w="3681"/>
        <w:gridCol w:w="2410"/>
        <w:gridCol w:w="2551"/>
      </w:tblGrid>
      <w:tr w:rsidR="00767E85" w:rsidRPr="003D1887" w14:paraId="33EF4C58" w14:textId="77777777" w:rsidTr="00CE0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tcW w:w="3681" w:type="dxa"/>
            <w:hideMark/>
          </w:tcPr>
          <w:p w14:paraId="2C4F1277" w14:textId="5EB7848C" w:rsidR="00767E85" w:rsidRPr="006F6370" w:rsidRDefault="007469AB" w:rsidP="00CE014D">
            <w:pPr>
              <w:spacing w:before="120" w:after="120"/>
              <w:rPr>
                <w:rFonts w:ascii="Arial" w:eastAsia="Times New Roman" w:hAnsi="Arial" w:cs="Arial"/>
                <w:color w:val="auto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>Scenario</w:t>
            </w:r>
          </w:p>
        </w:tc>
        <w:tc>
          <w:tcPr>
            <w:tcW w:w="2410" w:type="dxa"/>
            <w:hideMark/>
          </w:tcPr>
          <w:p w14:paraId="70841FE4" w14:textId="7EC8F3E0" w:rsidR="00767E85" w:rsidRPr="006F6370" w:rsidRDefault="007469AB" w:rsidP="00CE014D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 xml:space="preserve">Global </w:t>
            </w:r>
            <w:r w:rsidR="00767E85"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 xml:space="preserve">SROI </w:t>
            </w:r>
          </w:p>
          <w:p w14:paraId="17C864AB" w14:textId="45E88F5A" w:rsidR="00767E85" w:rsidRPr="006F6370" w:rsidRDefault="00406B7D" w:rsidP="00CE014D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>(</w:t>
            </w:r>
            <w:r w:rsidR="00220D93"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>Return</w:t>
            </w: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 xml:space="preserve"> per €1 invested)</w:t>
            </w:r>
          </w:p>
        </w:tc>
        <w:tc>
          <w:tcPr>
            <w:tcW w:w="2551" w:type="dxa"/>
            <w:hideMark/>
          </w:tcPr>
          <w:p w14:paraId="7DCAAAE4" w14:textId="0EC5D30A" w:rsidR="00767E85" w:rsidRPr="006F6370" w:rsidRDefault="00767E85" w:rsidP="00CE014D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 xml:space="preserve">SROI </w:t>
            </w:r>
            <w:r w:rsidR="007469AB"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>by</w:t>
            </w: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 xml:space="preserve"> </w:t>
            </w:r>
            <w:r w:rsidR="00220D93"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>actions</w:t>
            </w:r>
          </w:p>
          <w:p w14:paraId="630AE490" w14:textId="1FD8FE84" w:rsidR="00767E85" w:rsidRPr="006F6370" w:rsidRDefault="00406B7D" w:rsidP="00CE014D">
            <w:pPr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>(</w:t>
            </w:r>
            <w:r w:rsidR="00220D93"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>Return</w:t>
            </w:r>
            <w:r w:rsidRPr="006F6370">
              <w:rPr>
                <w:rFonts w:ascii="Arial" w:eastAsia="Times New Roman" w:hAnsi="Arial" w:cs="Arial"/>
                <w:color w:val="FFFFFF"/>
                <w:kern w:val="24"/>
                <w:sz w:val="18"/>
                <w:szCs w:val="18"/>
                <w:lang w:val="en-GB" w:eastAsia="es-ES"/>
              </w:rPr>
              <w:t xml:space="preserve"> per €1 invested)</w:t>
            </w:r>
          </w:p>
        </w:tc>
      </w:tr>
      <w:tr w:rsidR="00286B7D" w:rsidRPr="006F6370" w14:paraId="2B3FBF28" w14:textId="77777777" w:rsidTr="00CE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tcW w:w="3681" w:type="dxa"/>
          </w:tcPr>
          <w:p w14:paraId="10E9B461" w14:textId="0D899771" w:rsidR="00286B7D" w:rsidRPr="00B9747B" w:rsidRDefault="00650D3B" w:rsidP="00286B7D">
            <w:pPr>
              <w:spacing w:before="120" w:after="120"/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</w:pPr>
            <w:r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B</w:t>
            </w:r>
            <w:r w:rsidR="000950C0" w:rsidRPr="00B9747B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ase</w:t>
            </w:r>
            <w:r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-case</w:t>
            </w:r>
            <w:r w:rsidR="00E61F9E" w:rsidRPr="00B9747B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 xml:space="preserve">: </w:t>
            </w:r>
            <w:r w:rsidR="00E61F9E" w:rsidRPr="00B9747B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social perspective and 1-year horizon</w:t>
            </w:r>
          </w:p>
        </w:tc>
        <w:tc>
          <w:tcPr>
            <w:tcW w:w="2410" w:type="dxa"/>
          </w:tcPr>
          <w:p w14:paraId="70B9AD60" w14:textId="16E16368" w:rsidR="00286B7D" w:rsidRPr="006F6370" w:rsidRDefault="00286B7D" w:rsidP="00286B7D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22.15</w:t>
            </w:r>
          </w:p>
        </w:tc>
        <w:tc>
          <w:tcPr>
            <w:tcW w:w="2551" w:type="dxa"/>
          </w:tcPr>
          <w:p w14:paraId="5FAF50BD" w14:textId="77777777" w:rsidR="00286B7D" w:rsidRPr="006F6370" w:rsidRDefault="00286B7D" w:rsidP="00286B7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1: 28.69</w:t>
            </w:r>
          </w:p>
          <w:p w14:paraId="63B95932" w14:textId="77777777" w:rsidR="00286B7D" w:rsidRPr="006F6370" w:rsidRDefault="00286B7D" w:rsidP="00286B7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2: 23.14</w:t>
            </w:r>
          </w:p>
          <w:p w14:paraId="589FBAA4" w14:textId="77777777" w:rsidR="00286B7D" w:rsidRPr="006F6370" w:rsidRDefault="00286B7D" w:rsidP="00286B7D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3: 24.29</w:t>
            </w:r>
          </w:p>
          <w:p w14:paraId="1E3D284C" w14:textId="02C7F980" w:rsidR="00286B7D" w:rsidRPr="006F6370" w:rsidRDefault="00286B7D" w:rsidP="00286B7D">
            <w:pPr>
              <w:jc w:val="center"/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Times New Roman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4: 10.70</w:t>
            </w:r>
          </w:p>
        </w:tc>
      </w:tr>
      <w:tr w:rsidR="000950C0" w:rsidRPr="006F6370" w14:paraId="59F839FC" w14:textId="77777777" w:rsidTr="00CE014D">
        <w:trPr>
          <w:trHeight w:val="1128"/>
        </w:trPr>
        <w:tc>
          <w:tcPr>
            <w:tcW w:w="3681" w:type="dxa"/>
          </w:tcPr>
          <w:p w14:paraId="237E9768" w14:textId="5F7140FE" w:rsidR="000950C0" w:rsidRPr="00B9747B" w:rsidRDefault="000950C0" w:rsidP="000950C0">
            <w:pPr>
              <w:spacing w:before="120" w:after="120"/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B9747B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Alternative scenario 1</w:t>
            </w:r>
            <w:r w:rsidRPr="00B9747B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: SHNS perspective and 1-year horizon</w:t>
            </w:r>
          </w:p>
        </w:tc>
        <w:tc>
          <w:tcPr>
            <w:tcW w:w="2410" w:type="dxa"/>
          </w:tcPr>
          <w:p w14:paraId="4A833531" w14:textId="719E87BC" w:rsidR="000950C0" w:rsidRPr="006F6370" w:rsidRDefault="000950C0" w:rsidP="000950C0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8.33</w:t>
            </w:r>
          </w:p>
        </w:tc>
        <w:tc>
          <w:tcPr>
            <w:tcW w:w="2551" w:type="dxa"/>
          </w:tcPr>
          <w:p w14:paraId="69CA1B8C" w14:textId="77777777" w:rsidR="000950C0" w:rsidRPr="006F6370" w:rsidRDefault="000950C0" w:rsidP="000950C0">
            <w:pPr>
              <w:jc w:val="center"/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1: 9.99</w:t>
            </w:r>
          </w:p>
          <w:p w14:paraId="098FCB90" w14:textId="77777777" w:rsidR="000950C0" w:rsidRPr="006F6370" w:rsidRDefault="000950C0" w:rsidP="000950C0">
            <w:pPr>
              <w:jc w:val="center"/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2: 9.39</w:t>
            </w:r>
          </w:p>
          <w:p w14:paraId="6C8116E5" w14:textId="77777777" w:rsidR="000950C0" w:rsidRPr="006F6370" w:rsidRDefault="000950C0" w:rsidP="000950C0">
            <w:pPr>
              <w:jc w:val="center"/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3: 8.45</w:t>
            </w:r>
          </w:p>
          <w:p w14:paraId="269C6C6C" w14:textId="2F584940" w:rsidR="000950C0" w:rsidRPr="006F6370" w:rsidRDefault="000950C0" w:rsidP="000950C0">
            <w:pPr>
              <w:jc w:val="center"/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4: 3.79</w:t>
            </w:r>
          </w:p>
        </w:tc>
      </w:tr>
      <w:tr w:rsidR="000950C0" w:rsidRPr="006F6370" w14:paraId="12C94E8C" w14:textId="77777777" w:rsidTr="00CE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tcW w:w="3681" w:type="dxa"/>
          </w:tcPr>
          <w:p w14:paraId="704475E1" w14:textId="2E6277E9" w:rsidR="000950C0" w:rsidRPr="00B9747B" w:rsidRDefault="000950C0" w:rsidP="000950C0">
            <w:pPr>
              <w:spacing w:before="120" w:after="120"/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B9747B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Alternative scenario 2</w:t>
            </w:r>
            <w:r w:rsidRPr="00B9747B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: social perspective and 3-year horizon</w:t>
            </w:r>
          </w:p>
        </w:tc>
        <w:tc>
          <w:tcPr>
            <w:tcW w:w="2410" w:type="dxa"/>
          </w:tcPr>
          <w:p w14:paraId="0D6B2D2E" w14:textId="20251EC2" w:rsidR="000950C0" w:rsidRPr="006F6370" w:rsidRDefault="000950C0" w:rsidP="000950C0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32.23</w:t>
            </w:r>
          </w:p>
        </w:tc>
        <w:tc>
          <w:tcPr>
            <w:tcW w:w="2551" w:type="dxa"/>
          </w:tcPr>
          <w:p w14:paraId="4B19C295" w14:textId="77777777" w:rsidR="000950C0" w:rsidRPr="006F6370" w:rsidRDefault="000950C0" w:rsidP="000950C0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1: 40.35</w:t>
            </w:r>
          </w:p>
          <w:p w14:paraId="364A9A42" w14:textId="77777777" w:rsidR="000950C0" w:rsidRPr="006F6370" w:rsidRDefault="000950C0" w:rsidP="000950C0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2: 34.84</w:t>
            </w:r>
          </w:p>
          <w:p w14:paraId="670C9E6E" w14:textId="77777777" w:rsidR="000950C0" w:rsidRPr="006F6370" w:rsidRDefault="000950C0" w:rsidP="000950C0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3: 34.12</w:t>
            </w:r>
          </w:p>
          <w:p w14:paraId="5D5B4DEC" w14:textId="6A26D499" w:rsidR="000950C0" w:rsidRPr="006F6370" w:rsidRDefault="000950C0" w:rsidP="000950C0">
            <w:pPr>
              <w:jc w:val="center"/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4: 15.18</w:t>
            </w:r>
          </w:p>
        </w:tc>
      </w:tr>
      <w:tr w:rsidR="000950C0" w:rsidRPr="006F6370" w14:paraId="05B321C0" w14:textId="77777777" w:rsidTr="00CE014D">
        <w:trPr>
          <w:trHeight w:val="1128"/>
        </w:trPr>
        <w:tc>
          <w:tcPr>
            <w:tcW w:w="3681" w:type="dxa"/>
          </w:tcPr>
          <w:p w14:paraId="4FD71558" w14:textId="11782506" w:rsidR="000950C0" w:rsidRPr="00B9747B" w:rsidRDefault="000950C0" w:rsidP="000950C0">
            <w:pPr>
              <w:spacing w:before="120" w:after="120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B9747B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Alternative scenario 3</w:t>
            </w:r>
            <w:r w:rsidRPr="00B9747B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: SHNS perspective and 3-year horizon</w:t>
            </w:r>
          </w:p>
        </w:tc>
        <w:tc>
          <w:tcPr>
            <w:tcW w:w="2410" w:type="dxa"/>
          </w:tcPr>
          <w:p w14:paraId="095AAB90" w14:textId="04DD18EC" w:rsidR="000950C0" w:rsidRPr="006F6370" w:rsidRDefault="000950C0" w:rsidP="000950C0">
            <w:pPr>
              <w:spacing w:before="120" w:after="120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b/>
                <w:bCs/>
                <w:color w:val="595959"/>
                <w:kern w:val="24"/>
                <w:sz w:val="20"/>
                <w:szCs w:val="20"/>
                <w:lang w:val="en-GB" w:eastAsia="es-ES"/>
              </w:rPr>
              <w:t>6.61</w:t>
            </w:r>
          </w:p>
        </w:tc>
        <w:tc>
          <w:tcPr>
            <w:tcW w:w="2551" w:type="dxa"/>
          </w:tcPr>
          <w:p w14:paraId="3111DB0B" w14:textId="77777777" w:rsidR="000950C0" w:rsidRPr="006F6370" w:rsidRDefault="000950C0" w:rsidP="000950C0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1: 7.86</w:t>
            </w:r>
          </w:p>
          <w:p w14:paraId="150D0F83" w14:textId="77777777" w:rsidR="000950C0" w:rsidRPr="006F6370" w:rsidRDefault="000950C0" w:rsidP="000950C0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2: 7.43</w:t>
            </w:r>
          </w:p>
          <w:p w14:paraId="3118D840" w14:textId="77777777" w:rsidR="000950C0" w:rsidRPr="006F6370" w:rsidRDefault="000950C0" w:rsidP="000950C0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3: 6.59</w:t>
            </w:r>
          </w:p>
          <w:p w14:paraId="29BE5442" w14:textId="212CE9EA" w:rsidR="000950C0" w:rsidRPr="006F6370" w:rsidRDefault="000950C0" w:rsidP="000950C0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s-ES"/>
              </w:rPr>
            </w:pPr>
            <w:r w:rsidRPr="006F6370">
              <w:rPr>
                <w:rFonts w:ascii="Arial" w:eastAsia="Arial" w:hAnsi="Arial" w:cs="Arial"/>
                <w:color w:val="595959"/>
                <w:kern w:val="24"/>
                <w:sz w:val="20"/>
                <w:szCs w:val="20"/>
                <w:lang w:val="en-GB" w:eastAsia="es-ES"/>
              </w:rPr>
              <w:t>Action 4: 3.16</w:t>
            </w:r>
          </w:p>
        </w:tc>
      </w:tr>
    </w:tbl>
    <w:p w14:paraId="0B8D7CE0" w14:textId="77777777" w:rsidR="00615D73" w:rsidRDefault="001C212F" w:rsidP="002C67E2">
      <w:pPr>
        <w:rPr>
          <w:rFonts w:ascii="Arial" w:hAnsi="Arial" w:cs="Arial"/>
          <w:sz w:val="18"/>
          <w:szCs w:val="18"/>
          <w:lang w:val="en-GB"/>
        </w:rPr>
      </w:pPr>
      <w:r w:rsidRPr="006F6370">
        <w:rPr>
          <w:rFonts w:ascii="Arial" w:hAnsi="Arial" w:cs="Arial"/>
          <w:sz w:val="18"/>
          <w:szCs w:val="18"/>
          <w:lang w:val="en-GB"/>
        </w:rPr>
        <w:t>SHNS: Spanish Health National System; SROI: social return on investment.</w:t>
      </w:r>
    </w:p>
    <w:p w14:paraId="6288BA72" w14:textId="77777777" w:rsidR="00615D73" w:rsidRDefault="00615D73" w:rsidP="00EB572E">
      <w:pPr>
        <w:ind w:left="3119"/>
        <w:rPr>
          <w:rFonts w:ascii="Arial" w:hAnsi="Arial" w:cs="Arial"/>
          <w:sz w:val="18"/>
          <w:szCs w:val="18"/>
          <w:lang w:val="en-GB"/>
        </w:rPr>
      </w:pPr>
    </w:p>
    <w:p w14:paraId="09145A6C" w14:textId="77777777" w:rsidR="0053103C" w:rsidRDefault="0053103C" w:rsidP="00EB572E">
      <w:pPr>
        <w:ind w:left="3119"/>
        <w:rPr>
          <w:rFonts w:ascii="Arial" w:hAnsi="Arial" w:cs="Arial"/>
          <w:sz w:val="18"/>
          <w:szCs w:val="18"/>
          <w:lang w:val="en-GB"/>
        </w:rPr>
      </w:pPr>
    </w:p>
    <w:p w14:paraId="38797F6A" w14:textId="77777777" w:rsidR="00C003DE" w:rsidRDefault="00C003DE" w:rsidP="00EB572E">
      <w:pPr>
        <w:ind w:left="3119"/>
        <w:rPr>
          <w:rFonts w:ascii="Arial" w:hAnsi="Arial" w:cs="Arial"/>
          <w:sz w:val="18"/>
          <w:szCs w:val="18"/>
          <w:lang w:val="en-GB"/>
        </w:rPr>
      </w:pPr>
    </w:p>
    <w:p w14:paraId="76E283AC" w14:textId="27E9507A" w:rsidR="00800ACF" w:rsidRPr="006F6370" w:rsidRDefault="00800ACF" w:rsidP="00EB572E">
      <w:pPr>
        <w:ind w:left="3119"/>
        <w:rPr>
          <w:rFonts w:ascii="Arial" w:hAnsi="Arial" w:cs="Arial"/>
          <w:sz w:val="18"/>
          <w:szCs w:val="18"/>
          <w:lang w:val="en-GB"/>
        </w:rPr>
      </w:pPr>
    </w:p>
    <w:sectPr w:rsidR="00800ACF" w:rsidRPr="006F6370" w:rsidSect="000A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3C8FD" w14:textId="77777777" w:rsidR="00BD58C8" w:rsidRDefault="00BD58C8" w:rsidP="00861274">
      <w:pPr>
        <w:spacing w:after="0" w:line="240" w:lineRule="auto"/>
      </w:pPr>
      <w:r>
        <w:separator/>
      </w:r>
    </w:p>
  </w:endnote>
  <w:endnote w:type="continuationSeparator" w:id="0">
    <w:p w14:paraId="23CA63CD" w14:textId="77777777" w:rsidR="00BD58C8" w:rsidRDefault="00BD58C8" w:rsidP="0086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21002" w14:textId="534BEA2C" w:rsidR="00166548" w:rsidRDefault="001665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638D73" wp14:editId="1FA640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653309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77C10" w14:textId="3DDF7B28" w:rsidR="00166548" w:rsidRPr="00166548" w:rsidRDefault="00166548" w:rsidP="0016654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65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8D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7777C10" w14:textId="3DDF7B28" w:rsidR="00166548" w:rsidRPr="00166548" w:rsidRDefault="00166548" w:rsidP="0016654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65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E9AE4" w14:textId="667E0932" w:rsidR="00C83013" w:rsidRDefault="001665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33B86E" wp14:editId="56D7E37E">
              <wp:simplePos x="10795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489944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5BED6" w14:textId="0D36CC92" w:rsidR="00166548" w:rsidRPr="00166548" w:rsidRDefault="00166548" w:rsidP="0016654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65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B8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0C5BED6" w14:textId="0D36CC92" w:rsidR="00166548" w:rsidRPr="00166548" w:rsidRDefault="00166548" w:rsidP="0016654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65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68073427"/>
        <w:docPartObj>
          <w:docPartGallery w:val="Page Numbers (Bottom of Page)"/>
          <w:docPartUnique/>
        </w:docPartObj>
      </w:sdtPr>
      <w:sdtEndPr/>
      <w:sdtContent>
        <w:r w:rsidR="00C83013">
          <w:fldChar w:fldCharType="begin"/>
        </w:r>
        <w:r w:rsidR="00C83013">
          <w:instrText>PAGE   \* MERGEFORMAT</w:instrText>
        </w:r>
        <w:r w:rsidR="00C83013">
          <w:fldChar w:fldCharType="separate"/>
        </w:r>
        <w:r w:rsidR="00C83013">
          <w:t>2</w:t>
        </w:r>
        <w:r w:rsidR="00C83013">
          <w:fldChar w:fldCharType="end"/>
        </w:r>
      </w:sdtContent>
    </w:sdt>
  </w:p>
  <w:p w14:paraId="223CF486" w14:textId="77777777" w:rsidR="00C83013" w:rsidRDefault="00C83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F7C3" w14:textId="7C5B0470" w:rsidR="00166548" w:rsidRDefault="001665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C63180" wp14:editId="3E6ACB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26363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15721" w14:textId="70F830F4" w:rsidR="00166548" w:rsidRPr="00166548" w:rsidRDefault="00166548" w:rsidP="0016654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65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631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4815721" w14:textId="70F830F4" w:rsidR="00166548" w:rsidRPr="00166548" w:rsidRDefault="00166548" w:rsidP="0016654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65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5CD7" w14:textId="097A7B5F" w:rsidR="00166548" w:rsidRDefault="001665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ADBB145" wp14:editId="275893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05734542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07005" w14:textId="72062C48" w:rsidR="00166548" w:rsidRPr="00166548" w:rsidRDefault="00166548" w:rsidP="0016654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65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BB1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formation Classification: General" style="position:absolute;margin-left:0;margin-top:0;width:164.25pt;height:26.4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BF07005" w14:textId="72062C48" w:rsidR="00166548" w:rsidRPr="00166548" w:rsidRDefault="00166548" w:rsidP="0016654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65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B5FC" w14:textId="54ED6D22" w:rsidR="00166548" w:rsidRDefault="001665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80A74A" wp14:editId="18CB463D">
              <wp:simplePos x="1079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15955822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AB799" w14:textId="30822414" w:rsidR="00166548" w:rsidRPr="00166548" w:rsidRDefault="00166548" w:rsidP="0016654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65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0A7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formation Classification: General" style="position:absolute;margin-left:0;margin-top:0;width:164.25pt;height:26.4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E9AB799" w14:textId="30822414" w:rsidR="00166548" w:rsidRPr="00166548" w:rsidRDefault="00166548" w:rsidP="0016654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65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FB02" w14:textId="3DDF0EEB" w:rsidR="00166548" w:rsidRDefault="001665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14C1228" wp14:editId="38CAEF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82916443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A26AE" w14:textId="4E7AA518" w:rsidR="00166548" w:rsidRPr="00166548" w:rsidRDefault="00166548" w:rsidP="0016654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65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C12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formation Classification: General" style="position:absolute;margin-left:0;margin-top:0;width:164.25pt;height:26.4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Bd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tsPo5fQX3CrRwMhHvLNy223jIfnplDhnER&#10;VG14wkMq6EoKZ4uSBtyPv/ljPgKPUUo6VExJDUqaEvXNICGz+cc8jwpLNzTcaFTJmN7m8xg3B30P&#10;KMYpvgvLkxmTgxpN6UC/oqjXsRuGmOHYs6TVaN6HQb/4KLhYr1MSismysDU7y2PpiFkE9KV/Zc6e&#10;UQ/I1yOMmmLFG/CH3Pint+tDQAoSMxHfAc0z7CjERNj50USl/3pPWdenvfoJ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DkO0Bd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60A26AE" w14:textId="4E7AA518" w:rsidR="00166548" w:rsidRPr="00166548" w:rsidRDefault="00166548" w:rsidP="0016654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65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C73D6" w14:textId="77777777" w:rsidR="00BD58C8" w:rsidRDefault="00BD58C8" w:rsidP="00861274">
      <w:pPr>
        <w:spacing w:after="0" w:line="240" w:lineRule="auto"/>
      </w:pPr>
      <w:r>
        <w:separator/>
      </w:r>
    </w:p>
  </w:footnote>
  <w:footnote w:type="continuationSeparator" w:id="0">
    <w:p w14:paraId="04F65ECE" w14:textId="77777777" w:rsidR="00BD58C8" w:rsidRDefault="00BD58C8" w:rsidP="0086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3D6B1" w14:textId="77777777" w:rsidR="00040101" w:rsidRDefault="00040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9B41" w14:textId="77777777" w:rsidR="00040101" w:rsidRDefault="00040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B16D2" w14:textId="77777777" w:rsidR="00040101" w:rsidRDefault="00040101">
    <w:pPr>
      <w:pStyle w:val="Header"/>
    </w:pPr>
    <w:r w:rsidRPr="0070216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567FD1A" wp14:editId="4165A1D7">
          <wp:simplePos x="0" y="0"/>
          <wp:positionH relativeFrom="column">
            <wp:posOffset>-263052</wp:posOffset>
          </wp:positionH>
          <wp:positionV relativeFrom="paragraph">
            <wp:posOffset>-165964</wp:posOffset>
          </wp:positionV>
          <wp:extent cx="2202461" cy="291830"/>
          <wp:effectExtent l="0" t="0" r="0" b="0"/>
          <wp:wrapNone/>
          <wp:docPr id="101" name="Imagen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_outcomes_Mesa de trabajo 1 copi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461" cy="29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6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2FE9550" wp14:editId="2BB30098">
          <wp:simplePos x="0" y="0"/>
          <wp:positionH relativeFrom="column">
            <wp:posOffset>-263052</wp:posOffset>
          </wp:positionH>
          <wp:positionV relativeFrom="paragraph">
            <wp:posOffset>-165964</wp:posOffset>
          </wp:positionV>
          <wp:extent cx="2202461" cy="291830"/>
          <wp:effectExtent l="0" t="0" r="0" b="0"/>
          <wp:wrapNone/>
          <wp:docPr id="102" name="Imagen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_outcomes_Mesa de trabajo 1 copi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461" cy="29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7FAE"/>
    <w:multiLevelType w:val="hybridMultilevel"/>
    <w:tmpl w:val="0330AB5E"/>
    <w:lvl w:ilvl="0" w:tplc="C0C03C9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56C2DD3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CFDA589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E4E49A6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28F6C29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A998C7C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F7620D9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08A4FB9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69B810F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1" w15:restartNumberingAfterBreak="0">
    <w:nsid w:val="08990F70"/>
    <w:multiLevelType w:val="hybridMultilevel"/>
    <w:tmpl w:val="F2DC6B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D67F3"/>
    <w:multiLevelType w:val="hybridMultilevel"/>
    <w:tmpl w:val="5080C8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E33BA"/>
    <w:multiLevelType w:val="hybridMultilevel"/>
    <w:tmpl w:val="5C7200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67321"/>
    <w:multiLevelType w:val="hybridMultilevel"/>
    <w:tmpl w:val="FE2C70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67729"/>
    <w:multiLevelType w:val="hybridMultilevel"/>
    <w:tmpl w:val="6CD231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F35B7"/>
    <w:multiLevelType w:val="hybridMultilevel"/>
    <w:tmpl w:val="E9BA12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F6E38"/>
    <w:multiLevelType w:val="hybridMultilevel"/>
    <w:tmpl w:val="6974F9B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A3CDD"/>
    <w:multiLevelType w:val="hybridMultilevel"/>
    <w:tmpl w:val="722A13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0464D"/>
    <w:multiLevelType w:val="hybridMultilevel"/>
    <w:tmpl w:val="88C687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945C92"/>
    <w:multiLevelType w:val="hybridMultilevel"/>
    <w:tmpl w:val="2CD2FB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856AD2"/>
    <w:multiLevelType w:val="hybridMultilevel"/>
    <w:tmpl w:val="861AFE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6726E0"/>
    <w:multiLevelType w:val="hybridMultilevel"/>
    <w:tmpl w:val="402063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C93519"/>
    <w:multiLevelType w:val="hybridMultilevel"/>
    <w:tmpl w:val="652CA8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BF7411"/>
    <w:multiLevelType w:val="hybridMultilevel"/>
    <w:tmpl w:val="26DE93C6"/>
    <w:lvl w:ilvl="0" w:tplc="1E260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61FF"/>
    <w:multiLevelType w:val="hybridMultilevel"/>
    <w:tmpl w:val="A27A8B68"/>
    <w:lvl w:ilvl="0" w:tplc="1E260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614143">
    <w:abstractNumId w:val="2"/>
  </w:num>
  <w:num w:numId="2" w16cid:durableId="539896723">
    <w:abstractNumId w:val="8"/>
  </w:num>
  <w:num w:numId="3" w16cid:durableId="1945187899">
    <w:abstractNumId w:val="5"/>
  </w:num>
  <w:num w:numId="4" w16cid:durableId="1026635271">
    <w:abstractNumId w:val="13"/>
  </w:num>
  <w:num w:numId="5" w16cid:durableId="2003120878">
    <w:abstractNumId w:val="7"/>
  </w:num>
  <w:num w:numId="6" w16cid:durableId="645814216">
    <w:abstractNumId w:val="10"/>
  </w:num>
  <w:num w:numId="7" w16cid:durableId="1395278065">
    <w:abstractNumId w:val="3"/>
  </w:num>
  <w:num w:numId="8" w16cid:durableId="362747480">
    <w:abstractNumId w:val="9"/>
  </w:num>
  <w:num w:numId="9" w16cid:durableId="1806728676">
    <w:abstractNumId w:val="1"/>
  </w:num>
  <w:num w:numId="10" w16cid:durableId="753086965">
    <w:abstractNumId w:val="14"/>
  </w:num>
  <w:num w:numId="11" w16cid:durableId="2102871998">
    <w:abstractNumId w:val="15"/>
  </w:num>
  <w:num w:numId="12" w16cid:durableId="746223973">
    <w:abstractNumId w:val="11"/>
  </w:num>
  <w:num w:numId="13" w16cid:durableId="1989548626">
    <w:abstractNumId w:val="12"/>
  </w:num>
  <w:num w:numId="14" w16cid:durableId="32583506">
    <w:abstractNumId w:val="6"/>
  </w:num>
  <w:num w:numId="15" w16cid:durableId="1282227219">
    <w:abstractNumId w:val="4"/>
  </w:num>
  <w:num w:numId="16" w16cid:durableId="3403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NDIxN7A0tzAwMDJU0lEKTi0uzszPAykwNKoFACbpZRE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995rrx7559ekedrptpsw0gfas59t0pvvx5&quot;&gt;UCB-2020-010-SROI refs&lt;record-ids&gt;&lt;item&gt;53&lt;/item&gt;&lt;/record-ids&gt;&lt;/item&gt;&lt;/Libraries&gt;"/>
  </w:docVars>
  <w:rsids>
    <w:rsidRoot w:val="00800ACF"/>
    <w:rsid w:val="00014425"/>
    <w:rsid w:val="00036361"/>
    <w:rsid w:val="00037748"/>
    <w:rsid w:val="00037FDD"/>
    <w:rsid w:val="00040101"/>
    <w:rsid w:val="000863CE"/>
    <w:rsid w:val="00094338"/>
    <w:rsid w:val="000950C0"/>
    <w:rsid w:val="000A1A1A"/>
    <w:rsid w:val="000A3ADF"/>
    <w:rsid w:val="000D0687"/>
    <w:rsid w:val="000E235A"/>
    <w:rsid w:val="000E36D4"/>
    <w:rsid w:val="000F3517"/>
    <w:rsid w:val="00111458"/>
    <w:rsid w:val="0013541E"/>
    <w:rsid w:val="001365CC"/>
    <w:rsid w:val="00146D14"/>
    <w:rsid w:val="00155D97"/>
    <w:rsid w:val="00166548"/>
    <w:rsid w:val="00171365"/>
    <w:rsid w:val="001769FC"/>
    <w:rsid w:val="001808FA"/>
    <w:rsid w:val="00192645"/>
    <w:rsid w:val="001A11A1"/>
    <w:rsid w:val="001A2D49"/>
    <w:rsid w:val="001A2EC3"/>
    <w:rsid w:val="001C212F"/>
    <w:rsid w:val="001D36A9"/>
    <w:rsid w:val="001E0A8C"/>
    <w:rsid w:val="001E31A0"/>
    <w:rsid w:val="001E44B6"/>
    <w:rsid w:val="001F17AC"/>
    <w:rsid w:val="001F5D24"/>
    <w:rsid w:val="00202652"/>
    <w:rsid w:val="00220D93"/>
    <w:rsid w:val="00227425"/>
    <w:rsid w:val="00237E61"/>
    <w:rsid w:val="00250F9D"/>
    <w:rsid w:val="00255A1C"/>
    <w:rsid w:val="002577B4"/>
    <w:rsid w:val="002626A3"/>
    <w:rsid w:val="002656D9"/>
    <w:rsid w:val="002831C8"/>
    <w:rsid w:val="00284193"/>
    <w:rsid w:val="00286B7D"/>
    <w:rsid w:val="00290286"/>
    <w:rsid w:val="00290661"/>
    <w:rsid w:val="00294436"/>
    <w:rsid w:val="002953FB"/>
    <w:rsid w:val="002A3246"/>
    <w:rsid w:val="002B6CE5"/>
    <w:rsid w:val="002C1A4B"/>
    <w:rsid w:val="002C67E2"/>
    <w:rsid w:val="002D5D14"/>
    <w:rsid w:val="00302B8B"/>
    <w:rsid w:val="00315134"/>
    <w:rsid w:val="003155DD"/>
    <w:rsid w:val="0033462E"/>
    <w:rsid w:val="00341C49"/>
    <w:rsid w:val="0034235A"/>
    <w:rsid w:val="003444C8"/>
    <w:rsid w:val="003535D1"/>
    <w:rsid w:val="003633B9"/>
    <w:rsid w:val="00366F5D"/>
    <w:rsid w:val="00371ED0"/>
    <w:rsid w:val="0038709F"/>
    <w:rsid w:val="00387F7A"/>
    <w:rsid w:val="003A2071"/>
    <w:rsid w:val="003A33A1"/>
    <w:rsid w:val="003B16C3"/>
    <w:rsid w:val="003B1C95"/>
    <w:rsid w:val="003B2082"/>
    <w:rsid w:val="003D1887"/>
    <w:rsid w:val="003F3755"/>
    <w:rsid w:val="0040082D"/>
    <w:rsid w:val="00401654"/>
    <w:rsid w:val="00402C9D"/>
    <w:rsid w:val="00406B7D"/>
    <w:rsid w:val="00413735"/>
    <w:rsid w:val="004137A0"/>
    <w:rsid w:val="00421F8B"/>
    <w:rsid w:val="0043403E"/>
    <w:rsid w:val="004400DA"/>
    <w:rsid w:val="00445055"/>
    <w:rsid w:val="00445186"/>
    <w:rsid w:val="0045528B"/>
    <w:rsid w:val="00467909"/>
    <w:rsid w:val="004811E9"/>
    <w:rsid w:val="00494DC9"/>
    <w:rsid w:val="004C418C"/>
    <w:rsid w:val="004C5E21"/>
    <w:rsid w:val="004D23E5"/>
    <w:rsid w:val="004E37F8"/>
    <w:rsid w:val="004E7844"/>
    <w:rsid w:val="004F1FF3"/>
    <w:rsid w:val="004F211C"/>
    <w:rsid w:val="004F6503"/>
    <w:rsid w:val="0050177A"/>
    <w:rsid w:val="0050436D"/>
    <w:rsid w:val="00516EBD"/>
    <w:rsid w:val="0053103C"/>
    <w:rsid w:val="00535E18"/>
    <w:rsid w:val="0055100B"/>
    <w:rsid w:val="00555D9F"/>
    <w:rsid w:val="00557603"/>
    <w:rsid w:val="00560250"/>
    <w:rsid w:val="00563B97"/>
    <w:rsid w:val="00583505"/>
    <w:rsid w:val="00585983"/>
    <w:rsid w:val="0059418A"/>
    <w:rsid w:val="005B022F"/>
    <w:rsid w:val="005C6A05"/>
    <w:rsid w:val="005D22F6"/>
    <w:rsid w:val="005E51B4"/>
    <w:rsid w:val="005E6A72"/>
    <w:rsid w:val="00603988"/>
    <w:rsid w:val="00613AEE"/>
    <w:rsid w:val="006151F2"/>
    <w:rsid w:val="00615D73"/>
    <w:rsid w:val="00617264"/>
    <w:rsid w:val="00627698"/>
    <w:rsid w:val="00632A70"/>
    <w:rsid w:val="00650D3B"/>
    <w:rsid w:val="0065211A"/>
    <w:rsid w:val="00656C8A"/>
    <w:rsid w:val="00664702"/>
    <w:rsid w:val="00666A36"/>
    <w:rsid w:val="006712D4"/>
    <w:rsid w:val="0067509C"/>
    <w:rsid w:val="006800DD"/>
    <w:rsid w:val="00682B64"/>
    <w:rsid w:val="006833B6"/>
    <w:rsid w:val="00686DC6"/>
    <w:rsid w:val="006879BE"/>
    <w:rsid w:val="006A7007"/>
    <w:rsid w:val="006B7328"/>
    <w:rsid w:val="006C711B"/>
    <w:rsid w:val="006D1664"/>
    <w:rsid w:val="006D2D17"/>
    <w:rsid w:val="006D4FF5"/>
    <w:rsid w:val="006E0115"/>
    <w:rsid w:val="006E24CA"/>
    <w:rsid w:val="006E525E"/>
    <w:rsid w:val="006F6370"/>
    <w:rsid w:val="00700B28"/>
    <w:rsid w:val="0070161C"/>
    <w:rsid w:val="00706294"/>
    <w:rsid w:val="00707171"/>
    <w:rsid w:val="00724A31"/>
    <w:rsid w:val="00735A37"/>
    <w:rsid w:val="00736DF7"/>
    <w:rsid w:val="007378A7"/>
    <w:rsid w:val="0074134A"/>
    <w:rsid w:val="00744450"/>
    <w:rsid w:val="007469AB"/>
    <w:rsid w:val="00746FB3"/>
    <w:rsid w:val="00751175"/>
    <w:rsid w:val="007550F6"/>
    <w:rsid w:val="00755717"/>
    <w:rsid w:val="007569A6"/>
    <w:rsid w:val="00767E85"/>
    <w:rsid w:val="00777E13"/>
    <w:rsid w:val="0078392E"/>
    <w:rsid w:val="007A55DB"/>
    <w:rsid w:val="007B1677"/>
    <w:rsid w:val="007B7C51"/>
    <w:rsid w:val="007D5253"/>
    <w:rsid w:val="007D68EB"/>
    <w:rsid w:val="007F2EDD"/>
    <w:rsid w:val="00800ACF"/>
    <w:rsid w:val="008011B8"/>
    <w:rsid w:val="008356C7"/>
    <w:rsid w:val="00836939"/>
    <w:rsid w:val="00850E02"/>
    <w:rsid w:val="0085173E"/>
    <w:rsid w:val="00857674"/>
    <w:rsid w:val="00861274"/>
    <w:rsid w:val="008670F7"/>
    <w:rsid w:val="008965F3"/>
    <w:rsid w:val="008A0D97"/>
    <w:rsid w:val="008A781C"/>
    <w:rsid w:val="008B778C"/>
    <w:rsid w:val="008D007A"/>
    <w:rsid w:val="008E4A28"/>
    <w:rsid w:val="008E4DE5"/>
    <w:rsid w:val="008F3E58"/>
    <w:rsid w:val="00903F2E"/>
    <w:rsid w:val="00911F45"/>
    <w:rsid w:val="0091385C"/>
    <w:rsid w:val="009162A4"/>
    <w:rsid w:val="00922170"/>
    <w:rsid w:val="0092269C"/>
    <w:rsid w:val="009231A9"/>
    <w:rsid w:val="00926733"/>
    <w:rsid w:val="009645AD"/>
    <w:rsid w:val="00964FF7"/>
    <w:rsid w:val="00972BCF"/>
    <w:rsid w:val="00976E4E"/>
    <w:rsid w:val="00983A04"/>
    <w:rsid w:val="00986580"/>
    <w:rsid w:val="0099478A"/>
    <w:rsid w:val="009A03C4"/>
    <w:rsid w:val="009A3272"/>
    <w:rsid w:val="009D0397"/>
    <w:rsid w:val="009E41A0"/>
    <w:rsid w:val="009F1184"/>
    <w:rsid w:val="009F2D2B"/>
    <w:rsid w:val="00A00383"/>
    <w:rsid w:val="00A05BFE"/>
    <w:rsid w:val="00A1140C"/>
    <w:rsid w:val="00A128A1"/>
    <w:rsid w:val="00A14647"/>
    <w:rsid w:val="00A1511E"/>
    <w:rsid w:val="00A32D29"/>
    <w:rsid w:val="00A346E7"/>
    <w:rsid w:val="00A36066"/>
    <w:rsid w:val="00A4280D"/>
    <w:rsid w:val="00A43F91"/>
    <w:rsid w:val="00A4779A"/>
    <w:rsid w:val="00A50C66"/>
    <w:rsid w:val="00A64948"/>
    <w:rsid w:val="00A66FD7"/>
    <w:rsid w:val="00A67E88"/>
    <w:rsid w:val="00A739FA"/>
    <w:rsid w:val="00A74BAF"/>
    <w:rsid w:val="00A76064"/>
    <w:rsid w:val="00A844BF"/>
    <w:rsid w:val="00A872F2"/>
    <w:rsid w:val="00AA32C6"/>
    <w:rsid w:val="00AA3647"/>
    <w:rsid w:val="00AA38DF"/>
    <w:rsid w:val="00AB141F"/>
    <w:rsid w:val="00AB1A64"/>
    <w:rsid w:val="00AF1EEC"/>
    <w:rsid w:val="00B0076E"/>
    <w:rsid w:val="00B06BFB"/>
    <w:rsid w:val="00B16FE5"/>
    <w:rsid w:val="00B2381B"/>
    <w:rsid w:val="00B41510"/>
    <w:rsid w:val="00B51DD8"/>
    <w:rsid w:val="00B51EC9"/>
    <w:rsid w:val="00B66062"/>
    <w:rsid w:val="00B7190C"/>
    <w:rsid w:val="00B72C0E"/>
    <w:rsid w:val="00B7559E"/>
    <w:rsid w:val="00B860E7"/>
    <w:rsid w:val="00B86DD6"/>
    <w:rsid w:val="00B9066D"/>
    <w:rsid w:val="00B93FD1"/>
    <w:rsid w:val="00B9747B"/>
    <w:rsid w:val="00BA40D6"/>
    <w:rsid w:val="00BC219A"/>
    <w:rsid w:val="00BC25FE"/>
    <w:rsid w:val="00BD3760"/>
    <w:rsid w:val="00BD58C8"/>
    <w:rsid w:val="00C003DE"/>
    <w:rsid w:val="00C06B68"/>
    <w:rsid w:val="00C22F6F"/>
    <w:rsid w:val="00C31822"/>
    <w:rsid w:val="00C33EA8"/>
    <w:rsid w:val="00C701CE"/>
    <w:rsid w:val="00C70AFD"/>
    <w:rsid w:val="00C7141A"/>
    <w:rsid w:val="00C752E8"/>
    <w:rsid w:val="00C8299A"/>
    <w:rsid w:val="00C83013"/>
    <w:rsid w:val="00C854C2"/>
    <w:rsid w:val="00CA5EA8"/>
    <w:rsid w:val="00CC64EF"/>
    <w:rsid w:val="00CC7F1A"/>
    <w:rsid w:val="00CE2A84"/>
    <w:rsid w:val="00CF6110"/>
    <w:rsid w:val="00D0124D"/>
    <w:rsid w:val="00D022F2"/>
    <w:rsid w:val="00D04B51"/>
    <w:rsid w:val="00D17A48"/>
    <w:rsid w:val="00D226DE"/>
    <w:rsid w:val="00D27175"/>
    <w:rsid w:val="00D31397"/>
    <w:rsid w:val="00D35E7D"/>
    <w:rsid w:val="00D643B8"/>
    <w:rsid w:val="00D723D9"/>
    <w:rsid w:val="00D75003"/>
    <w:rsid w:val="00D821CD"/>
    <w:rsid w:val="00D91529"/>
    <w:rsid w:val="00D91CB2"/>
    <w:rsid w:val="00D92666"/>
    <w:rsid w:val="00DA0880"/>
    <w:rsid w:val="00DA445D"/>
    <w:rsid w:val="00DC0D1F"/>
    <w:rsid w:val="00DF0746"/>
    <w:rsid w:val="00DF150A"/>
    <w:rsid w:val="00E2267C"/>
    <w:rsid w:val="00E22FD9"/>
    <w:rsid w:val="00E42932"/>
    <w:rsid w:val="00E460DC"/>
    <w:rsid w:val="00E46588"/>
    <w:rsid w:val="00E469A3"/>
    <w:rsid w:val="00E474A9"/>
    <w:rsid w:val="00E47980"/>
    <w:rsid w:val="00E52C8C"/>
    <w:rsid w:val="00E5560A"/>
    <w:rsid w:val="00E61F9E"/>
    <w:rsid w:val="00E746F1"/>
    <w:rsid w:val="00E75AB6"/>
    <w:rsid w:val="00E80F20"/>
    <w:rsid w:val="00E921F6"/>
    <w:rsid w:val="00E93751"/>
    <w:rsid w:val="00E94F38"/>
    <w:rsid w:val="00E97F9A"/>
    <w:rsid w:val="00EA02EE"/>
    <w:rsid w:val="00EB572E"/>
    <w:rsid w:val="00EB5FD6"/>
    <w:rsid w:val="00EB6494"/>
    <w:rsid w:val="00EC6173"/>
    <w:rsid w:val="00ED34C6"/>
    <w:rsid w:val="00ED5204"/>
    <w:rsid w:val="00EE53A4"/>
    <w:rsid w:val="00EE6264"/>
    <w:rsid w:val="00F021EC"/>
    <w:rsid w:val="00F076F9"/>
    <w:rsid w:val="00F10F26"/>
    <w:rsid w:val="00F1318E"/>
    <w:rsid w:val="00F206C8"/>
    <w:rsid w:val="00F25259"/>
    <w:rsid w:val="00F36D61"/>
    <w:rsid w:val="00F42EA5"/>
    <w:rsid w:val="00F54ADC"/>
    <w:rsid w:val="00F621DD"/>
    <w:rsid w:val="00F64DD6"/>
    <w:rsid w:val="00F70100"/>
    <w:rsid w:val="00F7161E"/>
    <w:rsid w:val="00F72865"/>
    <w:rsid w:val="00F758D1"/>
    <w:rsid w:val="00F948F3"/>
    <w:rsid w:val="00FB4231"/>
    <w:rsid w:val="00FC25E6"/>
    <w:rsid w:val="00FC3F47"/>
    <w:rsid w:val="00FC42FD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F9A82"/>
  <w15:chartTrackingRefBased/>
  <w15:docId w15:val="{1F9139C4-D687-47B4-8000-A6825C3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525E"/>
    <w:pPr>
      <w:spacing w:after="0" w:line="360" w:lineRule="auto"/>
      <w:outlineLvl w:val="1"/>
    </w:pPr>
    <w:rPr>
      <w:rFonts w:ascii="Arial" w:hAnsi="Arial" w:cs="Arial"/>
      <w:b/>
      <w:bCs/>
      <w:noProof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-H18"/>
    <w:rsid w:val="00421F8B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8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aconcuadrcula4-nfasis11">
    <w:name w:val="Tabla con cuadrícula 4 - Énfasis 11"/>
    <w:basedOn w:val="TableNormal"/>
    <w:uiPriority w:val="49"/>
    <w:rsid w:val="002831C8"/>
    <w:pPr>
      <w:spacing w:after="0" w:line="240" w:lineRule="auto"/>
    </w:pPr>
    <w:rPr>
      <w:rFonts w:ascii="Arial" w:hAnsi="Arial" w:cs="Arial"/>
      <w:color w:val="1C8D8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831C8"/>
    <w:pPr>
      <w:spacing w:before="360" w:after="120" w:line="240" w:lineRule="auto"/>
      <w:jc w:val="center"/>
    </w:pPr>
    <w:rPr>
      <w:rFonts w:ascii="Arial" w:hAnsi="Arial" w:cs="Arial"/>
      <w:b/>
      <w:bCs/>
      <w:color w:val="595959" w:themeColor="text1" w:themeTint="A6"/>
      <w:sz w:val="18"/>
      <w:szCs w:val="20"/>
    </w:rPr>
  </w:style>
  <w:style w:type="character" w:customStyle="1" w:styleId="CaptionChar">
    <w:name w:val="Caption Char"/>
    <w:link w:val="Caption"/>
    <w:uiPriority w:val="35"/>
    <w:rsid w:val="002831C8"/>
    <w:rPr>
      <w:rFonts w:ascii="Arial" w:hAnsi="Arial" w:cs="Arial"/>
      <w:b/>
      <w:bCs/>
      <w:color w:val="595959" w:themeColor="text1" w:themeTint="A6"/>
      <w:sz w:val="18"/>
      <w:szCs w:val="20"/>
    </w:rPr>
  </w:style>
  <w:style w:type="table" w:styleId="GridTable4">
    <w:name w:val="Grid Table 4"/>
    <w:basedOn w:val="TableNormal"/>
    <w:uiPriority w:val="49"/>
    <w:rsid w:val="008A0D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8D007A"/>
    <w:rPr>
      <w:b/>
      <w:bCs/>
      <w:color w:val="262626" w:themeColor="text1" w:themeTint="D9"/>
      <w:lang w:eastAsia="es-ES_tradnl"/>
    </w:rPr>
  </w:style>
  <w:style w:type="paragraph" w:styleId="ListParagraph">
    <w:name w:val="List Paragraph"/>
    <w:aliases w:val="List Paragraph1,cS List Paragraph,Colorful List - Accent 11,Medium Grid 1 - Accent 21,Light Grid - Accent 31,List Paragraph11,Bullet List,FooterText,numbered,Paragraphe de liste1,Bulletr List Paragraph,列出段落,列出段落1,Listeafsnit1"/>
    <w:basedOn w:val="Normal"/>
    <w:link w:val="ListParagraphChar"/>
    <w:uiPriority w:val="34"/>
    <w:qFormat/>
    <w:rsid w:val="009645AD"/>
    <w:pPr>
      <w:spacing w:after="0" w:line="240" w:lineRule="auto"/>
      <w:ind w:left="720"/>
      <w:contextualSpacing/>
    </w:pPr>
    <w:rPr>
      <w:rFonts w:ascii="Arial" w:hAnsi="Arial" w:cs="Arial"/>
      <w:color w:val="404040" w:themeColor="text1" w:themeTint="BF"/>
    </w:rPr>
  </w:style>
  <w:style w:type="table" w:customStyle="1" w:styleId="Tablaconcuadrcula5oscura-nfasis21">
    <w:name w:val="Tabla con cuadrícula 5 oscura - Énfasis 21"/>
    <w:basedOn w:val="TableNormal"/>
    <w:uiPriority w:val="50"/>
    <w:rsid w:val="009645AD"/>
    <w:pPr>
      <w:spacing w:after="0" w:line="240" w:lineRule="auto"/>
    </w:pPr>
    <w:rPr>
      <w:rFonts w:ascii="Arial" w:hAnsi="Arial" w:cs="Arial"/>
      <w:color w:val="000000" w:themeColor="text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ListParagraphChar">
    <w:name w:val="List Paragraph Char"/>
    <w:aliases w:val="List Paragraph1 Char,cS List Paragraph Char,Colorful List - Accent 11 Char,Medium Grid 1 - Accent 21 Char,Light Grid - Accent 31 Char,List Paragraph11 Char,Bullet List Char,FooterText Char,numbered Char,Paragraphe de liste1 Char"/>
    <w:basedOn w:val="DefaultParagraphFont"/>
    <w:link w:val="ListParagraph"/>
    <w:uiPriority w:val="34"/>
    <w:rsid w:val="009645AD"/>
    <w:rPr>
      <w:rFonts w:ascii="Arial" w:hAnsi="Arial" w:cs="Arial"/>
      <w:color w:val="404040" w:themeColor="text1" w:themeTint="BF"/>
    </w:rPr>
  </w:style>
  <w:style w:type="table" w:styleId="GridTable5Dark">
    <w:name w:val="Grid Table 5 Dark"/>
    <w:basedOn w:val="TableNormal"/>
    <w:uiPriority w:val="50"/>
    <w:rsid w:val="009645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Ttulos2">
    <w:name w:val="Títulos 2"/>
    <w:basedOn w:val="Normal"/>
    <w:qFormat/>
    <w:rsid w:val="001D36A9"/>
    <w:pPr>
      <w:spacing w:before="360" w:after="120" w:line="360" w:lineRule="auto"/>
      <w:jc w:val="both"/>
    </w:pPr>
    <w:rPr>
      <w:rFonts w:cs="Times New Roman (Cuerpo en alfa"/>
      <w:b/>
      <w:color w:val="44546A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525E"/>
    <w:rPr>
      <w:rFonts w:ascii="Arial" w:hAnsi="Arial" w:cs="Arial"/>
      <w:b/>
      <w:bCs/>
      <w:noProof/>
      <w:color w:val="4472C4" w:themeColor="accent1"/>
      <w:sz w:val="24"/>
      <w:szCs w:val="24"/>
    </w:rPr>
  </w:style>
  <w:style w:type="table" w:customStyle="1" w:styleId="Tablaconcuadrcula5oscura-nfasis11">
    <w:name w:val="Tabla con cuadrícula 5 oscura - Énfasis 11"/>
    <w:basedOn w:val="TableNormal"/>
    <w:uiPriority w:val="50"/>
    <w:rsid w:val="00861274"/>
    <w:pPr>
      <w:spacing w:after="0" w:line="240" w:lineRule="auto"/>
    </w:pPr>
    <w:rPr>
      <w:rFonts w:ascii="Arial" w:hAnsi="Arial" w:cs="Arial"/>
      <w:color w:val="000000" w:themeColor="text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61274"/>
    <w:pPr>
      <w:spacing w:after="0" w:line="240" w:lineRule="auto"/>
      <w:jc w:val="both"/>
    </w:pPr>
    <w:rPr>
      <w:rFonts w:cs="Times New Roman (Cuerpo en alfa"/>
      <w:color w:val="595959" w:themeColor="text1" w:themeTint="A6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274"/>
    <w:rPr>
      <w:rFonts w:cs="Times New Roman (Cuerpo en alfa"/>
      <w:color w:val="595959" w:themeColor="text1" w:themeTint="A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1274"/>
    <w:rPr>
      <w:vertAlign w:val="superscript"/>
    </w:rPr>
  </w:style>
  <w:style w:type="table" w:styleId="GridTable5Dark-Accent3">
    <w:name w:val="Grid Table 5 Dark Accent 3"/>
    <w:basedOn w:val="TableNormal"/>
    <w:uiPriority w:val="50"/>
    <w:rsid w:val="008612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40101"/>
    <w:pPr>
      <w:tabs>
        <w:tab w:val="center" w:pos="4419"/>
        <w:tab w:val="right" w:pos="8838"/>
      </w:tabs>
      <w:spacing w:after="0" w:line="240" w:lineRule="auto"/>
    </w:pPr>
    <w:rPr>
      <w:rFonts w:ascii="Arial" w:hAnsi="Arial" w:cs="Arial"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040101"/>
    <w:rPr>
      <w:rFonts w:ascii="Arial" w:hAnsi="Arial" w:cs="Arial"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01"/>
    <w:pPr>
      <w:spacing w:after="0" w:line="276" w:lineRule="auto"/>
    </w:pPr>
    <w:rPr>
      <w:rFonts w:ascii="Arial" w:hAnsi="Arial" w:cs="Arial"/>
      <w:color w:val="1D8D8B"/>
      <w:lang w:eastAsia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040101"/>
    <w:rPr>
      <w:rFonts w:ascii="Arial" w:hAnsi="Arial" w:cs="Arial"/>
      <w:color w:val="1D8D8B"/>
      <w:lang w:eastAsia="es-ES_tradnl"/>
    </w:rPr>
  </w:style>
  <w:style w:type="paragraph" w:customStyle="1" w:styleId="Tpie">
    <w:name w:val="T: pie"/>
    <w:basedOn w:val="Normal"/>
    <w:link w:val="TpieCar"/>
    <w:qFormat/>
    <w:rsid w:val="00040101"/>
    <w:pPr>
      <w:spacing w:after="240" w:line="240" w:lineRule="auto"/>
    </w:pPr>
    <w:rPr>
      <w:rFonts w:cs="Times New Roman (Cuerpo en alfa"/>
      <w:sz w:val="18"/>
      <w:szCs w:val="18"/>
    </w:rPr>
  </w:style>
  <w:style w:type="character" w:customStyle="1" w:styleId="TpieCar">
    <w:name w:val="T: pie Car"/>
    <w:basedOn w:val="DefaultParagraphFont"/>
    <w:link w:val="Tpie"/>
    <w:rsid w:val="00040101"/>
    <w:rPr>
      <w:rFonts w:cs="Times New Roman (Cuerpo en alfa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E235A"/>
    <w:rPr>
      <w:color w:val="0000FF"/>
      <w:u w:val="single"/>
    </w:rPr>
  </w:style>
  <w:style w:type="paragraph" w:styleId="Revision">
    <w:name w:val="Revision"/>
    <w:hidden/>
    <w:uiPriority w:val="99"/>
    <w:semiHidden/>
    <w:rsid w:val="00964FF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342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5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6C8"/>
  </w:style>
  <w:style w:type="paragraph" w:customStyle="1" w:styleId="EndNoteBibliographyTitle">
    <w:name w:val="EndNote Bibliography Title"/>
    <w:basedOn w:val="Normal"/>
    <w:link w:val="EndNoteBibliographyTitleCar"/>
    <w:rsid w:val="00615D7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15D7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615D7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615D73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ra xmlns="4b17f28b-57c5-44ba-86f8-0490bf916340" xsi:nil="true"/>
    <Fecha xmlns="4b17f28b-57c5-44ba-86f8-0490bf916340">2022-11-23T16:19:39+00:00</Fecha>
    <_Revision xmlns="http://schemas.microsoft.com/sharepoint/v3/fields" xsi:nil="true"/>
    <TaxCatchAll xmlns="29c3e972-f62f-4114-ae0d-b5cefdaec36b" xsi:nil="true"/>
    <Comentarios xmlns="4b17f28b-57c5-44ba-86f8-0490bf916340">Escriba la opción nº 1</Comentarios>
    <lcf76f155ced4ddcb4097134ff3c332f xmlns="4b17f28b-57c5-44ba-86f8-0490bf9163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4051041EE174695CE8113D1131E3D" ma:contentTypeVersion="24" ma:contentTypeDescription="Crear nuevo documento." ma:contentTypeScope="" ma:versionID="a68b1107699228e5ed303b77238bd7ef">
  <xsd:schema xmlns:xsd="http://www.w3.org/2001/XMLSchema" xmlns:xs="http://www.w3.org/2001/XMLSchema" xmlns:p="http://schemas.microsoft.com/office/2006/metadata/properties" xmlns:ns2="4b17f28b-57c5-44ba-86f8-0490bf916340" xmlns:ns3="29c3e972-f62f-4114-ae0d-b5cefdaec36b" xmlns:ns4="http://schemas.microsoft.com/sharepoint/v3/fields" targetNamespace="http://schemas.microsoft.com/office/2006/metadata/properties" ma:root="true" ma:fieldsID="2ad74247f5582e161d8ca6bb85b7fcc6" ns2:_="" ns3:_="" ns4:_="">
    <xsd:import namespace="4b17f28b-57c5-44ba-86f8-0490bf916340"/>
    <xsd:import namespace="29c3e972-f62f-4114-ae0d-b5cefdaec3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Comentarios" minOccurs="0"/>
                <xsd:element ref="ns2:Hora" minOccurs="0"/>
                <xsd:element ref="ns4:_Revi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7f28b-57c5-44ba-86f8-0490bf916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Comentarios" ma:index="15" nillable="true" ma:displayName="Comentarios" ma:default="Escriba la opción nº 1" ma:internalName="Comentarios">
      <xsd:simpleType>
        <xsd:restriction base="dms:Unknown">
          <xsd:enumeration value="Escriba la opción nº 1"/>
          <xsd:enumeration value="Escriba la opción nº 2"/>
          <xsd:enumeration value="Escriba la opción nº 3"/>
        </xsd:restriction>
      </xsd:simpleType>
    </xsd:element>
    <xsd:element name="Hora" ma:index="16" nillable="true" ma:displayName="Hora" ma:format="DateTime" ma:internalName="Hora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e1cb37-c508-4f9e-a410-5c1e1cf96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9" nillable="true" ma:displayName="Fecha" ma:default="[today]" ma:format="DateOnly" ma:internalName="Fecha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3e972-f62f-4114-ae0d-b5cefdaec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721e5cb-08c3-40c9-9ecd-54797f0aca3c}" ma:internalName="TaxCatchAll" ma:showField="CatchAllData" ma:web="29c3e972-f62f-4114-ae0d-b5cefdaec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7" nillable="true" ma:displayName="Revisión" ma:internalName="_Re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461F-EE9A-4709-BE66-2C6FA9797FE1}">
  <ds:schemaRefs>
    <ds:schemaRef ds:uri="http://schemas.microsoft.com/office/2006/metadata/properties"/>
    <ds:schemaRef ds:uri="http://schemas.microsoft.com/office/infopath/2007/PartnerControls"/>
    <ds:schemaRef ds:uri="4b17f28b-57c5-44ba-86f8-0490bf916340"/>
    <ds:schemaRef ds:uri="http://schemas.microsoft.com/sharepoint/v3/fields"/>
    <ds:schemaRef ds:uri="29c3e972-f62f-4114-ae0d-b5cefdaec36b"/>
  </ds:schemaRefs>
</ds:datastoreItem>
</file>

<file path=customXml/itemProps2.xml><?xml version="1.0" encoding="utf-8"?>
<ds:datastoreItem xmlns:ds="http://schemas.openxmlformats.org/officeDocument/2006/customXml" ds:itemID="{E32E0F4C-BC3A-48E6-ACC1-42A4C8EC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20443-9D6A-44BF-BE86-9B8945521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7f28b-57c5-44ba-86f8-0490bf916340"/>
    <ds:schemaRef ds:uri="29c3e972-f62f-4114-ae0d-b5cefdaec36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5E112-984C-4A33-A69A-D2B5332D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Benedito Palos</dc:creator>
  <cp:keywords/>
  <dc:description/>
  <cp:lastModifiedBy>Olliver, Tania</cp:lastModifiedBy>
  <cp:revision>2</cp:revision>
  <dcterms:created xsi:type="dcterms:W3CDTF">2024-12-21T00:44:00Z</dcterms:created>
  <dcterms:modified xsi:type="dcterms:W3CDTF">2024-12-21T00:44:00Z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0x010100EE34051041EE174695CE8113D1131E3D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3bbc118,27a824e5,17bef74,1cc8b85b,778d148e,72332a6e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2024-12-21T00:44:30Z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5376d1a8-0195-462c-b4d7-c4ce68a917bd</vt:lpwstr>
  </property>
  <property fmtid="{D5CDD505-2E9C-101B-9397-08002B2CF9AE}" pid="13" name="MSIP_Label_2bbab825-a111-45e4-86a1-18cee0005896_ContentBits">
    <vt:lpwstr>2</vt:lpwstr>
  </property>
</Properties>
</file>