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E1E760" w14:textId="414FB5C9" w:rsidR="00D16000" w:rsidRPr="00E3653D" w:rsidRDefault="0083063D" w:rsidP="00E3653D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bookmarkStart w:id="0" w:name="_Hlk128149993"/>
      <w:r w:rsidRPr="00F010C4">
        <w:rPr>
          <w:rFonts w:ascii="Arial" w:hAnsi="Arial" w:cs="Arial"/>
          <w:b/>
          <w:bCs/>
          <w:color w:val="000000" w:themeColor="text1"/>
          <w:sz w:val="20"/>
          <w:szCs w:val="20"/>
        </w:rPr>
        <w:t>Supporting information</w:t>
      </w:r>
      <w:bookmarkStart w:id="1" w:name="_Hlk165385594"/>
      <w:bookmarkEnd w:id="0"/>
    </w:p>
    <w:bookmarkEnd w:id="1"/>
    <w:p w14:paraId="25CC808A" w14:textId="1FB3EA25" w:rsidR="0083063D" w:rsidRPr="00DA3DFC" w:rsidRDefault="00373A4F" w:rsidP="0083063D">
      <w:pPr>
        <w:widowControl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A3DFC">
        <w:rPr>
          <w:rFonts w:ascii="Arial" w:hAnsi="Arial" w:cs="Arial"/>
          <w:noProof/>
        </w:rPr>
        <w:drawing>
          <wp:inline distT="0" distB="0" distL="0" distR="0" wp14:anchorId="11173E74" wp14:editId="5DBFF2C6">
            <wp:extent cx="2133600" cy="1524000"/>
            <wp:effectExtent l="0" t="0" r="0" b="0"/>
            <wp:docPr id="3444732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49DA" w14:textId="10EF4698" w:rsidR="0083063D" w:rsidRPr="00DA3DFC" w:rsidRDefault="00FF7A5B" w:rsidP="00FF7A5B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4B375F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S1: Transmission electron microscopy image of mFe NPs</w:t>
      </w:r>
      <w:r w:rsidR="00C840D1" w:rsidRPr="00DA3DFC">
        <w:rPr>
          <w:rFonts w:ascii="Arial" w:eastAsia="等线" w:hAnsi="Arial" w:cs="Arial"/>
          <w:sz w:val="20"/>
          <w:szCs w:val="20"/>
        </w:rPr>
        <w:t>.</w:t>
      </w:r>
    </w:p>
    <w:p w14:paraId="3C3785B9" w14:textId="77777777" w:rsidR="00FF7A5B" w:rsidRPr="00DA3DFC" w:rsidRDefault="00FF7A5B" w:rsidP="00FF7A5B">
      <w:pPr>
        <w:spacing w:line="360" w:lineRule="auto"/>
        <w:rPr>
          <w:rFonts w:ascii="Arial" w:eastAsia="等线" w:hAnsi="Arial" w:cs="Arial"/>
          <w:sz w:val="24"/>
          <w:szCs w:val="24"/>
        </w:rPr>
      </w:pPr>
    </w:p>
    <w:p w14:paraId="3EA49B19" w14:textId="1B9A581D" w:rsidR="0083063D" w:rsidRPr="00DA3DFC" w:rsidRDefault="0083063D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A3DFC">
        <w:rPr>
          <w:rFonts w:ascii="Arial" w:hAnsi="Arial" w:cs="Arial"/>
          <w:noProof/>
        </w:rPr>
        <w:drawing>
          <wp:inline distT="0" distB="0" distL="0" distR="0" wp14:anchorId="3CADD3D6" wp14:editId="603AC887">
            <wp:extent cx="1828800" cy="1371600"/>
            <wp:effectExtent l="0" t="0" r="0" b="0"/>
            <wp:docPr id="12677112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99EC" w14:textId="14517478" w:rsidR="00FF7A5B" w:rsidRPr="00DA3DFC" w:rsidRDefault="00FF7A5B" w:rsidP="00FF7A5B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4B375F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S2: XRD pattern of the mFe NPs.</w:t>
      </w:r>
    </w:p>
    <w:p w14:paraId="4ED7E472" w14:textId="77777777" w:rsidR="00FF7A5B" w:rsidRPr="00DA3DFC" w:rsidRDefault="00FF7A5B" w:rsidP="00FF7A5B">
      <w:pPr>
        <w:widowControl/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3DD73E6" w14:textId="006DDD3E" w:rsidR="0083063D" w:rsidRPr="00DA3DFC" w:rsidRDefault="00EB7D46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B962E7" wp14:editId="5C01D2C9">
            <wp:extent cx="3657600" cy="1371600"/>
            <wp:effectExtent l="0" t="0" r="0" b="0"/>
            <wp:docPr id="1332334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4050C" w14:textId="3F970637" w:rsidR="00FF7A5B" w:rsidRPr="00DA3DFC" w:rsidRDefault="00FF7A5B" w:rsidP="00FF7A5B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4B375F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S3: XPS high resolution </w:t>
      </w:r>
      <w:r w:rsidR="00026A11">
        <w:rPr>
          <w:rFonts w:ascii="Arial" w:eastAsia="等线" w:hAnsi="Arial" w:cs="Arial" w:hint="eastAsia"/>
          <w:sz w:val="20"/>
          <w:szCs w:val="20"/>
        </w:rPr>
        <w:t xml:space="preserve">(A) </w:t>
      </w:r>
      <w:r w:rsidRPr="00DA3DFC">
        <w:rPr>
          <w:rFonts w:ascii="Arial" w:eastAsia="等线" w:hAnsi="Arial" w:cs="Arial"/>
          <w:sz w:val="20"/>
          <w:szCs w:val="20"/>
        </w:rPr>
        <w:t xml:space="preserve">C 1s and </w:t>
      </w:r>
      <w:r w:rsidR="00026A11">
        <w:rPr>
          <w:rFonts w:ascii="Arial" w:eastAsia="等线" w:hAnsi="Arial" w:cs="Arial" w:hint="eastAsia"/>
          <w:sz w:val="20"/>
          <w:szCs w:val="20"/>
        </w:rPr>
        <w:t xml:space="preserve">(B) </w:t>
      </w:r>
      <w:r w:rsidRPr="00DA3DFC">
        <w:rPr>
          <w:rFonts w:ascii="Arial" w:eastAsia="等线" w:hAnsi="Arial" w:cs="Arial"/>
          <w:sz w:val="20"/>
          <w:szCs w:val="20"/>
        </w:rPr>
        <w:t>O 1s spectrum of mFe NPs.</w:t>
      </w:r>
    </w:p>
    <w:p w14:paraId="68DF7685" w14:textId="77777777" w:rsidR="00663A0E" w:rsidRPr="00DA3DFC" w:rsidRDefault="00663A0E" w:rsidP="00663A0E">
      <w:pPr>
        <w:widowControl/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41B41BC" w14:textId="6D431634" w:rsidR="0083063D" w:rsidRPr="00DA3DFC" w:rsidRDefault="0083063D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A3DFC">
        <w:rPr>
          <w:rFonts w:ascii="Arial" w:hAnsi="Arial" w:cs="Arial"/>
          <w:noProof/>
        </w:rPr>
        <w:drawing>
          <wp:inline distT="0" distB="0" distL="0" distR="0" wp14:anchorId="6F7230C2" wp14:editId="47A92A88">
            <wp:extent cx="3809365" cy="1144270"/>
            <wp:effectExtent l="0" t="0" r="0" b="0"/>
            <wp:docPr id="25195967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365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5D803" w14:textId="4F9441A6" w:rsidR="00FF7A5B" w:rsidRPr="00DA3DFC" w:rsidRDefault="00FF7A5B" w:rsidP="00FF7A5B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4B375F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S4: Schematic illustration of the preparation of PDA shell through oxidative polymerization and Michael addition reaction.</w:t>
      </w:r>
    </w:p>
    <w:p w14:paraId="401DECBF" w14:textId="77777777" w:rsidR="0083063D" w:rsidRPr="00DA3DFC" w:rsidRDefault="0083063D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7F52766E" w14:textId="125325B7" w:rsidR="00FF7A5B" w:rsidRDefault="00681243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2DEBABD" wp14:editId="3BDBB9BB">
            <wp:extent cx="3507740" cy="1543050"/>
            <wp:effectExtent l="0" t="0" r="0" b="0"/>
            <wp:docPr id="339238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A9666" w14:textId="4DD2C73E" w:rsidR="00681243" w:rsidRDefault="00681243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Figure S5: </w:t>
      </w:r>
      <w:r w:rsidR="0050302E">
        <w:rPr>
          <w:rFonts w:ascii="Arial" w:hAnsi="Arial" w:cs="Arial" w:hint="eastAsia"/>
          <w:color w:val="000000" w:themeColor="text1"/>
          <w:sz w:val="20"/>
          <w:szCs w:val="20"/>
        </w:rPr>
        <w:t>Elemental mapping of mFeB@PDA-FA NPs.</w:t>
      </w:r>
    </w:p>
    <w:p w14:paraId="21BBD670" w14:textId="77777777" w:rsidR="0050302E" w:rsidRPr="00DA3DFC" w:rsidRDefault="0050302E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25FBCB0B" w14:textId="0BA8A407" w:rsidR="0083063D" w:rsidRPr="00DA3DFC" w:rsidRDefault="00EB7D46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16CC83" wp14:editId="1387CE4B">
            <wp:extent cx="1828800" cy="1371600"/>
            <wp:effectExtent l="0" t="0" r="0" b="0"/>
            <wp:docPr id="109270637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21DAD" w14:textId="18CDF195" w:rsidR="00FF7A5B" w:rsidRPr="00DA3DFC" w:rsidRDefault="00FF7A5B" w:rsidP="00FF7A5B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4B375F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</w:t>
      </w:r>
      <w:r w:rsidR="00F71D66">
        <w:rPr>
          <w:rFonts w:ascii="Arial" w:eastAsia="等线" w:hAnsi="Arial" w:cs="Arial" w:hint="eastAsia"/>
          <w:sz w:val="20"/>
          <w:szCs w:val="20"/>
        </w:rPr>
        <w:t>6</w:t>
      </w:r>
      <w:r w:rsidRPr="00DA3DFC">
        <w:rPr>
          <w:rFonts w:ascii="Arial" w:eastAsia="等线" w:hAnsi="Arial" w:cs="Arial"/>
          <w:sz w:val="20"/>
          <w:szCs w:val="20"/>
        </w:rPr>
        <w:t xml:space="preserve"> Particle size distribution of mFe NPs and mFeB@PDA NPs.</w:t>
      </w:r>
    </w:p>
    <w:p w14:paraId="11D3BB71" w14:textId="77777777" w:rsidR="00FF7A5B" w:rsidRPr="00DA3DFC" w:rsidRDefault="00FF7A5B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3FEF78B1" w14:textId="69891027" w:rsidR="00677CEB" w:rsidRPr="00DA3DFC" w:rsidRDefault="00677CEB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A3DFC">
        <w:rPr>
          <w:rFonts w:ascii="Arial" w:hAnsi="Arial" w:cs="Arial"/>
          <w:noProof/>
        </w:rPr>
        <w:drawing>
          <wp:inline distT="0" distB="0" distL="0" distR="0" wp14:anchorId="27B4751E" wp14:editId="75810A8E">
            <wp:extent cx="1828800" cy="1373505"/>
            <wp:effectExtent l="0" t="0" r="0" b="0"/>
            <wp:docPr id="204357559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7953E" w14:textId="6CA96209" w:rsidR="00FF7A5B" w:rsidRDefault="00FF7A5B" w:rsidP="00FF7A5B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4B375F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</w:t>
      </w:r>
      <w:r w:rsidR="00F71D66">
        <w:rPr>
          <w:rFonts w:ascii="Arial" w:eastAsia="等线" w:hAnsi="Arial" w:cs="Arial" w:hint="eastAsia"/>
          <w:sz w:val="20"/>
          <w:szCs w:val="20"/>
        </w:rPr>
        <w:t>7</w:t>
      </w:r>
      <w:r w:rsidRPr="00DA3DFC">
        <w:rPr>
          <w:rFonts w:ascii="Arial" w:eastAsia="等线" w:hAnsi="Arial" w:cs="Arial"/>
          <w:sz w:val="20"/>
          <w:szCs w:val="20"/>
        </w:rPr>
        <w:t>: Zeta potential of mFe, mFeB@PDA and mFeB@PDA-FA NPs.</w:t>
      </w:r>
    </w:p>
    <w:p w14:paraId="310ED2A9" w14:textId="77777777" w:rsidR="00663A0E" w:rsidRPr="00DA3DFC" w:rsidRDefault="00663A0E" w:rsidP="00FF7A5B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</w:p>
    <w:p w14:paraId="39742191" w14:textId="25594E03" w:rsidR="00677CEB" w:rsidRDefault="00EC2FA2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0D5D2EC" wp14:editId="4315BEE1">
            <wp:extent cx="1828800" cy="1374140"/>
            <wp:effectExtent l="0" t="0" r="0" b="0"/>
            <wp:docPr id="19099599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DA91" w14:textId="774B732A" w:rsidR="00EC2FA2" w:rsidRPr="00DA3DFC" w:rsidRDefault="00EC2FA2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 w:hint="eastAsia"/>
          <w:color w:val="000000" w:themeColor="text1"/>
          <w:sz w:val="20"/>
          <w:szCs w:val="20"/>
        </w:rPr>
        <w:t>Fugure S8: FTIR spectra of mFeB@PDA and mFeB@PDA-FA NPs.</w:t>
      </w:r>
    </w:p>
    <w:p w14:paraId="0D2011D2" w14:textId="77777777" w:rsidR="007434F9" w:rsidRPr="00DA3DFC" w:rsidRDefault="007434F9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CFD2B9E" w14:textId="6FC47ECF" w:rsidR="00677CEB" w:rsidRPr="00DA3DFC" w:rsidRDefault="00EB7D46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19368E" wp14:editId="2B02551C">
            <wp:extent cx="3657600" cy="1371600"/>
            <wp:effectExtent l="0" t="0" r="0" b="0"/>
            <wp:docPr id="20939968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1A45D" w14:textId="0697D15F" w:rsidR="007434F9" w:rsidRPr="00DA3DFC" w:rsidRDefault="007434F9" w:rsidP="007434F9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4B375F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</w:t>
      </w:r>
      <w:r w:rsidR="00F71D66">
        <w:rPr>
          <w:rFonts w:ascii="Arial" w:eastAsia="等线" w:hAnsi="Arial" w:cs="Arial" w:hint="eastAsia"/>
          <w:sz w:val="20"/>
          <w:szCs w:val="20"/>
        </w:rPr>
        <w:t>9</w:t>
      </w:r>
      <w:r w:rsidRPr="00DA3DFC">
        <w:rPr>
          <w:rFonts w:ascii="Arial" w:eastAsia="等线" w:hAnsi="Arial" w:cs="Arial"/>
          <w:sz w:val="20"/>
          <w:szCs w:val="20"/>
        </w:rPr>
        <w:t xml:space="preserve">: </w:t>
      </w:r>
      <w:r w:rsidR="00311E2A">
        <w:rPr>
          <w:rFonts w:ascii="Arial" w:eastAsia="等线" w:hAnsi="Arial" w:cs="Arial" w:hint="eastAsia"/>
          <w:sz w:val="20"/>
          <w:szCs w:val="20"/>
        </w:rPr>
        <w:t xml:space="preserve">(A) </w:t>
      </w:r>
      <w:r w:rsidRPr="00DA3DFC">
        <w:rPr>
          <w:rFonts w:ascii="Arial" w:eastAsia="等线" w:hAnsi="Arial" w:cs="Arial"/>
          <w:sz w:val="20"/>
          <w:szCs w:val="20"/>
        </w:rPr>
        <w:t xml:space="preserve">Hydrodynamic diameter and </w:t>
      </w:r>
      <w:r w:rsidR="00311E2A">
        <w:rPr>
          <w:rFonts w:ascii="Arial" w:eastAsia="等线" w:hAnsi="Arial" w:cs="Arial" w:hint="eastAsia"/>
          <w:sz w:val="20"/>
          <w:szCs w:val="20"/>
        </w:rPr>
        <w:t xml:space="preserve">(B) </w:t>
      </w:r>
      <w:r w:rsidRPr="00DA3DFC">
        <w:rPr>
          <w:rFonts w:ascii="Arial" w:eastAsia="等线" w:hAnsi="Arial" w:cs="Arial"/>
          <w:sz w:val="20"/>
          <w:szCs w:val="20"/>
        </w:rPr>
        <w:t>zeta potential changes of mFeB@PDA-FA NPs in PBS and serum for 5 days.</w:t>
      </w:r>
    </w:p>
    <w:p w14:paraId="35C1C14D" w14:textId="77777777" w:rsidR="007434F9" w:rsidRPr="00DA3DFC" w:rsidRDefault="007434F9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D54BD95" w14:textId="3145B661" w:rsidR="00677CEB" w:rsidRPr="00DA3DFC" w:rsidRDefault="00677CEB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A3DFC">
        <w:rPr>
          <w:rFonts w:ascii="Arial" w:hAnsi="Arial" w:cs="Arial"/>
          <w:noProof/>
        </w:rPr>
        <w:drawing>
          <wp:inline distT="0" distB="0" distL="0" distR="0" wp14:anchorId="4E41A3D8" wp14:editId="700078A9">
            <wp:extent cx="1828800" cy="1373505"/>
            <wp:effectExtent l="0" t="0" r="0" b="0"/>
            <wp:docPr id="18940306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A0BD4" w14:textId="70E983B3" w:rsidR="007434F9" w:rsidRPr="00DA3DFC" w:rsidRDefault="007434F9" w:rsidP="007434F9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4B375F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</w:t>
      </w:r>
      <w:r w:rsidR="00F71D66">
        <w:rPr>
          <w:rFonts w:ascii="Arial" w:eastAsia="等线" w:hAnsi="Arial" w:cs="Arial" w:hint="eastAsia"/>
          <w:sz w:val="20"/>
          <w:szCs w:val="20"/>
        </w:rPr>
        <w:t>10</w:t>
      </w:r>
      <w:r w:rsidRPr="00DA3DFC">
        <w:rPr>
          <w:rFonts w:ascii="Arial" w:eastAsia="等线" w:hAnsi="Arial" w:cs="Arial"/>
          <w:sz w:val="20"/>
          <w:szCs w:val="20"/>
        </w:rPr>
        <w:t>: Photothermal stability of mFeB@PDA-FA NPs during 5 heating-cooling cycles.</w:t>
      </w:r>
    </w:p>
    <w:p w14:paraId="716AC080" w14:textId="77777777" w:rsidR="00677CEB" w:rsidRPr="00DA3DFC" w:rsidRDefault="00677CEB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45BD449B" w14:textId="24F2863B" w:rsidR="00350678" w:rsidRDefault="00EC2FA2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966A898" wp14:editId="532810B5">
            <wp:extent cx="1828800" cy="1373505"/>
            <wp:effectExtent l="0" t="0" r="0" b="0"/>
            <wp:docPr id="21229487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88F91" w14:textId="0D098978" w:rsidR="00EC2FA2" w:rsidRDefault="00EC2FA2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Figure S11: </w:t>
      </w:r>
      <w:r w:rsidR="00DB130F">
        <w:rPr>
          <w:rFonts w:ascii="Arial" w:hAnsi="Arial" w:cs="Arial" w:hint="eastAsia"/>
          <w:color w:val="000000" w:themeColor="text1"/>
          <w:sz w:val="20"/>
          <w:szCs w:val="20"/>
        </w:rPr>
        <w:t>In vitro Fe ion release behavior at different pH levels with or without NIR</w:t>
      </w:r>
    </w:p>
    <w:p w14:paraId="4D5046BC" w14:textId="77777777" w:rsidR="00663A0E" w:rsidRPr="00DA3DFC" w:rsidRDefault="00663A0E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592EE1DC" w14:textId="2207F427" w:rsidR="00677CEB" w:rsidRPr="00DA3DFC" w:rsidRDefault="00677CEB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A3DFC">
        <w:rPr>
          <w:rFonts w:ascii="Arial" w:hAnsi="Arial" w:cs="Arial"/>
          <w:noProof/>
        </w:rPr>
        <w:drawing>
          <wp:inline distT="0" distB="0" distL="0" distR="0" wp14:anchorId="417D61B9" wp14:editId="1C89DD6E">
            <wp:extent cx="1828800" cy="1373505"/>
            <wp:effectExtent l="0" t="0" r="0" b="0"/>
            <wp:docPr id="8580882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63AC" w14:textId="3002FD8C" w:rsidR="0025779D" w:rsidRPr="00663A0E" w:rsidRDefault="0025779D" w:rsidP="00663A0E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4B375F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</w:t>
      </w:r>
      <w:r w:rsidR="00F71D66">
        <w:rPr>
          <w:rFonts w:ascii="Arial" w:eastAsia="等线" w:hAnsi="Arial" w:cs="Arial" w:hint="eastAsia"/>
          <w:sz w:val="20"/>
          <w:szCs w:val="20"/>
        </w:rPr>
        <w:t>12</w:t>
      </w:r>
      <w:r w:rsidRPr="00DA3DFC">
        <w:rPr>
          <w:rFonts w:ascii="Arial" w:eastAsia="等线" w:hAnsi="Arial" w:cs="Arial"/>
          <w:sz w:val="20"/>
          <w:szCs w:val="20"/>
        </w:rPr>
        <w:t>: Hemolysis analysis of mFeB@PDA-FA suspension at various concentrations (mean ± SD, n = 3).</w:t>
      </w:r>
    </w:p>
    <w:p w14:paraId="01AC6F02" w14:textId="26E7C12A" w:rsidR="00677CEB" w:rsidRPr="00DA3DFC" w:rsidRDefault="00EB7D46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95E0233" wp14:editId="0FAE410D">
            <wp:extent cx="3657600" cy="1371600"/>
            <wp:effectExtent l="0" t="0" r="0" b="0"/>
            <wp:docPr id="7954828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0F64" w14:textId="29603B93" w:rsidR="0025779D" w:rsidRPr="00DA3DFC" w:rsidRDefault="0025779D" w:rsidP="000E74CD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4B375F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S1</w:t>
      </w:r>
      <w:r w:rsidR="00F71D66">
        <w:rPr>
          <w:rFonts w:ascii="Arial" w:eastAsia="等线" w:hAnsi="Arial" w:cs="Arial" w:hint="eastAsia"/>
          <w:sz w:val="20"/>
          <w:szCs w:val="20"/>
        </w:rPr>
        <w:t>3</w:t>
      </w:r>
      <w:r w:rsidRPr="00DA3DFC">
        <w:rPr>
          <w:rFonts w:ascii="Arial" w:eastAsia="等线" w:hAnsi="Arial" w:cs="Arial"/>
          <w:sz w:val="20"/>
          <w:szCs w:val="20"/>
        </w:rPr>
        <w:t xml:space="preserve">: </w:t>
      </w:r>
      <w:bookmarkStart w:id="2" w:name="OLE_LINK3"/>
      <w:r w:rsidRPr="00DA3DFC">
        <w:rPr>
          <w:rFonts w:ascii="Arial" w:eastAsia="等线" w:hAnsi="Arial" w:cs="Arial"/>
          <w:sz w:val="20"/>
          <w:szCs w:val="20"/>
        </w:rPr>
        <w:t>Cell viabilities of (</w:t>
      </w:r>
      <w:r w:rsidR="00685A96">
        <w:rPr>
          <w:rFonts w:ascii="Arial" w:eastAsia="等线" w:hAnsi="Arial" w:cs="Arial" w:hint="eastAsia"/>
          <w:sz w:val="20"/>
          <w:szCs w:val="20"/>
        </w:rPr>
        <w:t>A</w:t>
      </w:r>
      <w:r w:rsidRPr="00DA3DFC">
        <w:rPr>
          <w:rFonts w:ascii="Arial" w:eastAsia="等线" w:hAnsi="Arial" w:cs="Arial"/>
          <w:sz w:val="20"/>
          <w:szCs w:val="20"/>
        </w:rPr>
        <w:t>) BMSCs and (</w:t>
      </w:r>
      <w:r w:rsidR="00685A96">
        <w:rPr>
          <w:rFonts w:ascii="Arial" w:eastAsia="等线" w:hAnsi="Arial" w:cs="Arial" w:hint="eastAsia"/>
          <w:sz w:val="20"/>
          <w:szCs w:val="20"/>
        </w:rPr>
        <w:t>B</w:t>
      </w:r>
      <w:r w:rsidRPr="00DA3DFC">
        <w:rPr>
          <w:rFonts w:ascii="Arial" w:eastAsia="等线" w:hAnsi="Arial" w:cs="Arial"/>
          <w:sz w:val="20"/>
          <w:szCs w:val="20"/>
        </w:rPr>
        <w:t>) HUVECs after co-incubation with mFeB@PDA-FA NPs at various concentrations for 24 h and 48 h.</w:t>
      </w:r>
      <w:bookmarkEnd w:id="2"/>
    </w:p>
    <w:p w14:paraId="45E5A0B5" w14:textId="16DACD62" w:rsidR="00677CEB" w:rsidRPr="00DA3DFC" w:rsidRDefault="00677CEB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2F937212" w14:textId="7D519542" w:rsidR="000E74CD" w:rsidRPr="00DA3DFC" w:rsidRDefault="00DB130F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95347FC" wp14:editId="509FD3D7">
            <wp:extent cx="1666875" cy="1219200"/>
            <wp:effectExtent l="0" t="0" r="0" b="0"/>
            <wp:docPr id="8750155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FDE0" w14:textId="0FFD1125" w:rsidR="00547B1D" w:rsidRPr="00DA3DFC" w:rsidRDefault="00547B1D" w:rsidP="00547B1D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4B375F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S1</w:t>
      </w:r>
      <w:r w:rsidR="00F71D66">
        <w:rPr>
          <w:rFonts w:ascii="Arial" w:eastAsia="等线" w:hAnsi="Arial" w:cs="Arial" w:hint="eastAsia"/>
          <w:sz w:val="20"/>
          <w:szCs w:val="20"/>
        </w:rPr>
        <w:t>4</w:t>
      </w:r>
      <w:r w:rsidRPr="00DA3DFC">
        <w:rPr>
          <w:rFonts w:ascii="Arial" w:eastAsia="等线" w:hAnsi="Arial" w:cs="Arial"/>
          <w:sz w:val="20"/>
          <w:szCs w:val="20"/>
        </w:rPr>
        <w:t>: UV-vis absorption spectra of TMB aqueous solution treated with: (1) PBS, (2) PBS + H</w:t>
      </w:r>
      <w:r w:rsidRPr="00DA3DFC">
        <w:rPr>
          <w:rFonts w:ascii="Arial" w:eastAsia="等线" w:hAnsi="Arial" w:cs="Arial"/>
          <w:sz w:val="20"/>
          <w:szCs w:val="20"/>
          <w:vertAlign w:val="subscript"/>
        </w:rPr>
        <w:t>2</w:t>
      </w:r>
      <w:r w:rsidRPr="00DA3DFC">
        <w:rPr>
          <w:rFonts w:ascii="Arial" w:eastAsia="等线" w:hAnsi="Arial" w:cs="Arial"/>
          <w:sz w:val="20"/>
          <w:szCs w:val="20"/>
        </w:rPr>
        <w:t>O</w:t>
      </w:r>
      <w:r w:rsidRPr="00DA3DFC">
        <w:rPr>
          <w:rFonts w:ascii="Arial" w:eastAsia="等线" w:hAnsi="Arial" w:cs="Arial"/>
          <w:sz w:val="20"/>
          <w:szCs w:val="20"/>
          <w:vertAlign w:val="subscript"/>
        </w:rPr>
        <w:t>2</w:t>
      </w:r>
      <w:r w:rsidRPr="00DA3DFC">
        <w:rPr>
          <w:rFonts w:ascii="Arial" w:eastAsia="等线" w:hAnsi="Arial" w:cs="Arial"/>
          <w:sz w:val="20"/>
          <w:szCs w:val="20"/>
        </w:rPr>
        <w:t xml:space="preserve">, (3) PBS + 45 </w:t>
      </w:r>
      <w:r w:rsidRPr="00DA3DFC">
        <w:rPr>
          <w:rFonts w:ascii="宋体" w:eastAsia="宋体" w:hAnsi="宋体" w:cs="宋体" w:hint="eastAsia"/>
          <w:sz w:val="20"/>
          <w:szCs w:val="20"/>
        </w:rPr>
        <w:t>℃</w:t>
      </w:r>
      <w:r w:rsidRPr="00DA3DFC">
        <w:rPr>
          <w:rFonts w:ascii="Arial" w:eastAsia="等线" w:hAnsi="Arial" w:cs="Arial"/>
          <w:sz w:val="20"/>
          <w:szCs w:val="20"/>
        </w:rPr>
        <w:t xml:space="preserve">, (4) </w:t>
      </w:r>
      <w:bookmarkStart w:id="3" w:name="OLE_LINK2"/>
      <w:r w:rsidRPr="00DA3DFC">
        <w:rPr>
          <w:rFonts w:ascii="Arial" w:eastAsia="等线" w:hAnsi="Arial" w:cs="Arial"/>
          <w:sz w:val="20"/>
          <w:szCs w:val="20"/>
        </w:rPr>
        <w:t>PBS + mFe + H</w:t>
      </w:r>
      <w:r w:rsidRPr="00DA3DFC">
        <w:rPr>
          <w:rFonts w:ascii="Arial" w:eastAsia="等线" w:hAnsi="Arial" w:cs="Arial"/>
          <w:sz w:val="20"/>
          <w:szCs w:val="20"/>
          <w:vertAlign w:val="subscript"/>
        </w:rPr>
        <w:t>2</w:t>
      </w:r>
      <w:r w:rsidRPr="00DA3DFC">
        <w:rPr>
          <w:rFonts w:ascii="Arial" w:eastAsia="等线" w:hAnsi="Arial" w:cs="Arial"/>
          <w:sz w:val="20"/>
          <w:szCs w:val="20"/>
        </w:rPr>
        <w:t>O</w:t>
      </w:r>
      <w:r w:rsidRPr="00DA3DFC">
        <w:rPr>
          <w:rFonts w:ascii="Arial" w:eastAsia="等线" w:hAnsi="Arial" w:cs="Arial"/>
          <w:sz w:val="20"/>
          <w:szCs w:val="20"/>
          <w:vertAlign w:val="subscript"/>
        </w:rPr>
        <w:t>2</w:t>
      </w:r>
      <w:r w:rsidRPr="00DA3DFC">
        <w:rPr>
          <w:rFonts w:ascii="Arial" w:eastAsia="等线" w:hAnsi="Arial" w:cs="Arial"/>
          <w:sz w:val="20"/>
          <w:szCs w:val="20"/>
        </w:rPr>
        <w:t xml:space="preserve"> + 25 </w:t>
      </w:r>
      <w:r w:rsidRPr="00DA3DFC">
        <w:rPr>
          <w:rFonts w:ascii="宋体" w:eastAsia="宋体" w:hAnsi="宋体" w:cs="宋体" w:hint="eastAsia"/>
          <w:sz w:val="20"/>
          <w:szCs w:val="20"/>
        </w:rPr>
        <w:t>℃</w:t>
      </w:r>
      <w:bookmarkEnd w:id="3"/>
      <w:r w:rsidRPr="00DA3DFC">
        <w:rPr>
          <w:rFonts w:ascii="Arial" w:eastAsia="等线" w:hAnsi="Arial" w:cs="Arial"/>
          <w:sz w:val="20"/>
          <w:szCs w:val="20"/>
        </w:rPr>
        <w:t xml:space="preserve"> and (5) PBS + mFe + H</w:t>
      </w:r>
      <w:r w:rsidRPr="00DA3DFC">
        <w:rPr>
          <w:rFonts w:ascii="Arial" w:eastAsia="等线" w:hAnsi="Arial" w:cs="Arial"/>
          <w:sz w:val="20"/>
          <w:szCs w:val="20"/>
          <w:vertAlign w:val="subscript"/>
        </w:rPr>
        <w:t>2</w:t>
      </w:r>
      <w:r w:rsidRPr="00DA3DFC">
        <w:rPr>
          <w:rFonts w:ascii="Arial" w:eastAsia="等线" w:hAnsi="Arial" w:cs="Arial"/>
          <w:sz w:val="20"/>
          <w:szCs w:val="20"/>
        </w:rPr>
        <w:t>O</w:t>
      </w:r>
      <w:r w:rsidRPr="00DA3DFC">
        <w:rPr>
          <w:rFonts w:ascii="Arial" w:eastAsia="等线" w:hAnsi="Arial" w:cs="Arial"/>
          <w:sz w:val="20"/>
          <w:szCs w:val="20"/>
          <w:vertAlign w:val="subscript"/>
        </w:rPr>
        <w:t>2</w:t>
      </w:r>
      <w:r w:rsidRPr="00DA3DFC">
        <w:rPr>
          <w:rFonts w:ascii="Arial" w:eastAsia="等线" w:hAnsi="Arial" w:cs="Arial"/>
          <w:sz w:val="20"/>
          <w:szCs w:val="20"/>
        </w:rPr>
        <w:t xml:space="preserve"> + 45 </w:t>
      </w:r>
      <w:r w:rsidRPr="00DA3DFC">
        <w:rPr>
          <w:rFonts w:ascii="宋体" w:eastAsia="宋体" w:hAnsi="宋体" w:cs="宋体" w:hint="eastAsia"/>
          <w:sz w:val="20"/>
          <w:szCs w:val="20"/>
        </w:rPr>
        <w:t>℃</w:t>
      </w:r>
      <w:r w:rsidRPr="00DA3DFC">
        <w:rPr>
          <w:rFonts w:ascii="Arial" w:eastAsia="等线" w:hAnsi="Arial" w:cs="Arial"/>
          <w:sz w:val="20"/>
          <w:szCs w:val="20"/>
        </w:rPr>
        <w:t>.</w:t>
      </w:r>
    </w:p>
    <w:p w14:paraId="33FE10E8" w14:textId="77777777" w:rsidR="00547B1D" w:rsidRDefault="00547B1D" w:rsidP="00547B1D">
      <w:pPr>
        <w:widowControl/>
        <w:spacing w:line="48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51F333B" w14:textId="03D180F1" w:rsidR="00DB130F" w:rsidRDefault="00DB130F" w:rsidP="00DB130F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 w:hint="eastAsia"/>
          <w:noProof/>
          <w:color w:val="000000" w:themeColor="text1"/>
          <w:sz w:val="20"/>
          <w:szCs w:val="20"/>
        </w:rPr>
        <w:drawing>
          <wp:inline distT="0" distB="0" distL="0" distR="0" wp14:anchorId="4E6C622E" wp14:editId="0E223033">
            <wp:extent cx="1828800" cy="1371600"/>
            <wp:effectExtent l="0" t="0" r="0" b="0"/>
            <wp:docPr id="5025991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D1D8E" w14:textId="042FC657" w:rsidR="00DB130F" w:rsidRDefault="00DB130F" w:rsidP="00DB130F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Figure S15: </w:t>
      </w:r>
      <w:r w:rsidR="001E645B">
        <w:rPr>
          <w:rFonts w:ascii="Arial" w:hAnsi="Arial" w:cs="Arial" w:hint="eastAsia"/>
          <w:color w:val="000000" w:themeColor="text1"/>
          <w:sz w:val="20"/>
          <w:szCs w:val="20"/>
        </w:rPr>
        <w:t>Intracellular GPX4 activity of MNNG/HOS cells after different treatments.</w:t>
      </w:r>
    </w:p>
    <w:p w14:paraId="6AD95E5E" w14:textId="77777777" w:rsidR="006A2219" w:rsidRPr="006A2219" w:rsidRDefault="006A2219" w:rsidP="00DB130F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15ED4003" w14:textId="24F92723" w:rsidR="00BE5CB5" w:rsidRDefault="006A2219" w:rsidP="00DB130F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24EDBA5" wp14:editId="01B3B4C3">
            <wp:extent cx="3566160" cy="687705"/>
            <wp:effectExtent l="0" t="0" r="0" b="0"/>
            <wp:docPr id="1563243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CF80" w14:textId="2CF28EC2" w:rsidR="006A2219" w:rsidRPr="00663A0E" w:rsidRDefault="006A2219" w:rsidP="00DB130F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 w:hint="eastAsia"/>
          <w:color w:val="000000" w:themeColor="text1"/>
          <w:sz w:val="20"/>
          <w:szCs w:val="20"/>
        </w:rPr>
        <w:t xml:space="preserve">Figure S16: </w:t>
      </w:r>
      <w:r w:rsidR="00663A0E" w:rsidRPr="00663A0E">
        <w:rPr>
          <w:rFonts w:ascii="Arial" w:hAnsi="Arial" w:cs="Arial"/>
          <w:color w:val="000000" w:themeColor="text1"/>
          <w:sz w:val="20"/>
          <w:szCs w:val="20"/>
        </w:rPr>
        <w:t>Fluorescence images of lipid peroxides stained with</w:t>
      </w:r>
      <w:r w:rsidR="00663A0E">
        <w:rPr>
          <w:rFonts w:ascii="Arial" w:hAnsi="Arial" w:cs="Arial" w:hint="eastAsia"/>
          <w:color w:val="000000" w:themeColor="text1"/>
          <w:sz w:val="20"/>
          <w:szCs w:val="20"/>
        </w:rPr>
        <w:t xml:space="preserve"> </w:t>
      </w:r>
      <w:r w:rsidR="00663A0E" w:rsidRPr="00663A0E">
        <w:rPr>
          <w:rFonts w:ascii="Arial" w:hAnsi="Arial" w:cs="Arial" w:hint="eastAsia"/>
          <w:color w:val="000000" w:themeColor="text1"/>
          <w:sz w:val="20"/>
          <w:szCs w:val="20"/>
        </w:rPr>
        <w:t>C11-BODIPY</w:t>
      </w:r>
      <w:r w:rsidR="00663A0E" w:rsidRPr="00663A0E">
        <w:rPr>
          <w:rFonts w:ascii="Arial" w:hAnsi="Arial" w:cs="Arial" w:hint="eastAsia"/>
          <w:color w:val="000000" w:themeColor="text1"/>
          <w:sz w:val="20"/>
          <w:szCs w:val="20"/>
          <w:vertAlign w:val="superscript"/>
        </w:rPr>
        <w:t>581/591</w:t>
      </w:r>
      <w:r w:rsidR="00663A0E">
        <w:rPr>
          <w:rFonts w:ascii="Arial" w:hAnsi="Arial" w:cs="Arial" w:hint="eastAsia"/>
          <w:color w:val="000000" w:themeColor="text1"/>
          <w:sz w:val="20"/>
          <w:szCs w:val="20"/>
        </w:rPr>
        <w:t xml:space="preserve"> after different treatments.</w:t>
      </w:r>
    </w:p>
    <w:p w14:paraId="43EF0DC7" w14:textId="77777777" w:rsidR="000F4422" w:rsidRPr="00DA3DFC" w:rsidRDefault="000F4422" w:rsidP="00DB130F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2334063" w14:textId="79274223" w:rsidR="00547B1D" w:rsidRPr="00DA3DFC" w:rsidRDefault="00594FC1" w:rsidP="00594FC1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A3DFC">
        <w:rPr>
          <w:rFonts w:ascii="Arial" w:hAnsi="Arial" w:cs="Arial"/>
          <w:noProof/>
        </w:rPr>
        <w:drawing>
          <wp:inline distT="0" distB="0" distL="0" distR="0" wp14:anchorId="73C76A73" wp14:editId="1D941E2C">
            <wp:extent cx="5274310" cy="742315"/>
            <wp:effectExtent l="0" t="0" r="0" b="0"/>
            <wp:docPr id="2060451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7CA60" w14:textId="4B944C42" w:rsidR="00BC4610" w:rsidRPr="00DA3DFC" w:rsidRDefault="00594FC1" w:rsidP="005E0A9F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A3DFC">
        <w:rPr>
          <w:rFonts w:ascii="Arial" w:hAnsi="Arial" w:cs="Arial"/>
          <w:color w:val="000000" w:themeColor="text1"/>
          <w:sz w:val="20"/>
          <w:szCs w:val="20"/>
        </w:rPr>
        <w:t>Figure S1</w:t>
      </w:r>
      <w:r w:rsidR="00F71D66">
        <w:rPr>
          <w:rFonts w:ascii="Arial" w:hAnsi="Arial" w:cs="Arial" w:hint="eastAsia"/>
          <w:color w:val="000000" w:themeColor="text1"/>
          <w:sz w:val="20"/>
          <w:szCs w:val="20"/>
        </w:rPr>
        <w:t>7</w:t>
      </w:r>
      <w:r w:rsidRPr="00DA3DFC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  <w:r w:rsidR="00A3796F" w:rsidRPr="00DA3DFC">
        <w:rPr>
          <w:rFonts w:ascii="Arial" w:eastAsia="等线" w:hAnsi="Arial" w:cs="Arial"/>
          <w:sz w:val="20"/>
          <w:szCs w:val="20"/>
        </w:rPr>
        <w:t>Schematic illustration</w:t>
      </w:r>
      <w:r w:rsidR="005E0A9F" w:rsidRPr="00DA3DFC">
        <w:rPr>
          <w:rFonts w:ascii="Arial" w:eastAsia="等线" w:hAnsi="Arial" w:cs="Arial"/>
          <w:sz w:val="20"/>
          <w:szCs w:val="20"/>
        </w:rPr>
        <w:t xml:space="preserve"> of lipid peroxidation process.</w:t>
      </w:r>
    </w:p>
    <w:p w14:paraId="69C08069" w14:textId="77777777" w:rsidR="00594FC1" w:rsidRPr="00DA3DFC" w:rsidRDefault="00594FC1" w:rsidP="00663A0E">
      <w:pPr>
        <w:widowControl/>
        <w:spacing w:line="480" w:lineRule="auto"/>
        <w:jc w:val="center"/>
        <w:rPr>
          <w:rFonts w:ascii="Arial" w:hAnsi="Arial" w:cs="Arial"/>
          <w:noProof/>
        </w:rPr>
      </w:pPr>
    </w:p>
    <w:p w14:paraId="3E523AF1" w14:textId="51DBB609" w:rsidR="00594FC1" w:rsidRPr="00DA3DFC" w:rsidRDefault="00594FC1" w:rsidP="0083063D">
      <w:pPr>
        <w:widowControl/>
        <w:spacing w:line="480" w:lineRule="auto"/>
        <w:jc w:val="center"/>
        <w:rPr>
          <w:rFonts w:ascii="Arial" w:hAnsi="Arial" w:cs="Arial"/>
          <w:noProof/>
        </w:rPr>
      </w:pPr>
      <w:r w:rsidRPr="00DA3DFC">
        <w:rPr>
          <w:rFonts w:ascii="Arial" w:hAnsi="Arial" w:cs="Arial"/>
          <w:noProof/>
        </w:rPr>
        <w:drawing>
          <wp:inline distT="0" distB="0" distL="0" distR="0" wp14:anchorId="1E77BEDE" wp14:editId="3FC90365">
            <wp:extent cx="1828800" cy="1600835"/>
            <wp:effectExtent l="0" t="0" r="0" b="0"/>
            <wp:docPr id="12045110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D1C7" w14:textId="16EB8DBF" w:rsidR="00594FC1" w:rsidRDefault="00594FC1" w:rsidP="000E74CD">
      <w:pPr>
        <w:widowControl/>
        <w:spacing w:line="48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hAnsi="Arial" w:cs="Arial"/>
          <w:noProof/>
        </w:rPr>
        <w:t>Figure S1</w:t>
      </w:r>
      <w:r w:rsidR="00F71D66">
        <w:rPr>
          <w:rFonts w:ascii="Arial" w:hAnsi="Arial" w:cs="Arial" w:hint="eastAsia"/>
          <w:noProof/>
        </w:rPr>
        <w:t>8</w:t>
      </w:r>
      <w:r w:rsidRPr="00DA3DFC">
        <w:rPr>
          <w:rFonts w:ascii="Arial" w:hAnsi="Arial" w:cs="Arial"/>
          <w:noProof/>
        </w:rPr>
        <w:t>:</w:t>
      </w:r>
      <w:r w:rsidR="005E0A9F" w:rsidRPr="00DA3DFC">
        <w:rPr>
          <w:rFonts w:ascii="Arial" w:hAnsi="Arial" w:cs="Arial"/>
          <w:noProof/>
        </w:rPr>
        <w:t xml:space="preserve"> </w:t>
      </w:r>
      <w:r w:rsidR="00D4394F" w:rsidRPr="00DA3DFC">
        <w:rPr>
          <w:rFonts w:ascii="Arial" w:eastAsia="等线" w:hAnsi="Arial" w:cs="Arial"/>
          <w:sz w:val="20"/>
          <w:szCs w:val="20"/>
        </w:rPr>
        <w:t xml:space="preserve">Lipid peroxidation </w:t>
      </w:r>
      <w:r w:rsidR="008005E8" w:rsidRPr="00DA3DFC">
        <w:rPr>
          <w:rFonts w:ascii="Arial" w:eastAsia="等线" w:hAnsi="Arial" w:cs="Arial"/>
          <w:sz w:val="20"/>
          <w:szCs w:val="20"/>
        </w:rPr>
        <w:t xml:space="preserve">levels </w:t>
      </w:r>
      <w:r w:rsidR="000E74CD" w:rsidRPr="00DA3DFC">
        <w:rPr>
          <w:rFonts w:ascii="Arial" w:eastAsia="等线" w:hAnsi="Arial" w:cs="Arial"/>
          <w:sz w:val="20"/>
          <w:szCs w:val="20"/>
        </w:rPr>
        <w:t>of MNNG/HOS cells after corresponding treatments</w:t>
      </w:r>
      <w:r w:rsidR="00CD1F80">
        <w:rPr>
          <w:rFonts w:ascii="Arial" w:eastAsia="等线" w:hAnsi="Arial" w:cs="Arial" w:hint="eastAsia"/>
          <w:sz w:val="20"/>
          <w:szCs w:val="20"/>
        </w:rPr>
        <w:t xml:space="preserve"> (**P </w:t>
      </w:r>
      <w:r w:rsidR="00CD1F80" w:rsidRPr="00CD1F80">
        <w:rPr>
          <w:rFonts w:ascii="Arial" w:eastAsia="等线" w:hAnsi="Arial" w:cs="Arial"/>
          <w:sz w:val="20"/>
          <w:szCs w:val="20"/>
        </w:rPr>
        <w:t>&lt;</w:t>
      </w:r>
      <w:r w:rsidR="00CD1F80">
        <w:rPr>
          <w:rFonts w:ascii="Arial" w:eastAsia="等线" w:hAnsi="Arial" w:cs="Arial" w:hint="eastAsia"/>
          <w:sz w:val="20"/>
          <w:szCs w:val="20"/>
        </w:rPr>
        <w:t xml:space="preserve"> 0.01, ****P </w:t>
      </w:r>
      <w:r w:rsidR="00CD1F80" w:rsidRPr="00CD1F80">
        <w:rPr>
          <w:rFonts w:ascii="Arial" w:eastAsia="等线" w:hAnsi="Arial" w:cs="Arial"/>
          <w:sz w:val="20"/>
          <w:szCs w:val="20"/>
        </w:rPr>
        <w:t>&lt;</w:t>
      </w:r>
      <w:r w:rsidR="00CD1F80">
        <w:rPr>
          <w:rFonts w:ascii="Arial" w:eastAsia="等线" w:hAnsi="Arial" w:cs="Arial" w:hint="eastAsia"/>
          <w:sz w:val="20"/>
          <w:szCs w:val="20"/>
        </w:rPr>
        <w:t xml:space="preserve"> 0.0001)</w:t>
      </w:r>
      <w:r w:rsidR="000E74CD" w:rsidRPr="00DA3DFC">
        <w:rPr>
          <w:rFonts w:ascii="Arial" w:eastAsia="等线" w:hAnsi="Arial" w:cs="Arial"/>
          <w:sz w:val="20"/>
          <w:szCs w:val="20"/>
        </w:rPr>
        <w:t>.</w:t>
      </w:r>
    </w:p>
    <w:p w14:paraId="29545BC6" w14:textId="77777777" w:rsidR="00663A0E" w:rsidRPr="00DA3DFC" w:rsidRDefault="00663A0E" w:rsidP="000E74CD">
      <w:pPr>
        <w:widowControl/>
        <w:spacing w:line="480" w:lineRule="auto"/>
        <w:jc w:val="center"/>
        <w:rPr>
          <w:rFonts w:ascii="Arial" w:hAnsi="Arial" w:cs="Arial"/>
          <w:noProof/>
        </w:rPr>
      </w:pPr>
    </w:p>
    <w:p w14:paraId="43130B7B" w14:textId="1A192C0E" w:rsidR="00677CEB" w:rsidRPr="00DA3DFC" w:rsidRDefault="00677CEB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DA3DFC">
        <w:rPr>
          <w:rFonts w:ascii="Arial" w:hAnsi="Arial" w:cs="Arial"/>
          <w:noProof/>
        </w:rPr>
        <w:drawing>
          <wp:inline distT="0" distB="0" distL="0" distR="0" wp14:anchorId="73781610" wp14:editId="2350AAE2">
            <wp:extent cx="3275965" cy="2591435"/>
            <wp:effectExtent l="0" t="0" r="0" b="0"/>
            <wp:docPr id="3263121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2EC42" w14:textId="16E9863A" w:rsidR="00350678" w:rsidRPr="00DA3DFC" w:rsidRDefault="00BC4610" w:rsidP="000E74CD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594FC1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S1</w:t>
      </w:r>
      <w:r w:rsidR="00F71D66">
        <w:rPr>
          <w:rFonts w:ascii="Arial" w:eastAsia="等线" w:hAnsi="Arial" w:cs="Arial" w:hint="eastAsia"/>
          <w:sz w:val="20"/>
          <w:szCs w:val="20"/>
        </w:rPr>
        <w:t>9</w:t>
      </w:r>
      <w:r w:rsidRPr="00DA3DFC">
        <w:rPr>
          <w:rFonts w:ascii="Arial" w:eastAsia="等线" w:hAnsi="Arial" w:cs="Arial"/>
          <w:sz w:val="20"/>
          <w:szCs w:val="20"/>
        </w:rPr>
        <w:t>: H&amp;E staining images of major organs (heart, liver, spleen, lung, kidney) of tumor-bearing mice after various treatments.</w:t>
      </w:r>
      <w:r w:rsidR="00350678" w:rsidRPr="00DA3DFC">
        <w:rPr>
          <w:rFonts w:ascii="Arial" w:eastAsia="等线" w:hAnsi="Arial" w:cs="Arial"/>
          <w:sz w:val="20"/>
          <w:szCs w:val="20"/>
        </w:rPr>
        <w:t xml:space="preserve"> Scale bar: </w:t>
      </w:r>
      <w:r w:rsidR="00505C34" w:rsidRPr="00DA3DFC">
        <w:rPr>
          <w:rFonts w:ascii="Arial" w:eastAsia="等线" w:hAnsi="Arial" w:cs="Arial"/>
          <w:sz w:val="20"/>
          <w:szCs w:val="20"/>
        </w:rPr>
        <w:t>100 μm.</w:t>
      </w:r>
    </w:p>
    <w:p w14:paraId="78487806" w14:textId="77777777" w:rsidR="00633810" w:rsidRPr="00DA3DFC" w:rsidRDefault="00633810" w:rsidP="0093067C">
      <w:pPr>
        <w:spacing w:line="360" w:lineRule="auto"/>
        <w:rPr>
          <w:rFonts w:ascii="Arial" w:eastAsia="等线" w:hAnsi="Arial" w:cs="Arial"/>
          <w:sz w:val="20"/>
          <w:szCs w:val="20"/>
        </w:rPr>
      </w:pPr>
    </w:p>
    <w:p w14:paraId="5CBAD972" w14:textId="49CFEB39" w:rsidR="00677CEB" w:rsidRPr="00DA3DFC" w:rsidRDefault="00EB7D46" w:rsidP="00EB7D46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241DC68" wp14:editId="26290B96">
            <wp:extent cx="3657600" cy="2440305"/>
            <wp:effectExtent l="0" t="0" r="0" b="0"/>
            <wp:docPr id="16447336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2008" w14:textId="47C72CDF" w:rsidR="004955F7" w:rsidRPr="00DA3DFC" w:rsidRDefault="004955F7" w:rsidP="004955F7">
      <w:pPr>
        <w:spacing w:line="360" w:lineRule="auto"/>
        <w:jc w:val="center"/>
        <w:rPr>
          <w:rFonts w:ascii="Arial" w:eastAsia="等线" w:hAnsi="Arial" w:cs="Arial"/>
          <w:sz w:val="20"/>
          <w:szCs w:val="20"/>
        </w:rPr>
      </w:pPr>
      <w:r w:rsidRPr="00DA3DFC">
        <w:rPr>
          <w:rFonts w:ascii="Arial" w:eastAsia="等线" w:hAnsi="Arial" w:cs="Arial"/>
          <w:sz w:val="20"/>
          <w:szCs w:val="20"/>
        </w:rPr>
        <w:t>Fig</w:t>
      </w:r>
      <w:r w:rsidR="00594FC1" w:rsidRPr="00DA3DFC">
        <w:rPr>
          <w:rFonts w:ascii="Arial" w:eastAsia="等线" w:hAnsi="Arial" w:cs="Arial"/>
          <w:sz w:val="20"/>
          <w:szCs w:val="20"/>
        </w:rPr>
        <w:t>ure</w:t>
      </w:r>
      <w:r w:rsidRPr="00DA3DFC">
        <w:rPr>
          <w:rFonts w:ascii="Arial" w:eastAsia="等线" w:hAnsi="Arial" w:cs="Arial"/>
          <w:sz w:val="20"/>
          <w:szCs w:val="20"/>
        </w:rPr>
        <w:t xml:space="preserve"> S</w:t>
      </w:r>
      <w:r w:rsidR="00F71D66">
        <w:rPr>
          <w:rFonts w:ascii="Arial" w:eastAsia="等线" w:hAnsi="Arial" w:cs="Arial" w:hint="eastAsia"/>
          <w:sz w:val="20"/>
          <w:szCs w:val="20"/>
        </w:rPr>
        <w:t>20:</w:t>
      </w:r>
      <w:r w:rsidRPr="00DA3DFC">
        <w:rPr>
          <w:rFonts w:ascii="Arial" w:eastAsia="等线" w:hAnsi="Arial" w:cs="Arial"/>
          <w:sz w:val="20"/>
          <w:szCs w:val="20"/>
        </w:rPr>
        <w:t xml:space="preserve"> Biosafety evaluation of blood biochemistry test of mice after different treatments. Serum levels of (</w:t>
      </w:r>
      <w:r w:rsidR="002172DB">
        <w:rPr>
          <w:rFonts w:ascii="Arial" w:eastAsia="等线" w:hAnsi="Arial" w:cs="Arial" w:hint="eastAsia"/>
          <w:sz w:val="20"/>
          <w:szCs w:val="20"/>
        </w:rPr>
        <w:t>A</w:t>
      </w:r>
      <w:r w:rsidRPr="00DA3DFC">
        <w:rPr>
          <w:rFonts w:ascii="Arial" w:eastAsia="等线" w:hAnsi="Arial" w:cs="Arial"/>
          <w:sz w:val="20"/>
          <w:szCs w:val="20"/>
        </w:rPr>
        <w:t>) ALT and (</w:t>
      </w:r>
      <w:r w:rsidR="002172DB">
        <w:rPr>
          <w:rFonts w:ascii="Arial" w:eastAsia="等线" w:hAnsi="Arial" w:cs="Arial" w:hint="eastAsia"/>
          <w:sz w:val="20"/>
          <w:szCs w:val="20"/>
        </w:rPr>
        <w:t>B</w:t>
      </w:r>
      <w:r w:rsidRPr="00DA3DFC">
        <w:rPr>
          <w:rFonts w:ascii="Arial" w:eastAsia="等线" w:hAnsi="Arial" w:cs="Arial"/>
          <w:sz w:val="20"/>
          <w:szCs w:val="20"/>
        </w:rPr>
        <w:t>) AST reflect the liver function of mice, while the serum levels of (</w:t>
      </w:r>
      <w:r w:rsidR="002172DB">
        <w:rPr>
          <w:rFonts w:ascii="Arial" w:eastAsia="等线" w:hAnsi="Arial" w:cs="Arial" w:hint="eastAsia"/>
          <w:sz w:val="20"/>
          <w:szCs w:val="20"/>
        </w:rPr>
        <w:t>C</w:t>
      </w:r>
      <w:r w:rsidRPr="00DA3DFC">
        <w:rPr>
          <w:rFonts w:ascii="Arial" w:eastAsia="等线" w:hAnsi="Arial" w:cs="Arial"/>
          <w:sz w:val="20"/>
          <w:szCs w:val="20"/>
        </w:rPr>
        <w:t>) BUN and (</w:t>
      </w:r>
      <w:r w:rsidR="002172DB">
        <w:rPr>
          <w:rFonts w:ascii="Arial" w:eastAsia="等线" w:hAnsi="Arial" w:cs="Arial" w:hint="eastAsia"/>
          <w:sz w:val="20"/>
          <w:szCs w:val="20"/>
        </w:rPr>
        <w:t>D</w:t>
      </w:r>
      <w:r w:rsidRPr="00DA3DFC">
        <w:rPr>
          <w:rFonts w:ascii="Arial" w:eastAsia="等线" w:hAnsi="Arial" w:cs="Arial"/>
          <w:sz w:val="20"/>
          <w:szCs w:val="20"/>
        </w:rPr>
        <w:t>) CREA reflect the kidney function of mice.</w:t>
      </w:r>
    </w:p>
    <w:p w14:paraId="5395C9AB" w14:textId="77777777" w:rsidR="004955F7" w:rsidRPr="00DA3DFC" w:rsidRDefault="004955F7" w:rsidP="0083063D">
      <w:pPr>
        <w:widowControl/>
        <w:spacing w:line="48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sectPr w:rsidR="004955F7" w:rsidRPr="00DA3DFC" w:rsidSect="00E45D10">
      <w:footerReference w:type="default" r:id="rId26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14FA0" w14:textId="77777777" w:rsidR="00F340ED" w:rsidRDefault="00F340ED" w:rsidP="0077114F">
      <w:pPr>
        <w:rPr>
          <w:rFonts w:hint="eastAsia"/>
        </w:rPr>
      </w:pPr>
      <w:r>
        <w:separator/>
      </w:r>
    </w:p>
  </w:endnote>
  <w:endnote w:type="continuationSeparator" w:id="0">
    <w:p w14:paraId="0023EC21" w14:textId="77777777" w:rsidR="00F340ED" w:rsidRDefault="00F340ED" w:rsidP="0077114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9835286"/>
      <w:docPartObj>
        <w:docPartGallery w:val="Page Numbers (Bottom of Page)"/>
        <w:docPartUnique/>
      </w:docPartObj>
    </w:sdtPr>
    <w:sdtContent>
      <w:p w14:paraId="438AB8E8" w14:textId="465237E8" w:rsidR="00090FFB" w:rsidRDefault="00090FFB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BE24F46" w14:textId="77777777" w:rsidR="00090FFB" w:rsidRDefault="00090FFB">
    <w:pPr>
      <w:pStyle w:val="a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562F5" w14:textId="77777777" w:rsidR="00F340ED" w:rsidRDefault="00F340ED" w:rsidP="0077114F">
      <w:pPr>
        <w:rPr>
          <w:rFonts w:hint="eastAsia"/>
        </w:rPr>
      </w:pPr>
      <w:r>
        <w:separator/>
      </w:r>
    </w:p>
  </w:footnote>
  <w:footnote w:type="continuationSeparator" w:id="0">
    <w:p w14:paraId="44572A79" w14:textId="77777777" w:rsidR="00F340ED" w:rsidRDefault="00F340ED" w:rsidP="0077114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31CA"/>
    <w:rsid w:val="00026A11"/>
    <w:rsid w:val="00036907"/>
    <w:rsid w:val="00066CA1"/>
    <w:rsid w:val="00090FFB"/>
    <w:rsid w:val="00097204"/>
    <w:rsid w:val="000E74CD"/>
    <w:rsid w:val="000E7A44"/>
    <w:rsid w:val="000F21C9"/>
    <w:rsid w:val="000F2D71"/>
    <w:rsid w:val="000F4422"/>
    <w:rsid w:val="000F60DF"/>
    <w:rsid w:val="00111FAF"/>
    <w:rsid w:val="0013282E"/>
    <w:rsid w:val="0017657D"/>
    <w:rsid w:val="001E4A3C"/>
    <w:rsid w:val="001E645B"/>
    <w:rsid w:val="002172DB"/>
    <w:rsid w:val="0025779D"/>
    <w:rsid w:val="00311E2A"/>
    <w:rsid w:val="0031707B"/>
    <w:rsid w:val="00317120"/>
    <w:rsid w:val="00350678"/>
    <w:rsid w:val="003549FD"/>
    <w:rsid w:val="00373A4F"/>
    <w:rsid w:val="003D7445"/>
    <w:rsid w:val="00410146"/>
    <w:rsid w:val="004310AF"/>
    <w:rsid w:val="004955F7"/>
    <w:rsid w:val="00495F4C"/>
    <w:rsid w:val="004B375F"/>
    <w:rsid w:val="0050302E"/>
    <w:rsid w:val="00505C34"/>
    <w:rsid w:val="00547B1D"/>
    <w:rsid w:val="00594FC1"/>
    <w:rsid w:val="005E0A9F"/>
    <w:rsid w:val="00633810"/>
    <w:rsid w:val="00663A0E"/>
    <w:rsid w:val="006648F2"/>
    <w:rsid w:val="00677CEB"/>
    <w:rsid w:val="00681243"/>
    <w:rsid w:val="00685A96"/>
    <w:rsid w:val="00692D32"/>
    <w:rsid w:val="006A2219"/>
    <w:rsid w:val="006D7AAC"/>
    <w:rsid w:val="006D7C11"/>
    <w:rsid w:val="007261D6"/>
    <w:rsid w:val="007434F9"/>
    <w:rsid w:val="0077114F"/>
    <w:rsid w:val="00773070"/>
    <w:rsid w:val="00781FE2"/>
    <w:rsid w:val="007D31CA"/>
    <w:rsid w:val="008005E8"/>
    <w:rsid w:val="00817654"/>
    <w:rsid w:val="00826F42"/>
    <w:rsid w:val="0083063D"/>
    <w:rsid w:val="00846FF3"/>
    <w:rsid w:val="008779A4"/>
    <w:rsid w:val="00885C36"/>
    <w:rsid w:val="008A591F"/>
    <w:rsid w:val="009263A2"/>
    <w:rsid w:val="0093067C"/>
    <w:rsid w:val="009307CE"/>
    <w:rsid w:val="00964D05"/>
    <w:rsid w:val="0098022F"/>
    <w:rsid w:val="009B6C2D"/>
    <w:rsid w:val="009E2083"/>
    <w:rsid w:val="00A01009"/>
    <w:rsid w:val="00A3796F"/>
    <w:rsid w:val="00A873AA"/>
    <w:rsid w:val="00BB1490"/>
    <w:rsid w:val="00BC4610"/>
    <w:rsid w:val="00BE2941"/>
    <w:rsid w:val="00BE5CB5"/>
    <w:rsid w:val="00C70B82"/>
    <w:rsid w:val="00C840D1"/>
    <w:rsid w:val="00C86336"/>
    <w:rsid w:val="00CD1F80"/>
    <w:rsid w:val="00CF2E30"/>
    <w:rsid w:val="00D16000"/>
    <w:rsid w:val="00D4394F"/>
    <w:rsid w:val="00D76180"/>
    <w:rsid w:val="00DA3DFC"/>
    <w:rsid w:val="00DB130F"/>
    <w:rsid w:val="00E3653D"/>
    <w:rsid w:val="00E45D10"/>
    <w:rsid w:val="00EB7D46"/>
    <w:rsid w:val="00EC2FA2"/>
    <w:rsid w:val="00F010C4"/>
    <w:rsid w:val="00F07E76"/>
    <w:rsid w:val="00F30941"/>
    <w:rsid w:val="00F340ED"/>
    <w:rsid w:val="00F52F6D"/>
    <w:rsid w:val="00F71D66"/>
    <w:rsid w:val="00FE2B9F"/>
    <w:rsid w:val="00FF7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453055"/>
  <w15:chartTrackingRefBased/>
  <w15:docId w15:val="{DAC28C71-1FA1-4268-85EF-675ECF36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063D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063D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83063D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77114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7114F"/>
    <w:rPr>
      <w:sz w:val="18"/>
      <w:szCs w:val="18"/>
      <w14:ligatures w14:val="none"/>
    </w:rPr>
  </w:style>
  <w:style w:type="paragraph" w:styleId="a7">
    <w:name w:val="footer"/>
    <w:basedOn w:val="a"/>
    <w:link w:val="a8"/>
    <w:uiPriority w:val="99"/>
    <w:unhideWhenUsed/>
    <w:rsid w:val="007711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7114F"/>
    <w:rPr>
      <w:sz w:val="18"/>
      <w:szCs w:val="18"/>
      <w14:ligatures w14:val="none"/>
    </w:rPr>
  </w:style>
  <w:style w:type="character" w:styleId="a9">
    <w:name w:val="line number"/>
    <w:basedOn w:val="a0"/>
    <w:uiPriority w:val="99"/>
    <w:semiHidden/>
    <w:unhideWhenUsed/>
    <w:rsid w:val="00771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316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庆成 宋</dc:creator>
  <cp:keywords/>
  <dc:description/>
  <cp:lastModifiedBy>庆成 宋</cp:lastModifiedBy>
  <cp:revision>102</cp:revision>
  <dcterms:created xsi:type="dcterms:W3CDTF">2024-04-30T08:03:00Z</dcterms:created>
  <dcterms:modified xsi:type="dcterms:W3CDTF">2024-10-10T00:36:00Z</dcterms:modified>
</cp:coreProperties>
</file>