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A2DBB" w14:textId="493BFF14" w:rsidR="00F90028" w:rsidRPr="00BE718E" w:rsidRDefault="00F90028" w:rsidP="00F90028">
      <w:pPr>
        <w:spacing w:line="360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>Supplementary Table 1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Definitions of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c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omplications in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c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hildren with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s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>epsis</w:t>
      </w:r>
    </w:p>
    <w:tbl>
      <w:tblPr>
        <w:tblW w:w="10632" w:type="dxa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505"/>
      </w:tblGrid>
      <w:tr w:rsidR="00F90028" w:rsidRPr="00BE718E" w14:paraId="3382CC7A" w14:textId="77777777" w:rsidTr="00F90028">
        <w:trPr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14:paraId="6DE94A74" w14:textId="2140391C" w:rsidR="00F90028" w:rsidRPr="00BE718E" w:rsidRDefault="00F90028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Complication</w:t>
            </w:r>
          </w:p>
        </w:tc>
        <w:tc>
          <w:tcPr>
            <w:tcW w:w="8505" w:type="dxa"/>
            <w:tcBorders>
              <w:top w:val="single" w:sz="4" w:space="0" w:color="auto"/>
              <w:bottom w:val="single" w:sz="4" w:space="0" w:color="auto"/>
            </w:tcBorders>
          </w:tcPr>
          <w:p w14:paraId="29DA3728" w14:textId="77777777" w:rsidR="00F90028" w:rsidRPr="00BE718E" w:rsidRDefault="00F90028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Diagnostic criteria</w:t>
            </w:r>
          </w:p>
        </w:tc>
      </w:tr>
      <w:tr w:rsidR="00F90028" w:rsidRPr="00BE718E" w14:paraId="08BDC1CE" w14:textId="77777777" w:rsidTr="00F90028">
        <w:trPr>
          <w:trHeight w:hRule="exact" w:val="567"/>
          <w:jc w:val="center"/>
        </w:trPr>
        <w:tc>
          <w:tcPr>
            <w:tcW w:w="2127" w:type="dxa"/>
            <w:tcBorders>
              <w:top w:val="single" w:sz="4" w:space="0" w:color="auto"/>
            </w:tcBorders>
          </w:tcPr>
          <w:p w14:paraId="3BEB4115" w14:textId="7E8686F3" w:rsidR="00F90028" w:rsidRPr="00BE718E" w:rsidRDefault="00F90028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Anaemia</w:t>
            </w:r>
          </w:p>
        </w:tc>
        <w:tc>
          <w:tcPr>
            <w:tcW w:w="8505" w:type="dxa"/>
            <w:tcBorders>
              <w:top w:val="single" w:sz="4" w:space="0" w:color="auto"/>
            </w:tcBorders>
          </w:tcPr>
          <w:p w14:paraId="4B2C9786" w14:textId="6B67AD5C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Haemoglobin 1-4 months: &lt; 90 g/L</w:t>
            </w:r>
          </w:p>
        </w:tc>
      </w:tr>
      <w:tr w:rsidR="00F90028" w:rsidRPr="00BE718E" w14:paraId="483CCE76" w14:textId="77777777" w:rsidTr="00F90028">
        <w:trPr>
          <w:trHeight w:hRule="exact" w:val="567"/>
          <w:jc w:val="center"/>
        </w:trPr>
        <w:tc>
          <w:tcPr>
            <w:tcW w:w="2127" w:type="dxa"/>
          </w:tcPr>
          <w:p w14:paraId="72C0B24E" w14:textId="77777777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5855C8F" w14:textId="7734F99E" w:rsidR="00F90028" w:rsidRPr="00BE718E" w:rsidRDefault="00F90028" w:rsidP="00CE28A4">
            <w:pPr>
              <w:spacing w:line="360" w:lineRule="auto"/>
              <w:ind w:firstLineChars="600" w:firstLine="1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4-6 months: &lt; 100 g/L</w:t>
            </w:r>
          </w:p>
        </w:tc>
      </w:tr>
      <w:tr w:rsidR="00F90028" w:rsidRPr="00BE718E" w14:paraId="697016BA" w14:textId="77777777" w:rsidTr="00F90028">
        <w:trPr>
          <w:trHeight w:hRule="exact" w:val="567"/>
          <w:jc w:val="center"/>
        </w:trPr>
        <w:tc>
          <w:tcPr>
            <w:tcW w:w="2127" w:type="dxa"/>
          </w:tcPr>
          <w:p w14:paraId="5FC97003" w14:textId="77777777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5" w:type="dxa"/>
          </w:tcPr>
          <w:p w14:paraId="4DDB198D" w14:textId="199F4FF3" w:rsidR="00F90028" w:rsidRPr="00BE718E" w:rsidRDefault="00F90028" w:rsidP="00CE28A4">
            <w:pPr>
              <w:spacing w:line="360" w:lineRule="auto"/>
              <w:ind w:firstLineChars="600" w:firstLine="1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6 months to 5 years: &lt; 110 g/L</w:t>
            </w:r>
          </w:p>
        </w:tc>
      </w:tr>
      <w:tr w:rsidR="00F90028" w:rsidRPr="00BE718E" w14:paraId="14A1EDF6" w14:textId="77777777" w:rsidTr="00F90028">
        <w:trPr>
          <w:trHeight w:hRule="exact" w:val="567"/>
          <w:jc w:val="center"/>
        </w:trPr>
        <w:tc>
          <w:tcPr>
            <w:tcW w:w="2127" w:type="dxa"/>
          </w:tcPr>
          <w:p w14:paraId="0C24DBFA" w14:textId="77777777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5" w:type="dxa"/>
          </w:tcPr>
          <w:p w14:paraId="7D17C9B4" w14:textId="0A2990D8" w:rsidR="00F90028" w:rsidRPr="00BE718E" w:rsidRDefault="00F90028" w:rsidP="00CE28A4">
            <w:pPr>
              <w:spacing w:line="360" w:lineRule="auto"/>
              <w:ind w:firstLineChars="600" w:firstLine="1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5-12years: &lt; 115 g/L</w:t>
            </w:r>
          </w:p>
        </w:tc>
      </w:tr>
      <w:tr w:rsidR="00F90028" w:rsidRPr="00BE718E" w14:paraId="559ED172" w14:textId="77777777" w:rsidTr="00F90028">
        <w:trPr>
          <w:trHeight w:hRule="exact" w:val="567"/>
          <w:jc w:val="center"/>
        </w:trPr>
        <w:tc>
          <w:tcPr>
            <w:tcW w:w="2127" w:type="dxa"/>
          </w:tcPr>
          <w:p w14:paraId="2332BBAE" w14:textId="77777777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C56B65C" w14:textId="58C67F33" w:rsidR="00F90028" w:rsidRPr="00BE718E" w:rsidRDefault="00F90028" w:rsidP="00CE28A4">
            <w:pPr>
              <w:spacing w:line="360" w:lineRule="auto"/>
              <w:ind w:firstLineChars="600" w:firstLine="120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&gt;12years: &lt; 120 g/L</w:t>
            </w:r>
          </w:p>
        </w:tc>
      </w:tr>
      <w:tr w:rsidR="00F90028" w:rsidRPr="00BE718E" w14:paraId="2E266F99" w14:textId="77777777" w:rsidTr="00F90028">
        <w:trPr>
          <w:trHeight w:hRule="exact" w:val="567"/>
          <w:jc w:val="center"/>
        </w:trPr>
        <w:tc>
          <w:tcPr>
            <w:tcW w:w="2127" w:type="dxa"/>
          </w:tcPr>
          <w:p w14:paraId="48D5DD27" w14:textId="713FBC53" w:rsidR="00F90028" w:rsidRPr="00BE718E" w:rsidRDefault="00F90028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Hypertension</w:t>
            </w:r>
          </w:p>
        </w:tc>
        <w:tc>
          <w:tcPr>
            <w:tcW w:w="8505" w:type="dxa"/>
          </w:tcPr>
          <w:p w14:paraId="4F91F9BC" w14:textId="56D3BF1A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Systolic blood pressure ≥ 120 mmHg or diastolic blood pressure ≥ 80 mmHg</w:t>
            </w:r>
          </w:p>
        </w:tc>
      </w:tr>
      <w:tr w:rsidR="00F90028" w:rsidRPr="00BE718E" w14:paraId="7311BC0E" w14:textId="77777777" w:rsidTr="00F90028">
        <w:trPr>
          <w:trHeight w:hRule="exact" w:val="567"/>
          <w:jc w:val="center"/>
        </w:trPr>
        <w:tc>
          <w:tcPr>
            <w:tcW w:w="2127" w:type="dxa"/>
          </w:tcPr>
          <w:p w14:paraId="1394134E" w14:textId="77777777" w:rsidR="00F90028" w:rsidRPr="00BE718E" w:rsidRDefault="00F90028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bookmarkStart w:id="0" w:name="_Hlk167355894"/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Liver dysfunction</w:t>
            </w:r>
          </w:p>
        </w:tc>
        <w:tc>
          <w:tcPr>
            <w:tcW w:w="8505" w:type="dxa"/>
          </w:tcPr>
          <w:p w14:paraId="32B55F31" w14:textId="55B83F04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Total bilirubin &gt; 68.4 mmol/L or elevation of alanine aminotransferase exceeding 2 times the upper limit</w:t>
            </w:r>
          </w:p>
        </w:tc>
      </w:tr>
      <w:bookmarkEnd w:id="0"/>
      <w:tr w:rsidR="00F90028" w:rsidRPr="00BE718E" w14:paraId="1D4BC4A9" w14:textId="77777777" w:rsidTr="00F90028">
        <w:trPr>
          <w:trHeight w:hRule="exact" w:val="567"/>
          <w:jc w:val="center"/>
        </w:trPr>
        <w:tc>
          <w:tcPr>
            <w:tcW w:w="2127" w:type="dxa"/>
          </w:tcPr>
          <w:p w14:paraId="3A86D5C2" w14:textId="77777777" w:rsidR="00F90028" w:rsidRPr="00BE718E" w:rsidRDefault="00F90028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505" w:type="dxa"/>
          </w:tcPr>
          <w:p w14:paraId="34259297" w14:textId="473B7EC0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of normal (40 IU/L)</w:t>
            </w:r>
          </w:p>
          <w:p w14:paraId="61C352C9" w14:textId="77777777" w:rsidR="00F90028" w:rsidRPr="00BE718E" w:rsidRDefault="00F90028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90028" w:rsidRPr="00BE718E" w14:paraId="4457C6BF" w14:textId="77777777" w:rsidTr="00F90028">
        <w:trPr>
          <w:trHeight w:hRule="exact" w:val="567"/>
          <w:jc w:val="center"/>
        </w:trPr>
        <w:tc>
          <w:tcPr>
            <w:tcW w:w="2127" w:type="dxa"/>
          </w:tcPr>
          <w:p w14:paraId="0A685C73" w14:textId="77777777" w:rsidR="00F90028" w:rsidRPr="00BE718E" w:rsidRDefault="00F90028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Renal dysfunction</w:t>
            </w:r>
          </w:p>
        </w:tc>
        <w:tc>
          <w:tcPr>
            <w:tcW w:w="8505" w:type="dxa"/>
          </w:tcPr>
          <w:p w14:paraId="60AF68E3" w14:textId="77777777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Serum creatinine level greater than 2 times the upper limit of normal for age-matched peers</w:t>
            </w:r>
          </w:p>
        </w:tc>
      </w:tr>
      <w:tr w:rsidR="00F90028" w:rsidRPr="00BE718E" w14:paraId="742E1312" w14:textId="77777777" w:rsidTr="00F90028">
        <w:trPr>
          <w:trHeight w:hRule="exact" w:val="567"/>
          <w:jc w:val="center"/>
        </w:trPr>
        <w:tc>
          <w:tcPr>
            <w:tcW w:w="2127" w:type="dxa"/>
            <w:tcBorders>
              <w:bottom w:val="single" w:sz="4" w:space="0" w:color="auto"/>
            </w:tcBorders>
          </w:tcPr>
          <w:p w14:paraId="76707802" w14:textId="77777777" w:rsidR="00F90028" w:rsidRPr="00BE718E" w:rsidRDefault="00F90028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Hypoproteinemia</w:t>
            </w:r>
          </w:p>
        </w:tc>
        <w:tc>
          <w:tcPr>
            <w:tcW w:w="8505" w:type="dxa"/>
            <w:tcBorders>
              <w:bottom w:val="single" w:sz="4" w:space="0" w:color="auto"/>
            </w:tcBorders>
          </w:tcPr>
          <w:p w14:paraId="53B8D0C6" w14:textId="77777777" w:rsidR="00F90028" w:rsidRPr="00BE718E" w:rsidRDefault="00F90028" w:rsidP="00F90028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Serum total protein &lt; 60 g/L or albumin &lt; 35 g/L</w:t>
            </w:r>
          </w:p>
        </w:tc>
      </w:tr>
    </w:tbl>
    <w:p w14:paraId="78BCC068" w14:textId="682CDF26" w:rsidR="0054459F" w:rsidRPr="00BE718E" w:rsidRDefault="0054459F" w:rsidP="004531AE">
      <w:pPr>
        <w:spacing w:line="480" w:lineRule="auto"/>
        <w:rPr>
          <w:rFonts w:ascii="Times New Roman" w:hAnsi="Times New Roman"/>
          <w:sz w:val="24"/>
        </w:rPr>
      </w:pPr>
    </w:p>
    <w:p w14:paraId="1C799E75" w14:textId="77777777" w:rsidR="0054459F" w:rsidRDefault="0054459F">
      <w:pPr>
        <w:widowControl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79B9A45A" w14:textId="7DA0D46D" w:rsidR="0054459F" w:rsidRPr="00BE718E" w:rsidRDefault="0054459F" w:rsidP="0054459F">
      <w:pPr>
        <w:spacing w:line="360" w:lineRule="auto"/>
        <w:jc w:val="left"/>
        <w:rPr>
          <w:rFonts w:ascii="Arial" w:hAnsi="Arial" w:cs="Arial"/>
          <w:color w:val="000000" w:themeColor="text1"/>
          <w:sz w:val="20"/>
          <w:szCs w:val="20"/>
          <w:shd w:val="clear" w:color="auto" w:fill="FDFDFE"/>
        </w:rPr>
      </w:pP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lastRenderedPageBreak/>
        <w:t>Supplementary Table 2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Multivariable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l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ogistic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r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egression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m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odel for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a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ssessing the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r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isk of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i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>n-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h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ospital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m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ortality in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c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hildren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w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ith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s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</w:rPr>
        <w:t>epsis</w:t>
      </w:r>
    </w:p>
    <w:tbl>
      <w:tblPr>
        <w:tblW w:w="6234" w:type="pct"/>
        <w:jc w:val="center"/>
        <w:tblBorders>
          <w:top w:val="single" w:sz="4" w:space="0" w:color="auto"/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1702"/>
        <w:gridCol w:w="1133"/>
        <w:gridCol w:w="993"/>
        <w:gridCol w:w="1560"/>
        <w:gridCol w:w="1133"/>
        <w:gridCol w:w="849"/>
      </w:tblGrid>
      <w:tr w:rsidR="007F7403" w:rsidRPr="00BE718E" w14:paraId="4A304A54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single" w:sz="4" w:space="0" w:color="auto"/>
              <w:bottom w:val="nil"/>
            </w:tcBorders>
          </w:tcPr>
          <w:p w14:paraId="61E3079B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Variables</w:t>
            </w:r>
          </w:p>
          <w:p w14:paraId="5DA7B4E0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0" w:type="pct"/>
            <w:tcBorders>
              <w:top w:val="single" w:sz="4" w:space="0" w:color="auto"/>
              <w:bottom w:val="nil"/>
            </w:tcBorders>
          </w:tcPr>
          <w:p w14:paraId="05D2E0FA" w14:textId="5E47AF2D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Unadjusted</w:t>
            </w:r>
            <w:r w:rsidR="009D42C5"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</w:t>
            </w:r>
          </w:p>
          <w:p w14:paraId="060D8402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14:paraId="4F8DE22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95% CI</w:t>
            </w:r>
          </w:p>
        </w:tc>
        <w:tc>
          <w:tcPr>
            <w:tcW w:w="461" w:type="pct"/>
            <w:tcBorders>
              <w:top w:val="single" w:sz="4" w:space="0" w:color="auto"/>
              <w:bottom w:val="nil"/>
            </w:tcBorders>
          </w:tcPr>
          <w:p w14:paraId="11297FB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  <w:tc>
          <w:tcPr>
            <w:tcW w:w="724" w:type="pct"/>
            <w:tcBorders>
              <w:top w:val="single" w:sz="4" w:space="0" w:color="auto"/>
              <w:bottom w:val="nil"/>
            </w:tcBorders>
          </w:tcPr>
          <w:p w14:paraId="0015FE0E" w14:textId="49E765A5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Adjusted</w:t>
            </w:r>
            <w:r w:rsidR="007F7403"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</w:t>
            </w:r>
          </w:p>
        </w:tc>
        <w:tc>
          <w:tcPr>
            <w:tcW w:w="526" w:type="pct"/>
            <w:tcBorders>
              <w:top w:val="single" w:sz="4" w:space="0" w:color="auto"/>
              <w:bottom w:val="nil"/>
            </w:tcBorders>
          </w:tcPr>
          <w:p w14:paraId="66C01FB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95% CI</w:t>
            </w:r>
          </w:p>
        </w:tc>
        <w:tc>
          <w:tcPr>
            <w:tcW w:w="394" w:type="pct"/>
            <w:tcBorders>
              <w:top w:val="single" w:sz="4" w:space="0" w:color="auto"/>
              <w:bottom w:val="nil"/>
            </w:tcBorders>
          </w:tcPr>
          <w:p w14:paraId="738ED939" w14:textId="77777777" w:rsidR="0054459F" w:rsidRPr="00BE718E" w:rsidRDefault="0054459F" w:rsidP="007F7403">
            <w:pPr>
              <w:spacing w:line="360" w:lineRule="auto"/>
              <w:ind w:leftChars="-94" w:left="-197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54459F" w:rsidRPr="00BE718E" w14:paraId="762BCF81" w14:textId="77777777" w:rsidTr="007F7403">
        <w:trPr>
          <w:trHeight w:hRule="exact" w:val="454"/>
          <w:jc w:val="center"/>
        </w:trPr>
        <w:tc>
          <w:tcPr>
            <w:tcW w:w="1579" w:type="pct"/>
            <w:tcBorders>
              <w:top w:val="single" w:sz="4" w:space="0" w:color="auto"/>
              <w:bottom w:val="nil"/>
            </w:tcBorders>
          </w:tcPr>
          <w:p w14:paraId="0558C956" w14:textId="77777777" w:rsidR="0054459F" w:rsidRPr="00BE718E" w:rsidRDefault="0054459F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Age</w:t>
            </w:r>
          </w:p>
        </w:tc>
        <w:tc>
          <w:tcPr>
            <w:tcW w:w="3421" w:type="pct"/>
            <w:gridSpan w:val="6"/>
            <w:tcBorders>
              <w:top w:val="single" w:sz="4" w:space="0" w:color="auto"/>
              <w:bottom w:val="nil"/>
            </w:tcBorders>
          </w:tcPr>
          <w:p w14:paraId="3A309E0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7403" w:rsidRPr="00BE718E" w14:paraId="42295873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09C47AF5" w14:textId="4AB75656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&lt;1years</w:t>
            </w:r>
          </w:p>
        </w:tc>
        <w:tc>
          <w:tcPr>
            <w:tcW w:w="1777" w:type="pct"/>
            <w:gridSpan w:val="3"/>
            <w:tcBorders>
              <w:top w:val="nil"/>
              <w:bottom w:val="nil"/>
            </w:tcBorders>
          </w:tcPr>
          <w:p w14:paraId="51ADBC7B" w14:textId="4B562E9C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</w:t>
            </w:r>
          </w:p>
        </w:tc>
        <w:tc>
          <w:tcPr>
            <w:tcW w:w="1644" w:type="pct"/>
            <w:gridSpan w:val="3"/>
            <w:tcBorders>
              <w:top w:val="nil"/>
              <w:bottom w:val="nil"/>
            </w:tcBorders>
          </w:tcPr>
          <w:p w14:paraId="11248C5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Reference</w:t>
            </w:r>
          </w:p>
        </w:tc>
      </w:tr>
      <w:tr w:rsidR="007F7403" w:rsidRPr="00BE718E" w14:paraId="1CD65A4A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47330201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1-6 years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AE0AC1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1.01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6837C6E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0.50-2.02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3ED56042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0.988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1ADA988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0.82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4F1915C7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0.29-2.37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106564BD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0.718</w:t>
            </w:r>
          </w:p>
        </w:tc>
      </w:tr>
      <w:tr w:rsidR="007F7403" w:rsidRPr="00BE718E" w14:paraId="30CBC808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66528220" w14:textId="7677F71B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&gt;6 years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656FD2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1.04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5239F6B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0.45-2.44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14B9A903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0.923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3195A13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5456C5F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0.16-1.87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1FF5B92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0.335</w:t>
            </w:r>
          </w:p>
        </w:tc>
      </w:tr>
      <w:tr w:rsidR="007F7403" w:rsidRPr="00BE718E" w14:paraId="028A6539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14C5B8B8" w14:textId="77777777" w:rsidR="0054459F" w:rsidRPr="00BE718E" w:rsidRDefault="0054459F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Gender (female)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04C2E3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0595660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0.48-1.70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4F78961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0.760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60225C8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0.60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2145C51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0.27-1.37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0CA7202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0.226</w:t>
            </w:r>
          </w:p>
        </w:tc>
      </w:tr>
      <w:tr w:rsidR="007F7403" w:rsidRPr="00BE718E" w14:paraId="05821F9A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1259ED63" w14:textId="77777777" w:rsidR="0054459F" w:rsidRPr="00BE718E" w:rsidRDefault="0054459F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Respiratory system infection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EF4B2D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1.37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2C7E356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0.70-2.69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00D392F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0.362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4FB948A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0.95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1224D00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0.36-2.47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294CE1E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0.909</w:t>
            </w:r>
          </w:p>
        </w:tc>
      </w:tr>
      <w:tr w:rsidR="007F7403" w:rsidRPr="00BE718E" w14:paraId="7A04C226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6C030686" w14:textId="77777777" w:rsidR="0054459F" w:rsidRPr="00BE718E" w:rsidRDefault="0054459F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Digestive system infection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B1E29A1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0.75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5F2FF581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0.38-1.50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4DEA44E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0.414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2F625977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1.65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6B0EF442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0.68-4.03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37BD738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0.271</w:t>
            </w:r>
          </w:p>
        </w:tc>
      </w:tr>
      <w:tr w:rsidR="007F7403" w:rsidRPr="00BE718E" w14:paraId="0E8D162F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2399250A" w14:textId="77777777" w:rsidR="0054459F" w:rsidRPr="00BE718E" w:rsidRDefault="0054459F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Blood system infection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52EC693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1.80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2E84DC5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0.95-3.42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3A06589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0.071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20806D6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1.57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79F28B4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0.70-3.52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68D6ABE3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0.275</w:t>
            </w:r>
          </w:p>
        </w:tc>
      </w:tr>
      <w:tr w:rsidR="007F7403" w:rsidRPr="00BE718E" w14:paraId="169AA174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5598C012" w14:textId="77777777" w:rsidR="0054459F" w:rsidRPr="00BE718E" w:rsidRDefault="0054459F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Laboratory tests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00D58D1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7B15217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74B0CBE2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3D8A833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05D9381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7949930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7403" w:rsidRPr="00BE718E" w14:paraId="344CAC62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4530A93F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High-sensitivity CRP (&gt;10 mg/dL)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6D9A203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0.49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16293BE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0.26-0.95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46EC25F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0.034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6C7A84F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0.45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334D10EA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0.20-1.01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2E8EB89A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0.053</w:t>
            </w:r>
          </w:p>
        </w:tc>
      </w:tr>
      <w:tr w:rsidR="007F7403" w:rsidRPr="00BE718E" w14:paraId="00DDF830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7C7E0D88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Procalcitonin (&gt;0.5 ng/mL)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ADA03C2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0.89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68CEEBF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0.34-2.36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653E3472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0.816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1E6EE696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0.41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1F90D4E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0.11-1.56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12451FB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0.193</w:t>
            </w:r>
          </w:p>
        </w:tc>
      </w:tr>
      <w:tr w:rsidR="007F7403" w:rsidRPr="00BE718E" w14:paraId="57958F49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5E86FAF7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CKMB</w:t>
            </w: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&gt;6.8 ng/mL</w:t>
            </w: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B56B20A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1.50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47F92CE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0.74-3.07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3D3CA31D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0.264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5A4A596A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0.47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71551517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0.17-1.28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68170E8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0.141</w:t>
            </w:r>
          </w:p>
        </w:tc>
      </w:tr>
      <w:tr w:rsidR="007F7403" w:rsidRPr="00BE718E" w14:paraId="2BE12585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1FA6C47B" w14:textId="38905DE2" w:rsidR="0054459F" w:rsidRPr="00BE718E" w:rsidRDefault="009D42C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Serum s</w:t>
            </w:r>
            <w:r w:rsidR="0054459F"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odium (&lt;135 or &gt;145 mmol/L) 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BCC57CE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1.62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495171B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0.87-3.03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548491A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0.131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7CD4D6D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1.30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0C43A74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0.56-3.02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1A7594F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0.544</w:t>
            </w:r>
          </w:p>
        </w:tc>
      </w:tr>
      <w:tr w:rsidR="007F7403" w:rsidRPr="00BE718E" w14:paraId="103AD91D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77692BF7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Potassium (&lt;3.5 or &gt;5.5 mmol/L)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8C89BF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1.49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631428A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0.78-2.85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1769357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0.224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3A33D331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7139DFE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0.23-1.32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544FB0B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0.178</w:t>
            </w:r>
          </w:p>
        </w:tc>
      </w:tr>
      <w:tr w:rsidR="007F7403" w:rsidRPr="00BE718E" w14:paraId="256C5FA6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3CA7DA58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Calcium (&lt;2.2 or &gt;2.7 mmol/L)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E702D46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2.12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00859EF7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1.02-4.42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2130169D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4CE0574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1.56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5582419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0.58-4.16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011BDFF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0.377</w:t>
            </w:r>
          </w:p>
        </w:tc>
      </w:tr>
      <w:tr w:rsidR="007F7403" w:rsidRPr="00BE718E" w14:paraId="15B6F287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499E3760" w14:textId="156E7CD3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Arterial blood pH (&lt;7.35 or &gt;7.45)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5BF3B92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2.26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245D428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1.18-4.34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28CE23DD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0.014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0742A191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1.12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223CE7B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0.46-2.69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1591CEC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0.808</w:t>
            </w:r>
          </w:p>
        </w:tc>
      </w:tr>
      <w:tr w:rsidR="007F7403" w:rsidRPr="00BE718E" w14:paraId="2FC3C48D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2682E209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Arterial blood lactate (&gt;2 mmol/L)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6264791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4.07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0594466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2.10-7.87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245E27F3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4B2F6E2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3.44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75A1454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1.49-7.91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46EA90DA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0.004</w:t>
            </w:r>
          </w:p>
        </w:tc>
      </w:tr>
      <w:tr w:rsidR="007F7403" w:rsidRPr="00BE718E" w14:paraId="6E8B2BC3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04582866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APTT</w:t>
            </w: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（</w:t>
            </w: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&gt;49.1 s</w:t>
            </w: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）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451275F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2.82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7045802A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1.46-5.45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3552C4DE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0.002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43574AF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1.59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06E4E40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0.64-3.92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160C3CF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0.319</w:t>
            </w:r>
          </w:p>
        </w:tc>
      </w:tr>
      <w:tr w:rsidR="007F7403" w:rsidRPr="00BE718E" w14:paraId="66E975C0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6C1AD0D9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Fibrinogen (&lt;2 or &gt;4 g/L)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5BCAFC2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1.37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153876F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0.73-2.58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3238421D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0.330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334D135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0.73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2EEC1BBE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0.31-1.72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32F11CC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0.473</w:t>
            </w:r>
          </w:p>
        </w:tc>
      </w:tr>
      <w:tr w:rsidR="007F7403" w:rsidRPr="00BE718E" w14:paraId="448D0172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25572BD5" w14:textId="77777777" w:rsidR="0054459F" w:rsidRPr="00BE718E" w:rsidRDefault="0054459F" w:rsidP="007F7403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Complications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1C393F22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5B37AA0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0182D4F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1330DC5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548138C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7C6B89A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F7403" w:rsidRPr="00BE718E" w14:paraId="6A83D4C6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707D3F5D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Anemia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0FF4C18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1.98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3BB143DE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0.95-4.12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1A855DBD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0.069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0969D71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1.39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3C6CF5AE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0.51-3.78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3B19DEC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0.518</w:t>
            </w:r>
          </w:p>
        </w:tc>
      </w:tr>
      <w:tr w:rsidR="007F7403" w:rsidRPr="00BE718E" w14:paraId="0BEB0F5C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5E86AC62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Hypertension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F90207D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0.38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073B430A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0.13-1.12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07879234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0.079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770097E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0.34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6CCF550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0.10-1.16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68FEA41E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0.085</w:t>
            </w:r>
          </w:p>
        </w:tc>
      </w:tr>
      <w:tr w:rsidR="007F7403" w:rsidRPr="00BE718E" w14:paraId="5A29647E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53B8E495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Liver dysfunction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77260FC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2.60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0A3740F9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1.34-5.04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04C44CA1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0.005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79BC6A7E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1.36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4C4E51D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0.56-3.29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73A69ED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0.495</w:t>
            </w:r>
          </w:p>
        </w:tc>
      </w:tr>
      <w:tr w:rsidR="007F7403" w:rsidRPr="00BE718E" w14:paraId="6A069B86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0101184F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Renal dysfunction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20E3CB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2.32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173BB377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0.99-5.45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686094B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0.053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5C350BD3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0.55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7A1384C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0.16-1.86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59D8B78E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0.334</w:t>
            </w:r>
          </w:p>
        </w:tc>
      </w:tr>
      <w:tr w:rsidR="007F7403" w:rsidRPr="00BE718E" w14:paraId="240B6759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1A8954D3" w14:textId="77777777" w:rsidR="0054459F" w:rsidRPr="00BE718E" w:rsidRDefault="0054459F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Hypoproteinemia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2187E0C5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1.97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74C6AF4B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0.86-4.49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053FC643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0.107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7AA5AF1C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1.34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413BBCE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0.41-4.37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2BCAF450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0.623</w:t>
            </w:r>
          </w:p>
        </w:tc>
      </w:tr>
      <w:tr w:rsidR="007F7403" w:rsidRPr="00BE718E" w14:paraId="258EAE8C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nil"/>
            </w:tcBorders>
          </w:tcPr>
          <w:p w14:paraId="64888358" w14:textId="5188AE98" w:rsidR="0054459F" w:rsidRPr="00BE718E" w:rsidRDefault="0054459F" w:rsidP="001B7085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PCIS</w:t>
            </w:r>
          </w:p>
        </w:tc>
        <w:tc>
          <w:tcPr>
            <w:tcW w:w="790" w:type="pct"/>
            <w:tcBorders>
              <w:top w:val="nil"/>
              <w:bottom w:val="nil"/>
            </w:tcBorders>
          </w:tcPr>
          <w:p w14:paraId="6423A1C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0.91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46025531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0.88-0.94</w:t>
            </w:r>
          </w:p>
        </w:tc>
        <w:tc>
          <w:tcPr>
            <w:tcW w:w="461" w:type="pct"/>
            <w:tcBorders>
              <w:top w:val="nil"/>
              <w:bottom w:val="nil"/>
            </w:tcBorders>
          </w:tcPr>
          <w:p w14:paraId="628B02FA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724" w:type="pct"/>
            <w:tcBorders>
              <w:top w:val="nil"/>
              <w:bottom w:val="nil"/>
            </w:tcBorders>
          </w:tcPr>
          <w:p w14:paraId="09FE2A48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0.93</w:t>
            </w:r>
          </w:p>
        </w:tc>
        <w:tc>
          <w:tcPr>
            <w:tcW w:w="526" w:type="pct"/>
            <w:tcBorders>
              <w:top w:val="nil"/>
              <w:bottom w:val="nil"/>
            </w:tcBorders>
          </w:tcPr>
          <w:p w14:paraId="76A8D07D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0.89-0.97</w:t>
            </w:r>
          </w:p>
        </w:tc>
        <w:tc>
          <w:tcPr>
            <w:tcW w:w="394" w:type="pct"/>
            <w:tcBorders>
              <w:top w:val="nil"/>
              <w:bottom w:val="nil"/>
            </w:tcBorders>
          </w:tcPr>
          <w:p w14:paraId="45533E6D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0.001</w:t>
            </w:r>
          </w:p>
        </w:tc>
      </w:tr>
      <w:tr w:rsidR="007F7403" w:rsidRPr="00BE718E" w14:paraId="20D50D5F" w14:textId="77777777" w:rsidTr="00CE28A4">
        <w:trPr>
          <w:trHeight w:hRule="exact" w:val="454"/>
          <w:jc w:val="center"/>
        </w:trPr>
        <w:tc>
          <w:tcPr>
            <w:tcW w:w="1579" w:type="pct"/>
            <w:tcBorders>
              <w:top w:val="nil"/>
              <w:bottom w:val="single" w:sz="4" w:space="0" w:color="auto"/>
            </w:tcBorders>
          </w:tcPr>
          <w:p w14:paraId="6DCAE741" w14:textId="64155DAE" w:rsidR="0054459F" w:rsidRPr="00BE718E" w:rsidRDefault="0054459F" w:rsidP="001B7085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NLPR</w:t>
            </w:r>
            <w:r w:rsidR="007F7403"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&gt;2.34</w:t>
            </w:r>
            <w:r w:rsidR="007F7403"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90" w:type="pct"/>
            <w:tcBorders>
              <w:top w:val="nil"/>
              <w:bottom w:val="single" w:sz="4" w:space="0" w:color="auto"/>
            </w:tcBorders>
          </w:tcPr>
          <w:p w14:paraId="1C16A3D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3.42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14:paraId="2B997436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1.73-6.77</w:t>
            </w:r>
          </w:p>
        </w:tc>
        <w:tc>
          <w:tcPr>
            <w:tcW w:w="461" w:type="pct"/>
            <w:tcBorders>
              <w:top w:val="nil"/>
              <w:bottom w:val="single" w:sz="4" w:space="0" w:color="auto"/>
            </w:tcBorders>
          </w:tcPr>
          <w:p w14:paraId="390BF90F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  <w:tc>
          <w:tcPr>
            <w:tcW w:w="724" w:type="pct"/>
            <w:tcBorders>
              <w:top w:val="nil"/>
              <w:bottom w:val="single" w:sz="4" w:space="0" w:color="auto"/>
            </w:tcBorders>
          </w:tcPr>
          <w:p w14:paraId="1B5E8C31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8.31</w:t>
            </w:r>
          </w:p>
        </w:tc>
        <w:tc>
          <w:tcPr>
            <w:tcW w:w="526" w:type="pct"/>
            <w:tcBorders>
              <w:top w:val="nil"/>
              <w:bottom w:val="single" w:sz="4" w:space="0" w:color="auto"/>
            </w:tcBorders>
          </w:tcPr>
          <w:p w14:paraId="1535022E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3.69-18.68</w:t>
            </w:r>
          </w:p>
        </w:tc>
        <w:tc>
          <w:tcPr>
            <w:tcW w:w="394" w:type="pct"/>
            <w:tcBorders>
              <w:top w:val="nil"/>
              <w:bottom w:val="single" w:sz="4" w:space="0" w:color="auto"/>
            </w:tcBorders>
          </w:tcPr>
          <w:p w14:paraId="2DA1520A" w14:textId="77777777" w:rsidR="0054459F" w:rsidRPr="00BE718E" w:rsidRDefault="0054459F" w:rsidP="007F7403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&lt;0.001</w:t>
            </w:r>
          </w:p>
        </w:tc>
      </w:tr>
    </w:tbl>
    <w:p w14:paraId="30167254" w14:textId="4FD3B1B6" w:rsidR="001B7085" w:rsidRPr="00BE718E" w:rsidRDefault="00CE28A4" w:rsidP="004531AE">
      <w:pPr>
        <w:spacing w:line="480" w:lineRule="auto"/>
        <w:rPr>
          <w:rFonts w:ascii="Arial" w:hAnsi="Arial" w:cs="Arial"/>
          <w:sz w:val="20"/>
          <w:szCs w:val="20"/>
        </w:rPr>
      </w:pPr>
      <w:r w:rsidRPr="00BE718E">
        <w:rPr>
          <w:rFonts w:ascii="Arial" w:hAnsi="Arial" w:cs="Arial"/>
          <w:sz w:val="20"/>
          <w:szCs w:val="20"/>
        </w:rPr>
        <w:t xml:space="preserve">Abbreviations: APTT, activated partial thromboplastin time; CKMB, creatine kinase isoenzymes; CRP, c-reactive protein; ICU, intentive care unit; </w:t>
      </w:r>
      <w:r w:rsidR="00BE718E" w:rsidRPr="00BE718E">
        <w:rPr>
          <w:rFonts w:ascii="Arial" w:hAnsi="Arial" w:cs="Arial" w:hint="eastAsia"/>
          <w:sz w:val="20"/>
          <w:szCs w:val="20"/>
        </w:rPr>
        <w:t>NLPR, neutrophil to lymphocyte and platelet ratio</w:t>
      </w:r>
      <w:r w:rsidR="00BE718E">
        <w:rPr>
          <w:rFonts w:ascii="Arial" w:hAnsi="Arial" w:cs="Arial" w:hint="eastAsia"/>
          <w:sz w:val="20"/>
          <w:szCs w:val="20"/>
        </w:rPr>
        <w:t xml:space="preserve">; </w:t>
      </w:r>
      <w:r w:rsidRPr="00BE718E">
        <w:rPr>
          <w:rFonts w:ascii="Arial" w:hAnsi="Arial" w:cs="Arial"/>
          <w:sz w:val="20"/>
          <w:szCs w:val="20"/>
        </w:rPr>
        <w:t>PCIS, pediatric critical illness score.</w:t>
      </w:r>
    </w:p>
    <w:p w14:paraId="64FBD7F5" w14:textId="77777777" w:rsidR="001B7085" w:rsidRDefault="001B7085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2C98BCC7" w14:textId="1E024589" w:rsidR="001B7085" w:rsidRPr="00BE718E" w:rsidRDefault="001B7085" w:rsidP="001B7085">
      <w:pPr>
        <w:pStyle w:val="a8"/>
        <w:widowControl/>
        <w:shd w:val="clear" w:color="auto" w:fill="FDFDFE"/>
        <w:spacing w:before="140" w:line="360" w:lineRule="auto"/>
        <w:jc w:val="left"/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</w:pPr>
      <w:r w:rsidRPr="00BE718E">
        <w:rPr>
          <w:rFonts w:ascii="Arial" w:eastAsia="宋体" w:hAnsi="Arial" w:cs="Arial"/>
          <w:color w:val="000000" w:themeColor="text1"/>
          <w:sz w:val="20"/>
          <w:szCs w:val="20"/>
        </w:rPr>
        <w:lastRenderedPageBreak/>
        <w:t xml:space="preserve">Supplementary Table 3 Comparison of variables after </w:t>
      </w:r>
      <w:r w:rsidRPr="00BE718E">
        <w:rPr>
          <w:rFonts w:ascii="Arial" w:hAnsi="Arial" w:cs="Arial"/>
          <w:color w:val="000000" w:themeColor="text1"/>
          <w:sz w:val="20"/>
          <w:szCs w:val="20"/>
        </w:rPr>
        <w:t>propensity score matching</w:t>
      </w:r>
      <w:r w:rsidRPr="00BE718E">
        <w:rPr>
          <w:rFonts w:ascii="Arial" w:eastAsia="宋体" w:hAnsi="Arial" w:cs="Arial"/>
          <w:color w:val="000000" w:themeColor="text1"/>
          <w:sz w:val="20"/>
          <w:szCs w:val="20"/>
        </w:rPr>
        <w:t xml:space="preserve"> (sensitivity analysis)</w:t>
      </w:r>
    </w:p>
    <w:tbl>
      <w:tblPr>
        <w:tblW w:w="5578" w:type="pct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2764"/>
        <w:gridCol w:w="1772"/>
        <w:gridCol w:w="2268"/>
        <w:gridCol w:w="1701"/>
        <w:gridCol w:w="1134"/>
      </w:tblGrid>
      <w:tr w:rsidR="001B7085" w:rsidRPr="00BE718E" w14:paraId="25314387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single" w:sz="4" w:space="0" w:color="000000"/>
            </w:tcBorders>
          </w:tcPr>
          <w:p w14:paraId="7A8EF1E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Variables</w:t>
            </w:r>
          </w:p>
        </w:tc>
        <w:tc>
          <w:tcPr>
            <w:tcW w:w="1772" w:type="dxa"/>
            <w:tcBorders>
              <w:top w:val="single" w:sz="4" w:space="0" w:color="000000"/>
            </w:tcBorders>
          </w:tcPr>
          <w:p w14:paraId="58E36CC2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All Patients</w:t>
            </w:r>
          </w:p>
        </w:tc>
        <w:tc>
          <w:tcPr>
            <w:tcW w:w="2268" w:type="dxa"/>
            <w:tcBorders>
              <w:top w:val="single" w:sz="4" w:space="0" w:color="000000"/>
            </w:tcBorders>
          </w:tcPr>
          <w:p w14:paraId="27D024B9" w14:textId="42418CF9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Low NLPR</w:t>
            </w:r>
          </w:p>
        </w:tc>
        <w:tc>
          <w:tcPr>
            <w:tcW w:w="1701" w:type="dxa"/>
            <w:tcBorders>
              <w:top w:val="single" w:sz="4" w:space="0" w:color="000000"/>
            </w:tcBorders>
          </w:tcPr>
          <w:p w14:paraId="771D834D" w14:textId="35C0C3A8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High NLPR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</w:tcBorders>
            <w:vAlign w:val="center"/>
          </w:tcPr>
          <w:p w14:paraId="424326B8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P</w:t>
            </w:r>
          </w:p>
        </w:tc>
      </w:tr>
      <w:tr w:rsidR="001B7085" w:rsidRPr="00BE718E" w14:paraId="7D17D5D6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bottom w:val="single" w:sz="4" w:space="0" w:color="000000"/>
            </w:tcBorders>
          </w:tcPr>
          <w:p w14:paraId="6DF84DFC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72" w:type="dxa"/>
            <w:tcBorders>
              <w:bottom w:val="single" w:sz="4" w:space="0" w:color="000000"/>
            </w:tcBorders>
          </w:tcPr>
          <w:p w14:paraId="69D4A25F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(n=110)</w:t>
            </w:r>
          </w:p>
        </w:tc>
        <w:tc>
          <w:tcPr>
            <w:tcW w:w="2268" w:type="dxa"/>
            <w:tcBorders>
              <w:bottom w:val="single" w:sz="4" w:space="0" w:color="000000"/>
            </w:tcBorders>
          </w:tcPr>
          <w:p w14:paraId="1D661106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(n=55)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FA7C5FA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(n=55)</w:t>
            </w:r>
          </w:p>
        </w:tc>
        <w:tc>
          <w:tcPr>
            <w:tcW w:w="1134" w:type="dxa"/>
            <w:vMerge/>
            <w:tcBorders>
              <w:bottom w:val="single" w:sz="4" w:space="0" w:color="000000"/>
            </w:tcBorders>
            <w:vAlign w:val="center"/>
          </w:tcPr>
          <w:p w14:paraId="12630DDF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</w:pPr>
          </w:p>
        </w:tc>
      </w:tr>
      <w:tr w:rsidR="001B7085" w:rsidRPr="00BE718E" w14:paraId="3E65200E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16736AEE" w14:textId="77777777" w:rsidR="001B7085" w:rsidRPr="00BE718E" w:rsidRDefault="001B7085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Age, months</w:t>
            </w:r>
          </w:p>
        </w:tc>
        <w:tc>
          <w:tcPr>
            <w:tcW w:w="1772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64D9ED6C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21 (7-66)</w:t>
            </w:r>
          </w:p>
        </w:tc>
        <w:tc>
          <w:tcPr>
            <w:tcW w:w="2268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17763495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14 (4-76)</w:t>
            </w:r>
          </w:p>
        </w:tc>
        <w:tc>
          <w:tcPr>
            <w:tcW w:w="1701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2CCC04A2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31 (8-59)</w:t>
            </w:r>
          </w:p>
        </w:tc>
        <w:tc>
          <w:tcPr>
            <w:tcW w:w="1134" w:type="dxa"/>
            <w:tcBorders>
              <w:top w:val="single" w:sz="4" w:space="0" w:color="000000"/>
              <w:bottom w:val="nil"/>
            </w:tcBorders>
            <w:shd w:val="clear" w:color="auto" w:fill="FFFFFF"/>
          </w:tcPr>
          <w:p w14:paraId="29DA7FCA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0.305</w:t>
            </w:r>
          </w:p>
        </w:tc>
      </w:tr>
      <w:tr w:rsidR="001B7085" w:rsidRPr="00BE718E" w14:paraId="202B8962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488B915A" w14:textId="77777777" w:rsidR="001B7085" w:rsidRPr="00BE718E" w:rsidRDefault="001B7085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Laboratory tests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2D54027D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0AF03241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3BC4ADF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0352F271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B7085" w:rsidRPr="00BE718E" w14:paraId="09DF313A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41422E26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Procalcitonin, ng/mL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22F14578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6.69 (2.00-34.33)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1D02C205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6.69 (1.44-35.53)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0DDA00DA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7.49 (2.25-34.33)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7F5F662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0.550</w:t>
            </w:r>
          </w:p>
        </w:tc>
      </w:tr>
      <w:tr w:rsidR="001B7085" w:rsidRPr="00BE718E" w14:paraId="7FE617A3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52703B23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Serum calcium, mmol/L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369988FA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2.06 (1.90-2.19)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3B28C1CD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2.03 (1.82-2.19)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259FAD4A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2.06 (1.95-2.20)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79C7C53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0.425</w:t>
            </w:r>
          </w:p>
        </w:tc>
      </w:tr>
      <w:tr w:rsidR="001B7085" w:rsidRPr="00BE718E" w14:paraId="58617A28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3925B2D7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Fibrinogen, g/L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764AA7DC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2.33 (1.72-3.88)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2916A73F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2.34 (1.76-3.55)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651AED55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2.30 (1.69-3.94)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550FC0BA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0.938</w:t>
            </w:r>
          </w:p>
        </w:tc>
      </w:tr>
      <w:tr w:rsidR="001B7085" w:rsidRPr="00BE718E" w14:paraId="0E59B50C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2E984186" w14:textId="7DFC9C01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Arterial blood lactate, mmol/L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2216883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1.7 (1.1-2.8)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5574C4AD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2.2 (1.1-3.3)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7BAA161B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1.6 (1.0-2.2)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471F1447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0.206</w:t>
            </w:r>
          </w:p>
        </w:tc>
      </w:tr>
      <w:tr w:rsidR="001B7085" w:rsidRPr="00BE718E" w14:paraId="6B76771D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22834B41" w14:textId="77777777" w:rsidR="001B7085" w:rsidRPr="00BE718E" w:rsidRDefault="001B7085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Complications, n (%)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21EAB171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43A5F1B3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50363BF7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4BA747B3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B7085" w:rsidRPr="00BE718E" w14:paraId="4B4F9B61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3AC4929D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Anemia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22396D46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80 (72.7)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1021E0E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38 (69.1)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7EBE133F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42 (76.4)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5CF55876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0.392</w:t>
            </w:r>
          </w:p>
        </w:tc>
      </w:tr>
      <w:tr w:rsidR="001B7085" w:rsidRPr="00BE718E" w14:paraId="620DE0E8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4808C363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Liver dysfunction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133C7D11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33 (30.0)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1296AF53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18 (32.7)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39D0B4D5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15 (27.3)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16B61344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0.533</w:t>
            </w:r>
          </w:p>
        </w:tc>
      </w:tr>
      <w:tr w:rsidR="001B7085" w:rsidRPr="00BE718E" w14:paraId="18A8EC88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497A0FE1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Renal dysfunction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6ABFFE48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11 (10.0)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628AFE4D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6 (10.9)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094AAA44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5 (9.1)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1072A176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0.751</w:t>
            </w:r>
          </w:p>
        </w:tc>
      </w:tr>
      <w:tr w:rsidR="001B7085" w:rsidRPr="00BE718E" w14:paraId="10C47307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2386EDE2" w14:textId="3ABD7ED5" w:rsidR="001B7085" w:rsidRPr="00BE718E" w:rsidRDefault="001B7085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PCIS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0A60ADBA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84 (76-88)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39F57C02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84 (74-88)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19A31E7D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84 (78-90)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21D55902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0.370</w:t>
            </w:r>
          </w:p>
        </w:tc>
      </w:tr>
      <w:tr w:rsidR="001B7085" w:rsidRPr="00BE718E" w14:paraId="3F0D2B94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5B7D8A17" w14:textId="77777777" w:rsidR="001B7085" w:rsidRPr="00BE718E" w:rsidRDefault="001B7085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Secondary clinical outcomes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7A27772F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57143651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3D749F2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3E0ACAA7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B7085" w:rsidRPr="00BE718E" w14:paraId="127731C6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774DAE78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Mechanical ventilation, n (%)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7A2B2C66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62 (56.4)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65533A2A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30 (54.5)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44EB59DD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32 (58.2)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13E34FC0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0.701</w:t>
            </w:r>
          </w:p>
        </w:tc>
      </w:tr>
      <w:tr w:rsidR="001B7085" w:rsidRPr="00BE718E" w14:paraId="51F801C6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01BD352D" w14:textId="6993D7F3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ICU length of stay, days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52ADB452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5.0 (2.2-10.0)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6CEB97BD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5.0 (2.3-10.5)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2529185C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4.8 (1.7-9.4)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34984E13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0.243</w:t>
            </w:r>
          </w:p>
        </w:tc>
      </w:tr>
      <w:tr w:rsidR="001B7085" w:rsidRPr="00BE718E" w14:paraId="5E98DE53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3268DEB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30-day mortality, n (%)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7C353838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25 (22.7)</w:t>
            </w: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20BAB475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8 (14.5)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35A9A693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17 (30.9)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4868267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0.041</w:t>
            </w:r>
          </w:p>
        </w:tc>
      </w:tr>
      <w:tr w:rsidR="001B7085" w:rsidRPr="00BE718E" w14:paraId="0C75DB25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nil"/>
            </w:tcBorders>
            <w:shd w:val="clear" w:color="auto" w:fill="FFFFFF"/>
          </w:tcPr>
          <w:p w14:paraId="29960559" w14:textId="77777777" w:rsidR="001B7085" w:rsidRPr="00BE718E" w:rsidRDefault="001B7085" w:rsidP="00B62349">
            <w:pPr>
              <w:spacing w:line="360" w:lineRule="auto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Primary clinical outcome</w:t>
            </w:r>
          </w:p>
        </w:tc>
        <w:tc>
          <w:tcPr>
            <w:tcW w:w="1772" w:type="dxa"/>
            <w:tcBorders>
              <w:top w:val="nil"/>
              <w:bottom w:val="nil"/>
            </w:tcBorders>
            <w:shd w:val="clear" w:color="auto" w:fill="FFFFFF"/>
          </w:tcPr>
          <w:p w14:paraId="7B57F016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FFFFFF"/>
          </w:tcPr>
          <w:p w14:paraId="77A26424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FFFFFF"/>
          </w:tcPr>
          <w:p w14:paraId="2BE8A580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FFFFF"/>
          </w:tcPr>
          <w:p w14:paraId="1721F30C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B7085" w:rsidRPr="00BE718E" w14:paraId="350C7CBF" w14:textId="77777777" w:rsidTr="001B7085">
        <w:trPr>
          <w:trHeight w:hRule="exact" w:val="454"/>
          <w:jc w:val="center"/>
        </w:trPr>
        <w:tc>
          <w:tcPr>
            <w:tcW w:w="276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2064CE5E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In-hospital mortality, n (%)</w:t>
            </w:r>
          </w:p>
        </w:tc>
        <w:tc>
          <w:tcPr>
            <w:tcW w:w="1772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564DC144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29 (26.4)</w:t>
            </w:r>
          </w:p>
        </w:tc>
        <w:tc>
          <w:tcPr>
            <w:tcW w:w="2268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7FFC34BA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9 (16.4)</w:t>
            </w:r>
          </w:p>
        </w:tc>
        <w:tc>
          <w:tcPr>
            <w:tcW w:w="1701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097FBA69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20 (36.4)</w:t>
            </w:r>
          </w:p>
        </w:tc>
        <w:tc>
          <w:tcPr>
            <w:tcW w:w="1134" w:type="dxa"/>
            <w:tcBorders>
              <w:top w:val="nil"/>
              <w:bottom w:val="single" w:sz="4" w:space="0" w:color="000000"/>
            </w:tcBorders>
            <w:shd w:val="clear" w:color="auto" w:fill="FFFFFF"/>
          </w:tcPr>
          <w:p w14:paraId="041F04EC" w14:textId="77777777" w:rsidR="001B7085" w:rsidRPr="00BE718E" w:rsidRDefault="001B7085" w:rsidP="00B62349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718E">
              <w:rPr>
                <w:rFonts w:ascii="Arial" w:hAnsi="Arial" w:cs="Arial"/>
                <w:color w:val="000000" w:themeColor="text1"/>
                <w:sz w:val="20"/>
                <w:szCs w:val="20"/>
              </w:rPr>
              <w:t>0.017</w:t>
            </w:r>
          </w:p>
        </w:tc>
      </w:tr>
    </w:tbl>
    <w:p w14:paraId="221561E5" w14:textId="0E641EF9" w:rsidR="00E372D1" w:rsidRDefault="001D375E" w:rsidP="004531AE">
      <w:pPr>
        <w:spacing w:line="480" w:lineRule="auto"/>
        <w:rPr>
          <w:rFonts w:ascii="Arial" w:hAnsi="Arial" w:cs="Arial"/>
          <w:sz w:val="20"/>
          <w:szCs w:val="20"/>
        </w:rPr>
      </w:pPr>
      <w:r w:rsidRPr="00BE718E">
        <w:rPr>
          <w:rFonts w:ascii="Arial" w:hAnsi="Arial" w:cs="Arial"/>
          <w:sz w:val="20"/>
          <w:szCs w:val="20"/>
        </w:rPr>
        <w:t>Abbreviations: ICU, intentive care unit;</w:t>
      </w:r>
      <w:r w:rsidR="00BE718E" w:rsidRPr="00BE718E">
        <w:rPr>
          <w:rFonts w:hint="eastAsia"/>
        </w:rPr>
        <w:t xml:space="preserve"> </w:t>
      </w:r>
      <w:r w:rsidR="00BE718E" w:rsidRPr="00BE718E">
        <w:rPr>
          <w:rFonts w:ascii="Arial" w:hAnsi="Arial" w:cs="Arial" w:hint="eastAsia"/>
          <w:sz w:val="20"/>
          <w:szCs w:val="20"/>
        </w:rPr>
        <w:t>NLPR, neutrophil to lymphocyte and platelet ratio</w:t>
      </w:r>
      <w:r w:rsidR="00BE718E">
        <w:rPr>
          <w:rFonts w:ascii="Arial" w:hAnsi="Arial" w:cs="Arial" w:hint="eastAsia"/>
          <w:sz w:val="20"/>
          <w:szCs w:val="20"/>
        </w:rPr>
        <w:t>;</w:t>
      </w:r>
      <w:r w:rsidRPr="00BE718E">
        <w:rPr>
          <w:rFonts w:ascii="Arial" w:hAnsi="Arial" w:cs="Arial"/>
          <w:sz w:val="20"/>
          <w:szCs w:val="20"/>
        </w:rPr>
        <w:t xml:space="preserve"> PCIS, pediatric critical illness score.</w:t>
      </w:r>
    </w:p>
    <w:p w14:paraId="3204F2ED" w14:textId="77777777" w:rsidR="00E372D1" w:rsidRDefault="00E372D1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93B7F1A" w14:textId="0D75C8DF" w:rsidR="00E372D1" w:rsidRDefault="00E372D1" w:rsidP="00E372D1">
      <w:pPr>
        <w:pStyle w:val="a8"/>
        <w:widowControl/>
        <w:shd w:val="clear" w:color="auto" w:fill="FDFDFE"/>
        <w:spacing w:before="140" w:line="360" w:lineRule="auto"/>
        <w:jc w:val="left"/>
        <w:rPr>
          <w:rFonts w:ascii="Arial" w:eastAsia="宋体" w:hAnsi="Arial" w:cs="Arial"/>
          <w:color w:val="000000" w:themeColor="text1"/>
          <w:sz w:val="20"/>
          <w:szCs w:val="20"/>
        </w:rPr>
      </w:pPr>
      <w:r w:rsidRPr="00E372D1">
        <w:rPr>
          <w:rFonts w:ascii="Arial" w:eastAsia="宋体" w:hAnsi="Arial" w:cs="Arial" w:hint="eastAsia"/>
          <w:color w:val="000000" w:themeColor="text1"/>
          <w:sz w:val="20"/>
          <w:szCs w:val="20"/>
        </w:rPr>
        <w:lastRenderedPageBreak/>
        <w:t>Supplementary Table 4 Area under the curve (AUC) values for predicting hospital mortality in children with sepsis using NLPR and PCIS scores for different age groups</w:t>
      </w:r>
      <w:r w:rsidRPr="00BE718E">
        <w:rPr>
          <w:rFonts w:ascii="Arial" w:eastAsia="宋体" w:hAnsi="Arial" w:cs="Arial"/>
          <w:color w:val="000000" w:themeColor="text1"/>
          <w:sz w:val="20"/>
          <w:szCs w:val="20"/>
        </w:rPr>
        <w:t xml:space="preserve"> </w:t>
      </w:r>
      <w:bookmarkStart w:id="1" w:name="_Hlk178609351"/>
      <w:r w:rsidRPr="00BE718E">
        <w:rPr>
          <w:rFonts w:ascii="Arial" w:eastAsia="宋体" w:hAnsi="Arial" w:cs="Arial"/>
          <w:color w:val="000000" w:themeColor="text1"/>
          <w:sz w:val="20"/>
          <w:szCs w:val="20"/>
        </w:rPr>
        <w:t>(sensitivity analysis)</w:t>
      </w:r>
      <w:bookmarkEnd w:id="1"/>
      <w:r>
        <w:rPr>
          <w:rFonts w:ascii="Arial" w:eastAsia="宋体" w:hAnsi="Arial" w:cs="Arial" w:hint="eastAsia"/>
          <w:color w:val="000000" w:themeColor="text1"/>
          <w:sz w:val="20"/>
          <w:szCs w:val="20"/>
        </w:rPr>
        <w:t>.</w:t>
      </w:r>
    </w:p>
    <w:tbl>
      <w:tblPr>
        <w:tblW w:w="8306" w:type="dxa"/>
        <w:jc w:val="center"/>
        <w:tblBorders>
          <w:top w:val="single" w:sz="12" w:space="0" w:color="auto"/>
          <w:left w:val="none" w:sz="6" w:space="0" w:color="auto"/>
          <w:bottom w:val="single" w:sz="12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1214"/>
        <w:gridCol w:w="913"/>
        <w:gridCol w:w="1492"/>
        <w:gridCol w:w="634"/>
        <w:gridCol w:w="1559"/>
        <w:gridCol w:w="851"/>
        <w:gridCol w:w="1643"/>
      </w:tblGrid>
      <w:tr w:rsidR="00E372D1" w:rsidRPr="00E372D1" w14:paraId="0A084ED3" w14:textId="77777777" w:rsidTr="001322DF">
        <w:trPr>
          <w:trHeight w:hRule="exact" w:val="454"/>
          <w:jc w:val="center"/>
        </w:trPr>
        <w:tc>
          <w:tcPr>
            <w:tcW w:w="36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5EC67B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≤ 16 months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F11D59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0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FFAFCE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Age &gt; 16 months</w:t>
            </w:r>
          </w:p>
        </w:tc>
      </w:tr>
      <w:tr w:rsidR="00E372D1" w:rsidRPr="00E372D1" w14:paraId="46E54AA4" w14:textId="77777777" w:rsidTr="00E372D1">
        <w:trPr>
          <w:trHeight w:hRule="exact" w:val="454"/>
          <w:jc w:val="center"/>
        </w:trPr>
        <w:tc>
          <w:tcPr>
            <w:tcW w:w="1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BC4B816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4D7101D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AUC</w:t>
            </w:r>
          </w:p>
        </w:tc>
        <w:tc>
          <w:tcPr>
            <w:tcW w:w="14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9920693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95% CI</w:t>
            </w:r>
          </w:p>
        </w:tc>
        <w:tc>
          <w:tcPr>
            <w:tcW w:w="6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12E74E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407420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Variable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3D2D4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AUC</w:t>
            </w:r>
          </w:p>
        </w:tc>
        <w:tc>
          <w:tcPr>
            <w:tcW w:w="16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ABFBBD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95% CI</w:t>
            </w:r>
          </w:p>
        </w:tc>
      </w:tr>
      <w:tr w:rsidR="00E372D1" w:rsidRPr="00E372D1" w14:paraId="75F5B78F" w14:textId="77777777" w:rsidTr="00E372D1">
        <w:trPr>
          <w:trHeight w:hRule="exact" w:val="454"/>
          <w:jc w:val="center"/>
        </w:trPr>
        <w:tc>
          <w:tcPr>
            <w:tcW w:w="1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6D4C45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NLPR</w:t>
            </w:r>
          </w:p>
        </w:tc>
        <w:tc>
          <w:tcPr>
            <w:tcW w:w="9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13D2FA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0.796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91877A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0.690-0.902</w:t>
            </w:r>
          </w:p>
        </w:tc>
        <w:tc>
          <w:tcPr>
            <w:tcW w:w="634" w:type="dxa"/>
            <w:tcBorders>
              <w:top w:val="nil"/>
              <w:left w:val="nil"/>
              <w:bottom w:val="nil"/>
              <w:right w:val="nil"/>
            </w:tcBorders>
          </w:tcPr>
          <w:p w14:paraId="2607382D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14:paraId="7E02DCB4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NLPR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ED9D4BC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0.742</w:t>
            </w:r>
          </w:p>
        </w:tc>
        <w:tc>
          <w:tcPr>
            <w:tcW w:w="1643" w:type="dxa"/>
            <w:tcBorders>
              <w:top w:val="nil"/>
              <w:left w:val="nil"/>
              <w:bottom w:val="nil"/>
              <w:right w:val="nil"/>
            </w:tcBorders>
          </w:tcPr>
          <w:p w14:paraId="15C30724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0.626-0.858</w:t>
            </w:r>
          </w:p>
        </w:tc>
      </w:tr>
      <w:tr w:rsidR="00E372D1" w:rsidRPr="00E372D1" w14:paraId="1A431FD0" w14:textId="77777777" w:rsidTr="00E372D1">
        <w:trPr>
          <w:trHeight w:hRule="exact" w:val="454"/>
          <w:jc w:val="center"/>
        </w:trPr>
        <w:tc>
          <w:tcPr>
            <w:tcW w:w="12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E8FCDBA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PCIS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DD43E40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0.729</w:t>
            </w:r>
          </w:p>
        </w:tc>
        <w:tc>
          <w:tcPr>
            <w:tcW w:w="14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264E374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0.627-0.831</w:t>
            </w:r>
          </w:p>
        </w:tc>
        <w:tc>
          <w:tcPr>
            <w:tcW w:w="6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76E0EA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9F2995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PCIS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AF1ED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0.753</w:t>
            </w:r>
          </w:p>
        </w:tc>
        <w:tc>
          <w:tcPr>
            <w:tcW w:w="16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EFDECC" w14:textId="77777777" w:rsidR="00E372D1" w:rsidRPr="00E372D1" w:rsidRDefault="00E372D1" w:rsidP="001322DF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372D1">
              <w:rPr>
                <w:rFonts w:ascii="Arial" w:hAnsi="Arial" w:cs="Arial"/>
                <w:color w:val="000000" w:themeColor="text1"/>
                <w:sz w:val="20"/>
                <w:szCs w:val="20"/>
              </w:rPr>
              <w:t>0.643-0.863</w:t>
            </w:r>
          </w:p>
        </w:tc>
      </w:tr>
    </w:tbl>
    <w:p w14:paraId="46DB3731" w14:textId="77777777" w:rsidR="00E372D1" w:rsidRPr="00BE718E" w:rsidRDefault="00E372D1" w:rsidP="00E372D1">
      <w:pPr>
        <w:pStyle w:val="a8"/>
        <w:widowControl/>
        <w:shd w:val="clear" w:color="auto" w:fill="FDFDFE"/>
        <w:spacing w:before="140" w:line="360" w:lineRule="auto"/>
        <w:jc w:val="left"/>
        <w:rPr>
          <w:rFonts w:ascii="Arial" w:eastAsia="Segoe UI" w:hAnsi="Arial" w:cs="Arial" w:hint="eastAsia"/>
          <w:color w:val="000000" w:themeColor="text1"/>
          <w:sz w:val="20"/>
          <w:szCs w:val="20"/>
          <w:shd w:val="clear" w:color="auto" w:fill="FDFDFE"/>
        </w:rPr>
      </w:pPr>
    </w:p>
    <w:p w14:paraId="6494411E" w14:textId="77777777" w:rsidR="005B3714" w:rsidRDefault="005B3714">
      <w:pPr>
        <w:widowControl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7F46FCC" w14:textId="4CFC5C37" w:rsidR="001B7085" w:rsidRDefault="005B3714" w:rsidP="005B3714">
      <w:pPr>
        <w:spacing w:line="480" w:lineRule="auto"/>
        <w:jc w:val="center"/>
        <w:rPr>
          <w:rFonts w:ascii="Arial" w:hAnsi="Arial" w:cs="Arial"/>
          <w:sz w:val="20"/>
          <w:szCs w:val="20"/>
        </w:rPr>
      </w:pPr>
      <w:r>
        <w:lastRenderedPageBreak/>
        <w:drawing>
          <wp:inline distT="0" distB="0" distL="0" distR="0" wp14:anchorId="0933BC91" wp14:editId="60BF36D1">
            <wp:extent cx="3058795" cy="2939415"/>
            <wp:effectExtent l="0" t="0" r="8255" b="0"/>
            <wp:docPr id="14174063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795" cy="2939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A33D35" w14:textId="77777777" w:rsidR="005B3714" w:rsidRPr="005B3714" w:rsidRDefault="005B3714" w:rsidP="005B3714">
      <w:pPr>
        <w:pStyle w:val="a8"/>
        <w:widowControl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02631125" w14:textId="0576DFF5" w:rsidR="005B3714" w:rsidRPr="005B3714" w:rsidRDefault="005B3714" w:rsidP="005B3714">
      <w:pPr>
        <w:pStyle w:val="a8"/>
        <w:widowControl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B3714">
        <w:rPr>
          <w:rFonts w:ascii="Arial" w:hAnsi="Arial" w:cs="Arial" w:hint="eastAsia"/>
          <w:color w:val="000000" w:themeColor="text1"/>
          <w:sz w:val="20"/>
          <w:szCs w:val="20"/>
        </w:rPr>
        <w:t xml:space="preserve">Supplementary Figure 1 </w:t>
      </w:r>
      <w:r w:rsidRPr="005B3714">
        <w:rPr>
          <w:rFonts w:ascii="Arial" w:hAnsi="Arial" w:cs="Arial"/>
          <w:color w:val="000000" w:themeColor="text1"/>
          <w:sz w:val="20"/>
          <w:szCs w:val="20"/>
        </w:rPr>
        <w:t>Receiver operating characteristic curves for predicting hospital mortality in children with sepsis using the neutrophil-to-lymphocyte and platelet ratio (NLPR).</w:t>
      </w:r>
      <w:r w:rsidRPr="005B3714">
        <w:rPr>
          <w:rFonts w:ascii="Arial" w:hAnsi="Arial" w:cs="Arial" w:hint="eastAsia"/>
          <w:color w:val="000000" w:themeColor="text1"/>
          <w:sz w:val="20"/>
          <w:szCs w:val="20"/>
        </w:rPr>
        <w:t xml:space="preserve"> </w:t>
      </w:r>
      <w:bookmarkStart w:id="2" w:name="_Hlk178491950"/>
      <w:r w:rsidR="001269EC" w:rsidRPr="001269EC">
        <w:rPr>
          <w:rFonts w:ascii="Arial" w:hAnsi="Arial" w:cs="Arial" w:hint="eastAsia"/>
          <w:color w:val="000000" w:themeColor="text1"/>
          <w:sz w:val="20"/>
          <w:szCs w:val="20"/>
        </w:rPr>
        <w:t>Dashed lines represent 95% confidence intervals</w:t>
      </w:r>
      <w:r w:rsidR="001269EC">
        <w:rPr>
          <w:rFonts w:ascii="Arial" w:hAnsi="Arial" w:cs="Arial" w:hint="eastAsia"/>
          <w:color w:val="000000" w:themeColor="text1"/>
          <w:sz w:val="20"/>
          <w:szCs w:val="20"/>
        </w:rPr>
        <w:t>.</w:t>
      </w:r>
    </w:p>
    <w:bookmarkEnd w:id="2"/>
    <w:p w14:paraId="2D956972" w14:textId="1864235E" w:rsidR="005B3714" w:rsidRPr="005B3714" w:rsidRDefault="005B3714" w:rsidP="005B3714">
      <w:pPr>
        <w:pStyle w:val="a8"/>
        <w:widowControl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5B3714">
        <w:rPr>
          <w:rFonts w:ascii="Arial" w:hAnsi="Arial" w:cs="Arial"/>
          <w:color w:val="000000" w:themeColor="text1"/>
          <w:sz w:val="20"/>
          <w:szCs w:val="20"/>
        </w:rPr>
        <w:t>Abbreviations:</w:t>
      </w:r>
      <w:r w:rsidRPr="005B3714">
        <w:rPr>
          <w:rFonts w:ascii="Arial" w:hAnsi="Arial" w:cs="Arial" w:hint="eastAsia"/>
          <w:color w:val="000000" w:themeColor="text1"/>
          <w:sz w:val="20"/>
          <w:szCs w:val="20"/>
        </w:rPr>
        <w:t xml:space="preserve"> AUC, area under the curve.</w:t>
      </w:r>
    </w:p>
    <w:p w14:paraId="14F8F4BC" w14:textId="77777777" w:rsidR="005B3714" w:rsidRPr="005B3714" w:rsidRDefault="005B3714" w:rsidP="005B3714">
      <w:pPr>
        <w:spacing w:line="480" w:lineRule="auto"/>
        <w:rPr>
          <w:rFonts w:ascii="Arial" w:hAnsi="Arial" w:cs="Arial"/>
          <w:sz w:val="20"/>
          <w:szCs w:val="20"/>
        </w:rPr>
      </w:pPr>
    </w:p>
    <w:p w14:paraId="1918B0D9" w14:textId="77777777" w:rsidR="001B7085" w:rsidRDefault="001B7085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5BC6257D" w14:textId="634525FC" w:rsidR="00AA4C8D" w:rsidRDefault="001B7085" w:rsidP="001B7085">
      <w:pPr>
        <w:spacing w:line="48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34F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drawing>
          <wp:inline distT="0" distB="0" distL="114300" distR="114300" wp14:anchorId="6ECF1461" wp14:editId="782A8E7E">
            <wp:extent cx="4633245" cy="3369128"/>
            <wp:effectExtent l="0" t="0" r="0" b="3175"/>
            <wp:docPr id="2" name="图片 2" descr="F:\science\视频课程\解螺旋系统课\00生信\sci定制\3临床研究部分\我的论文\图表（总）\图\psm\psm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:\science\视频课程\解螺旋系统课\00生信\sci定制\3临床研究部分\我的论文\图表（总）\图\psm\psm_1.jp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51677" cy="3382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9DFC2" w14:textId="77777777" w:rsidR="00F747C3" w:rsidRDefault="00F747C3" w:rsidP="00F747C3">
      <w:pPr>
        <w:pStyle w:val="a8"/>
        <w:widowControl/>
        <w:spacing w:line="360" w:lineRule="auto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</w:p>
    <w:p w14:paraId="6CA968FA" w14:textId="5295E534" w:rsidR="00BE718E" w:rsidRPr="00BE718E" w:rsidRDefault="00F747C3" w:rsidP="00F747C3">
      <w:pPr>
        <w:pStyle w:val="a8"/>
        <w:widowControl/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BE718E">
        <w:rPr>
          <w:rFonts w:ascii="Arial" w:hAnsi="Arial" w:cs="Arial"/>
          <w:color w:val="000000" w:themeColor="text1"/>
          <w:sz w:val="20"/>
          <w:szCs w:val="20"/>
        </w:rPr>
        <w:t>S</w:t>
      </w:r>
      <w:r w:rsidR="001B7085"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upplementary Figure </w:t>
      </w:r>
      <w:r w:rsidR="005B3714">
        <w:rPr>
          <w:rFonts w:ascii="Arial" w:hAnsi="Arial" w:cs="Arial" w:hint="eastAsia"/>
          <w:color w:val="000000" w:themeColor="text1"/>
          <w:sz w:val="20"/>
          <w:szCs w:val="20"/>
        </w:rPr>
        <w:t>2</w:t>
      </w:r>
      <w:r w:rsidR="001B7085"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 Propensity </w:t>
      </w:r>
      <w:r w:rsidR="001B7085" w:rsidRPr="00BE718E">
        <w:rPr>
          <w:rFonts w:ascii="Arial" w:hAnsi="Arial" w:cs="Arial"/>
          <w:color w:val="000000" w:themeColor="text1"/>
          <w:sz w:val="20"/>
          <w:szCs w:val="20"/>
        </w:rPr>
        <w:t>s</w:t>
      </w:r>
      <w:r w:rsidR="001B7085"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cores for the </w:t>
      </w:r>
      <w:r w:rsidR="001B7085" w:rsidRPr="00BE718E">
        <w:rPr>
          <w:rFonts w:ascii="Arial" w:hAnsi="Arial" w:cs="Arial"/>
          <w:color w:val="000000" w:themeColor="text1"/>
          <w:sz w:val="20"/>
          <w:szCs w:val="20"/>
        </w:rPr>
        <w:t>h</w:t>
      </w:r>
      <w:r w:rsidR="001B7085"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igh NLPR </w:t>
      </w:r>
      <w:r w:rsidR="001B7085" w:rsidRPr="00BE718E">
        <w:rPr>
          <w:rFonts w:ascii="Arial" w:hAnsi="Arial" w:cs="Arial"/>
          <w:color w:val="000000" w:themeColor="text1"/>
          <w:sz w:val="20"/>
          <w:szCs w:val="20"/>
        </w:rPr>
        <w:t>g</w:t>
      </w:r>
      <w:r w:rsidR="001B7085"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roup and </w:t>
      </w:r>
      <w:r w:rsidR="001B7085" w:rsidRPr="00BE718E">
        <w:rPr>
          <w:rFonts w:ascii="Arial" w:hAnsi="Arial" w:cs="Arial"/>
          <w:color w:val="000000" w:themeColor="text1"/>
          <w:sz w:val="20"/>
          <w:szCs w:val="20"/>
        </w:rPr>
        <w:t>l</w:t>
      </w:r>
      <w:r w:rsidR="001B7085" w:rsidRPr="00BE718E">
        <w:rPr>
          <w:rFonts w:ascii="Arial" w:eastAsia="Segoe UI" w:hAnsi="Arial" w:cs="Arial"/>
          <w:color w:val="000000" w:themeColor="text1"/>
          <w:sz w:val="20"/>
          <w:szCs w:val="20"/>
        </w:rPr>
        <w:t xml:space="preserve">ow NLPR </w:t>
      </w:r>
      <w:r w:rsidR="001B7085" w:rsidRPr="00BE718E">
        <w:rPr>
          <w:rFonts w:ascii="Arial" w:hAnsi="Arial" w:cs="Arial"/>
          <w:color w:val="000000" w:themeColor="text1"/>
          <w:sz w:val="20"/>
          <w:szCs w:val="20"/>
        </w:rPr>
        <w:t>g</w:t>
      </w:r>
      <w:r w:rsidR="001B7085" w:rsidRPr="00BE718E">
        <w:rPr>
          <w:rFonts w:ascii="Arial" w:eastAsia="Segoe UI" w:hAnsi="Arial" w:cs="Arial"/>
          <w:color w:val="000000" w:themeColor="text1"/>
          <w:sz w:val="20"/>
          <w:szCs w:val="20"/>
        </w:rPr>
        <w:t>roup</w:t>
      </w:r>
      <w:r w:rsidR="00830706" w:rsidRPr="00BE718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88F7830" w14:textId="305E1311" w:rsidR="001B7085" w:rsidRDefault="001B7085">
      <w:pPr>
        <w:widowControl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01074B17" w14:textId="77777777" w:rsidR="001B7085" w:rsidRPr="00534F3D" w:rsidRDefault="001B7085" w:rsidP="001B7085">
      <w:pPr>
        <w:spacing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34F3D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drawing>
          <wp:inline distT="0" distB="0" distL="114300" distR="114300" wp14:anchorId="7A4540B2" wp14:editId="44691C63">
            <wp:extent cx="4343400" cy="3156318"/>
            <wp:effectExtent l="0" t="0" r="0" b="6350"/>
            <wp:docPr id="3" name="图片 3" descr="F:\science\视频课程\解螺旋系统课\00生信\sci定制\3临床研究部分\我的论文\图表（总）\图\psm\psm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:\science\视频课程\解螺旋系统课\00生信\sci定制\3临床研究部分\我的论文\图表（总）\图\psm\psm_2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348583" cy="3160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8C3D" w14:textId="77777777" w:rsidR="00F747C3" w:rsidRDefault="00F747C3" w:rsidP="001B7085">
      <w:pPr>
        <w:pStyle w:val="a8"/>
        <w:widowControl/>
        <w:shd w:val="clear" w:color="auto" w:fill="FDFDFE"/>
        <w:spacing w:line="360" w:lineRule="auto"/>
        <w:jc w:val="left"/>
        <w:rPr>
          <w:rFonts w:ascii="Times New Roman" w:hAnsi="Times New Roman" w:cs="Times New Roman"/>
          <w:b/>
          <w:bCs/>
          <w:color w:val="000000" w:themeColor="text1"/>
          <w:sz w:val="20"/>
          <w:szCs w:val="20"/>
          <w:shd w:val="clear" w:color="auto" w:fill="FDFDFE"/>
        </w:rPr>
      </w:pPr>
    </w:p>
    <w:p w14:paraId="0FD85BC5" w14:textId="6088642C" w:rsidR="001B7085" w:rsidRPr="00BE718E" w:rsidRDefault="001B7085" w:rsidP="001B7085">
      <w:pPr>
        <w:pStyle w:val="a8"/>
        <w:widowControl/>
        <w:shd w:val="clear" w:color="auto" w:fill="FDFDFE"/>
        <w:spacing w:line="360" w:lineRule="auto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BE718E"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  <w:t xml:space="preserve">Supplementary Figure </w:t>
      </w:r>
      <w:r w:rsidR="005B3714">
        <w:rPr>
          <w:rFonts w:ascii="Arial" w:hAnsi="Arial" w:cs="Arial" w:hint="eastAsia"/>
          <w:color w:val="000000" w:themeColor="text1"/>
          <w:sz w:val="20"/>
          <w:szCs w:val="20"/>
          <w:shd w:val="clear" w:color="auto" w:fill="FDFDFE"/>
        </w:rPr>
        <w:t>3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  <w:t xml:space="preserve"> Propensity </w:t>
      </w:r>
      <w:r w:rsidR="00F747C3" w:rsidRPr="00BE718E">
        <w:rPr>
          <w:rFonts w:ascii="Arial" w:hAnsi="Arial" w:cs="Arial"/>
          <w:color w:val="000000" w:themeColor="text1"/>
          <w:sz w:val="20"/>
          <w:szCs w:val="20"/>
          <w:shd w:val="clear" w:color="auto" w:fill="FDFDFE"/>
        </w:rPr>
        <w:t>s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  <w:t xml:space="preserve">cores for the </w:t>
      </w:r>
      <w:r w:rsidR="00F747C3" w:rsidRPr="00BE718E">
        <w:rPr>
          <w:rFonts w:ascii="Arial" w:hAnsi="Arial" w:cs="Arial"/>
          <w:color w:val="000000" w:themeColor="text1"/>
          <w:sz w:val="20"/>
          <w:szCs w:val="20"/>
          <w:shd w:val="clear" w:color="auto" w:fill="FDFDFE"/>
        </w:rPr>
        <w:t>h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  <w:t xml:space="preserve">igh NLPR </w:t>
      </w:r>
      <w:r w:rsidR="00F747C3" w:rsidRPr="00BE718E">
        <w:rPr>
          <w:rFonts w:ascii="Arial" w:hAnsi="Arial" w:cs="Arial"/>
          <w:color w:val="000000" w:themeColor="text1"/>
          <w:sz w:val="20"/>
          <w:szCs w:val="20"/>
          <w:shd w:val="clear" w:color="auto" w:fill="FDFDFE"/>
        </w:rPr>
        <w:t>g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  <w:t xml:space="preserve">roup and </w:t>
      </w:r>
      <w:r w:rsidR="00F747C3" w:rsidRPr="00BE718E">
        <w:rPr>
          <w:rFonts w:ascii="Arial" w:hAnsi="Arial" w:cs="Arial"/>
          <w:color w:val="000000" w:themeColor="text1"/>
          <w:sz w:val="20"/>
          <w:szCs w:val="20"/>
          <w:shd w:val="clear" w:color="auto" w:fill="FDFDFE"/>
        </w:rPr>
        <w:t>l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  <w:t xml:space="preserve">ow NLPR </w:t>
      </w:r>
      <w:r w:rsidR="00F747C3" w:rsidRPr="00BE718E">
        <w:rPr>
          <w:rFonts w:ascii="Arial" w:hAnsi="Arial" w:cs="Arial"/>
          <w:color w:val="000000" w:themeColor="text1"/>
          <w:sz w:val="20"/>
          <w:szCs w:val="20"/>
          <w:shd w:val="clear" w:color="auto" w:fill="FDFDFE"/>
        </w:rPr>
        <w:t>g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  <w:t xml:space="preserve">roup after </w:t>
      </w:r>
      <w:r w:rsidR="00F747C3" w:rsidRPr="00BE718E">
        <w:rPr>
          <w:rFonts w:ascii="Arial" w:hAnsi="Arial" w:cs="Arial"/>
          <w:color w:val="000000" w:themeColor="text1"/>
          <w:sz w:val="20"/>
          <w:szCs w:val="20"/>
          <w:shd w:val="clear" w:color="auto" w:fill="FDFDFE"/>
        </w:rPr>
        <w:t>s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  <w:t xml:space="preserve">ensitivity </w:t>
      </w:r>
      <w:r w:rsidR="00F747C3" w:rsidRPr="00BE718E">
        <w:rPr>
          <w:rFonts w:ascii="Arial" w:hAnsi="Arial" w:cs="Arial"/>
          <w:color w:val="000000" w:themeColor="text1"/>
          <w:sz w:val="20"/>
          <w:szCs w:val="20"/>
          <w:shd w:val="clear" w:color="auto" w:fill="FDFDFE"/>
        </w:rPr>
        <w:t>a</w:t>
      </w:r>
      <w:r w:rsidRPr="00BE718E">
        <w:rPr>
          <w:rFonts w:ascii="Arial" w:eastAsia="Segoe UI" w:hAnsi="Arial" w:cs="Arial"/>
          <w:color w:val="000000" w:themeColor="text1"/>
          <w:sz w:val="20"/>
          <w:szCs w:val="20"/>
          <w:shd w:val="clear" w:color="auto" w:fill="FDFDFE"/>
        </w:rPr>
        <w:t>nalysis</w:t>
      </w:r>
      <w:r w:rsidR="00F747C3" w:rsidRPr="00BE718E">
        <w:rPr>
          <w:rFonts w:ascii="Arial" w:hAnsi="Arial" w:cs="Arial"/>
          <w:color w:val="000000" w:themeColor="text1"/>
          <w:sz w:val="20"/>
          <w:szCs w:val="20"/>
          <w:shd w:val="clear" w:color="auto" w:fill="FDFDFE"/>
        </w:rPr>
        <w:t>.</w:t>
      </w:r>
    </w:p>
    <w:p w14:paraId="240E4DD7" w14:textId="77777777" w:rsidR="001B7085" w:rsidRPr="001B7085" w:rsidRDefault="001B7085" w:rsidP="004531AE">
      <w:pPr>
        <w:spacing w:line="480" w:lineRule="auto"/>
        <w:rPr>
          <w:rFonts w:ascii="Times New Roman" w:hAnsi="Times New Roman" w:cs="Times New Roman"/>
          <w:sz w:val="20"/>
          <w:szCs w:val="20"/>
        </w:rPr>
      </w:pPr>
    </w:p>
    <w:sectPr w:rsidR="001B7085" w:rsidRPr="001B7085" w:rsidSect="00200B57">
      <w:pgSz w:w="12240" w:h="15840" w:code="1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244971" w14:textId="77777777" w:rsidR="00D84398" w:rsidRDefault="00D84398" w:rsidP="003A2B98">
      <w:pPr>
        <w:rPr>
          <w:rFonts w:hint="eastAsia"/>
        </w:rPr>
      </w:pPr>
      <w:r>
        <w:separator/>
      </w:r>
    </w:p>
  </w:endnote>
  <w:endnote w:type="continuationSeparator" w:id="0">
    <w:p w14:paraId="0006F37E" w14:textId="77777777" w:rsidR="00D84398" w:rsidRDefault="00D84398" w:rsidP="003A2B9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65C1A4" w14:textId="77777777" w:rsidR="00D84398" w:rsidRDefault="00D84398" w:rsidP="003A2B98">
      <w:pPr>
        <w:rPr>
          <w:rFonts w:hint="eastAsia"/>
        </w:rPr>
      </w:pPr>
      <w:r>
        <w:separator/>
      </w:r>
    </w:p>
  </w:footnote>
  <w:footnote w:type="continuationSeparator" w:id="0">
    <w:p w14:paraId="7A78E5B9" w14:textId="77777777" w:rsidR="00D84398" w:rsidRDefault="00D84398" w:rsidP="003A2B9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FB"/>
    <w:rsid w:val="00026D16"/>
    <w:rsid w:val="0008412D"/>
    <w:rsid w:val="00103AF9"/>
    <w:rsid w:val="001269EC"/>
    <w:rsid w:val="00187149"/>
    <w:rsid w:val="001B7085"/>
    <w:rsid w:val="001D375E"/>
    <w:rsid w:val="00200B57"/>
    <w:rsid w:val="003A2B98"/>
    <w:rsid w:val="003C283B"/>
    <w:rsid w:val="003F6C17"/>
    <w:rsid w:val="004531AE"/>
    <w:rsid w:val="00456F4B"/>
    <w:rsid w:val="00527A8A"/>
    <w:rsid w:val="0054459F"/>
    <w:rsid w:val="005B3714"/>
    <w:rsid w:val="005B59E5"/>
    <w:rsid w:val="005C3A41"/>
    <w:rsid w:val="00660955"/>
    <w:rsid w:val="006F1E59"/>
    <w:rsid w:val="00716BCF"/>
    <w:rsid w:val="007F7403"/>
    <w:rsid w:val="00830706"/>
    <w:rsid w:val="00851416"/>
    <w:rsid w:val="008B1DEF"/>
    <w:rsid w:val="00961934"/>
    <w:rsid w:val="0097165E"/>
    <w:rsid w:val="009B6410"/>
    <w:rsid w:val="009D42C5"/>
    <w:rsid w:val="00A4226E"/>
    <w:rsid w:val="00AA4C8D"/>
    <w:rsid w:val="00AF3157"/>
    <w:rsid w:val="00AF687D"/>
    <w:rsid w:val="00B04CFB"/>
    <w:rsid w:val="00B97901"/>
    <w:rsid w:val="00BE718E"/>
    <w:rsid w:val="00C71DA0"/>
    <w:rsid w:val="00CE28A4"/>
    <w:rsid w:val="00D454FA"/>
    <w:rsid w:val="00D84398"/>
    <w:rsid w:val="00DD6760"/>
    <w:rsid w:val="00DE2846"/>
    <w:rsid w:val="00E33888"/>
    <w:rsid w:val="00E372D1"/>
    <w:rsid w:val="00E62CBA"/>
    <w:rsid w:val="00F747C3"/>
    <w:rsid w:val="00F90028"/>
    <w:rsid w:val="00FE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233AC"/>
  <w15:chartTrackingRefBased/>
  <w15:docId w15:val="{5B7CB670-6295-4E7B-96F7-7E88164BC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="Times New Roman" w:cs="Times New Roman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98"/>
    <w:pPr>
      <w:widowControl w:val="0"/>
      <w:jc w:val="both"/>
    </w:pPr>
    <w:rPr>
      <w:rFonts w:asciiTheme="minorHAnsi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A2B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A2B9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A2B98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A2B98"/>
    <w:rPr>
      <w:sz w:val="18"/>
      <w:szCs w:val="18"/>
    </w:rPr>
  </w:style>
  <w:style w:type="table" w:styleId="a7">
    <w:name w:val="Table Grid"/>
    <w:basedOn w:val="a1"/>
    <w:uiPriority w:val="39"/>
    <w:rsid w:val="003A2B98"/>
    <w:rPr>
      <w:rFonts w:asciiTheme="minorHAnsi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qFormat/>
    <w:rsid w:val="00F900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9C0CF-3408-4F52-B970-AF8D380DD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8</Pages>
  <Words>709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化彬</dc:creator>
  <cp:keywords/>
  <dc:description/>
  <cp:lastModifiedBy>HB Wang</cp:lastModifiedBy>
  <cp:revision>18</cp:revision>
  <dcterms:created xsi:type="dcterms:W3CDTF">2022-09-21T12:10:00Z</dcterms:created>
  <dcterms:modified xsi:type="dcterms:W3CDTF">2024-09-30T09:23:00Z</dcterms:modified>
</cp:coreProperties>
</file>