
<file path=[Content_Types].xml><?xml version="1.0" encoding="utf-8"?>
<Types xmlns="http://schemas.openxmlformats.org/package/2006/content-types">
  <Default Extension="tiff" ContentType="image/tif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07FF2D7">
      <w:pPr>
        <w:adjustRightInd w:val="0"/>
        <w:snapToGrid w:val="0"/>
        <w:spacing w:line="480" w:lineRule="auto"/>
        <w:jc w:val="left"/>
        <w:rPr>
          <w:rFonts w:ascii="Arial" w:hAnsi="Arial" w:cs="Arial"/>
          <w:sz w:val="28"/>
          <w:szCs w:val="28"/>
        </w:rPr>
      </w:pPr>
      <w:bookmarkStart w:id="0" w:name="OLE_LINK1"/>
      <w:r>
        <w:rPr>
          <w:rFonts w:ascii="Arial" w:hAnsi="Arial" w:cs="Arial"/>
          <w:color w:val="000000"/>
          <w:sz w:val="32"/>
          <w:szCs w:val="32"/>
        </w:rPr>
        <w:t>Supporting Information</w:t>
      </w:r>
    </w:p>
    <w:bookmarkEnd w:id="0"/>
    <w:p w14:paraId="60B30C82">
      <w:pPr>
        <w:adjustRightInd w:val="0"/>
        <w:snapToGrid w:val="0"/>
        <w:spacing w:line="480" w:lineRule="auto"/>
        <w:jc w:val="center"/>
        <w:rPr>
          <w:sz w:val="28"/>
          <w:szCs w:val="28"/>
        </w:rPr>
      </w:pPr>
    </w:p>
    <w:p w14:paraId="61393A50">
      <w:pPr>
        <w:adjustRightInd w:val="0"/>
        <w:snapToGrid w:val="0"/>
        <w:spacing w:line="48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bCs/>
          <w:sz w:val="32"/>
          <w:szCs w:val="32"/>
        </w:rPr>
        <w:t>Iron-based nanoplatforms achieve hepatocellular carcinoma regression through a cascade of effects</w:t>
      </w:r>
      <w:r>
        <w:rPr>
          <w:rFonts w:ascii="Arial" w:hAnsi="Arial" w:cs="Arial"/>
          <w:b/>
          <w:sz w:val="28"/>
          <w:szCs w:val="28"/>
        </w:rPr>
        <w:t xml:space="preserve"> </w:t>
      </w:r>
    </w:p>
    <w:p w14:paraId="522E3F21">
      <w:pPr>
        <w:adjustRightInd w:val="0"/>
        <w:snapToGrid w:val="0"/>
        <w:spacing w:line="480" w:lineRule="auto"/>
        <w:jc w:val="center"/>
        <w:rPr>
          <w:rFonts w:ascii="Arial" w:hAnsi="Arial" w:cs="Arial"/>
          <w:b/>
          <w:sz w:val="28"/>
          <w:szCs w:val="28"/>
        </w:rPr>
      </w:pPr>
    </w:p>
    <w:p w14:paraId="28E40B7A">
      <w:pPr>
        <w:adjustRightInd w:val="0"/>
        <w:snapToGrid w:val="0"/>
        <w:spacing w:line="480" w:lineRule="auto"/>
        <w:jc w:val="center"/>
        <w:rPr>
          <w:rFonts w:ascii="Arial" w:hAnsi="Arial" w:cs="Arial"/>
          <w:b/>
          <w:sz w:val="28"/>
          <w:szCs w:val="28"/>
        </w:rPr>
      </w:pPr>
    </w:p>
    <w:p w14:paraId="522478E4">
      <w:pPr>
        <w:adjustRightInd w:val="0"/>
        <w:snapToGrid w:val="0"/>
        <w:spacing w:line="480" w:lineRule="auto"/>
        <w:jc w:val="center"/>
        <w:rPr>
          <w:rFonts w:ascii="Arial" w:hAnsi="Arial" w:cs="Arial"/>
          <w:b/>
          <w:sz w:val="28"/>
          <w:szCs w:val="28"/>
        </w:rPr>
      </w:pPr>
    </w:p>
    <w:p w14:paraId="5F6E65AF">
      <w:pPr>
        <w:adjustRightInd w:val="0"/>
        <w:snapToGrid w:val="0"/>
        <w:spacing w:line="480" w:lineRule="auto"/>
        <w:jc w:val="center"/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</w:pPr>
      <w:r>
        <w:rPr>
          <w:rFonts w:hint="eastAsia" w:eastAsia="宋体"/>
          <w:b/>
          <w:sz w:val="28"/>
          <w:szCs w:val="28"/>
          <w:lang w:eastAsia="zh-CN"/>
        </w:rPr>
        <w:drawing>
          <wp:inline distT="0" distB="0" distL="114300" distR="114300">
            <wp:extent cx="1821180" cy="1927225"/>
            <wp:effectExtent l="0" t="0" r="7620" b="3175"/>
            <wp:docPr id="1" name="图片 1" descr="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192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7A967">
      <w:pPr>
        <w:adjustRightInd w:val="0"/>
        <w:snapToGrid w:val="0"/>
        <w:spacing w:line="480" w:lineRule="auto"/>
        <w:jc w:val="left"/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</w:pPr>
    </w:p>
    <w:p w14:paraId="43FB7ED9">
      <w:pPr>
        <w:adjustRightInd w:val="0"/>
        <w:snapToGrid w:val="0"/>
        <w:spacing w:line="480" w:lineRule="auto"/>
        <w:jc w:val="left"/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</w:pPr>
      <w:r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  <w:t>Figure S1. EC content in the supernatant before and after synthesis of the GOx/EC@Fe</w:t>
      </w:r>
      <w:r>
        <w:rPr>
          <w:rFonts w:hint="default" w:ascii="Arial" w:hAnsi="Arial" w:eastAsia="宋体" w:cs="Arial"/>
          <w:b w:val="0"/>
          <w:bCs/>
          <w:sz w:val="24"/>
          <w:szCs w:val="24"/>
          <w:vertAlign w:val="subscript"/>
          <w:lang w:eastAsia="zh-CN"/>
        </w:rPr>
        <w:t>3</w:t>
      </w:r>
      <w:r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  <w:t>O</w:t>
      </w:r>
      <w:r>
        <w:rPr>
          <w:rFonts w:hint="default" w:ascii="Arial" w:hAnsi="Arial" w:eastAsia="宋体" w:cs="Arial"/>
          <w:b w:val="0"/>
          <w:bCs/>
          <w:sz w:val="24"/>
          <w:szCs w:val="24"/>
          <w:vertAlign w:val="subscript"/>
          <w:lang w:eastAsia="zh-CN"/>
        </w:rPr>
        <w:t>4</w:t>
      </w:r>
      <w:r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  <w:t>@CCM nanoplatforms.</w:t>
      </w:r>
    </w:p>
    <w:p w14:paraId="537C45D9">
      <w:pPr>
        <w:adjustRightInd w:val="0"/>
        <w:snapToGrid w:val="0"/>
        <w:spacing w:line="480" w:lineRule="auto"/>
        <w:jc w:val="left"/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</w:pPr>
    </w:p>
    <w:p w14:paraId="14AC92D4">
      <w:pPr>
        <w:adjustRightInd w:val="0"/>
        <w:snapToGrid w:val="0"/>
        <w:spacing w:line="480" w:lineRule="auto"/>
        <w:jc w:val="left"/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</w:pPr>
    </w:p>
    <w:p w14:paraId="55875F19">
      <w:pPr>
        <w:adjustRightInd w:val="0"/>
        <w:snapToGrid w:val="0"/>
        <w:spacing w:line="480" w:lineRule="auto"/>
        <w:jc w:val="center"/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</w:pPr>
      <w:r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  <w:drawing>
          <wp:inline distT="0" distB="0" distL="114300" distR="114300">
            <wp:extent cx="2106295" cy="1847850"/>
            <wp:effectExtent l="0" t="0" r="1905" b="6350"/>
            <wp:docPr id="2" name="图片 2" descr="Fe2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e2+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0629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481FA">
      <w:pPr>
        <w:adjustRightInd w:val="0"/>
        <w:snapToGrid w:val="0"/>
        <w:spacing w:line="480" w:lineRule="auto"/>
        <w:jc w:val="center"/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</w:pPr>
    </w:p>
    <w:p w14:paraId="4BBD4D5F">
      <w:pPr>
        <w:adjustRightInd w:val="0"/>
        <w:snapToGrid w:val="0"/>
        <w:spacing w:line="480" w:lineRule="auto"/>
        <w:jc w:val="left"/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</w:pPr>
      <w:r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  <w:t>Figure S2. Fe</w:t>
      </w:r>
      <w:r>
        <w:rPr>
          <w:rFonts w:hint="default" w:ascii="Arial" w:hAnsi="Arial" w:eastAsia="宋体" w:cs="Arial"/>
          <w:b w:val="0"/>
          <w:bCs/>
          <w:sz w:val="24"/>
          <w:szCs w:val="24"/>
          <w:vertAlign w:val="superscript"/>
          <w:lang w:eastAsia="zh-CN"/>
        </w:rPr>
        <w:t>2+</w:t>
      </w:r>
      <w:r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  <w:t xml:space="preserve"> release test from the GOx/EC@Fe</w:t>
      </w:r>
      <w:r>
        <w:rPr>
          <w:rFonts w:hint="default" w:ascii="Arial" w:hAnsi="Arial" w:eastAsia="宋体" w:cs="Arial"/>
          <w:b w:val="0"/>
          <w:bCs/>
          <w:sz w:val="24"/>
          <w:szCs w:val="24"/>
          <w:vertAlign w:val="subscript"/>
          <w:lang w:eastAsia="zh-CN"/>
        </w:rPr>
        <w:t>3</w:t>
      </w:r>
      <w:r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  <w:t>O</w:t>
      </w:r>
      <w:r>
        <w:rPr>
          <w:rFonts w:hint="default" w:ascii="Arial" w:hAnsi="Arial" w:eastAsia="宋体" w:cs="Arial"/>
          <w:b w:val="0"/>
          <w:bCs/>
          <w:sz w:val="24"/>
          <w:szCs w:val="24"/>
          <w:vertAlign w:val="subscript"/>
          <w:lang w:eastAsia="zh-CN"/>
        </w:rPr>
        <w:t>4</w:t>
      </w:r>
      <w:r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  <w:t>@CCM nanoplatforms.</w:t>
      </w:r>
    </w:p>
    <w:p w14:paraId="77472336">
      <w:pPr>
        <w:adjustRightInd w:val="0"/>
        <w:snapToGrid w:val="0"/>
        <w:spacing w:line="480" w:lineRule="auto"/>
        <w:jc w:val="left"/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</w:pPr>
    </w:p>
    <w:p w14:paraId="25416618">
      <w:pPr>
        <w:adjustRightInd w:val="0"/>
        <w:snapToGrid w:val="0"/>
        <w:spacing w:line="480" w:lineRule="auto"/>
        <w:jc w:val="left"/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</w:pPr>
    </w:p>
    <w:p w14:paraId="5EFE2981">
      <w:pPr>
        <w:adjustRightInd w:val="0"/>
        <w:snapToGrid w:val="0"/>
        <w:spacing w:line="480" w:lineRule="auto"/>
        <w:jc w:val="left"/>
        <w:rPr>
          <w:rFonts w:hint="default" w:ascii="Arial" w:hAnsi="Arial" w:eastAsia="宋体" w:cs="Arial"/>
          <w:b w:val="0"/>
          <w:bCs/>
          <w:sz w:val="24"/>
          <w:szCs w:val="24"/>
          <w:lang w:eastAsia="zh-CN"/>
        </w:rPr>
      </w:pPr>
    </w:p>
    <w:p w14:paraId="1CDB511B">
      <w:pPr>
        <w:adjustRightInd w:val="0"/>
        <w:snapToGrid w:val="0"/>
        <w:spacing w:line="480" w:lineRule="auto"/>
        <w:rPr>
          <w:bCs/>
          <w:sz w:val="24"/>
          <w:szCs w:val="24"/>
        </w:rPr>
      </w:pPr>
      <w:r>
        <w:drawing>
          <wp:inline distT="0" distB="0" distL="0" distR="0">
            <wp:extent cx="5274310" cy="1494790"/>
            <wp:effectExtent l="0" t="0" r="2540" b="0"/>
            <wp:docPr id="13852939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293945" name="图片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FFCF5">
      <w:pPr>
        <w:adjustRightInd w:val="0"/>
        <w:snapToGrid w:val="0"/>
        <w:spacing w:line="480" w:lineRule="auto"/>
        <w:rPr>
          <w:bCs/>
          <w:sz w:val="24"/>
          <w:szCs w:val="24"/>
        </w:rPr>
      </w:pPr>
    </w:p>
    <w:p w14:paraId="5C85FA16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</w:t>
      </w:r>
      <w:r>
        <w:rPr>
          <w:rFonts w:hint="eastAsia" w:ascii="Arial" w:hAnsi="Arial" w:cs="Arial"/>
          <w:sz w:val="24"/>
          <w:szCs w:val="24"/>
          <w:lang w:val="en-US" w:eastAsia="zh-CN"/>
        </w:rPr>
        <w:t>3</w:t>
      </w:r>
      <w:r>
        <w:rPr>
          <w:rFonts w:ascii="Arial" w:hAnsi="Arial" w:cs="Arial"/>
          <w:sz w:val="24"/>
          <w:szCs w:val="24"/>
        </w:rPr>
        <w:t>. Fluorescence images of the uptake of RhB-labeled GOx/EC@Fe</w:t>
      </w:r>
      <w:r>
        <w:rPr>
          <w:rFonts w:ascii="Arial" w:hAnsi="Arial" w:cs="Arial"/>
          <w:sz w:val="24"/>
          <w:szCs w:val="24"/>
          <w:vertAlign w:val="subscript"/>
        </w:rPr>
        <w:t>3</w:t>
      </w:r>
      <w:r>
        <w:rPr>
          <w:rFonts w:ascii="Arial" w:hAnsi="Arial" w:cs="Arial"/>
          <w:sz w:val="24"/>
          <w:szCs w:val="24"/>
        </w:rPr>
        <w:t>O</w:t>
      </w:r>
      <w:r>
        <w:rPr>
          <w:rFonts w:ascii="Arial" w:hAnsi="Arial" w:cs="Arial"/>
          <w:sz w:val="24"/>
          <w:szCs w:val="24"/>
          <w:vertAlign w:val="subscript"/>
        </w:rPr>
        <w:t>4</w:t>
      </w:r>
      <w:r>
        <w:rPr>
          <w:rFonts w:ascii="Arial" w:hAnsi="Arial" w:cs="Arial"/>
          <w:sz w:val="24"/>
          <w:szCs w:val="24"/>
        </w:rPr>
        <w:t xml:space="preserve">@CCM </w:t>
      </w:r>
      <w:r>
        <w:rPr>
          <w:rFonts w:hint="eastAsia" w:ascii="Arial" w:hAnsi="Arial" w:cs="Arial"/>
          <w:sz w:val="24"/>
          <w:szCs w:val="24"/>
          <w:lang w:eastAsia="zh-CN"/>
        </w:rPr>
        <w:t>nanoplatforms</w:t>
      </w:r>
      <w:r>
        <w:rPr>
          <w:rFonts w:ascii="Arial" w:hAnsi="Arial" w:cs="Arial"/>
          <w:sz w:val="24"/>
          <w:szCs w:val="24"/>
        </w:rPr>
        <w:t xml:space="preserve"> by Hepa1-6 cells at different time points (A), as well as flow cytometry (B). Scale bar: 50 μm.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  <w:bookmarkStart w:id="1" w:name="_GoBack"/>
      <w:bookmarkEnd w:id="1"/>
    </w:p>
    <w:p w14:paraId="59DAFE7D">
      <w:pPr>
        <w:adjustRightInd w:val="0"/>
        <w:snapToGrid w:val="0"/>
        <w:spacing w:line="480" w:lineRule="auto"/>
        <w:rPr>
          <w:bCs/>
          <w:sz w:val="24"/>
          <w:szCs w:val="24"/>
        </w:rPr>
      </w:pPr>
    </w:p>
    <w:p w14:paraId="2DF87EE9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73FE5FDB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  <w:r>
        <w:drawing>
          <wp:inline distT="0" distB="0" distL="0" distR="0">
            <wp:extent cx="4331970" cy="2327910"/>
            <wp:effectExtent l="0" t="0" r="0" b="0"/>
            <wp:docPr id="1271909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90978" name="图片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3406" cy="232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9468C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</w:p>
    <w:p w14:paraId="35DC3C0C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</w:t>
      </w:r>
      <w:r>
        <w:rPr>
          <w:rFonts w:hint="eastAsia" w:ascii="Arial" w:hAnsi="Arial" w:cs="Arial"/>
          <w:sz w:val="24"/>
          <w:szCs w:val="24"/>
          <w:lang w:val="en-US" w:eastAsia="zh-CN"/>
        </w:rPr>
        <w:t>4</w:t>
      </w:r>
      <w:r>
        <w:rPr>
          <w:rFonts w:ascii="Arial" w:hAnsi="Arial" w:cs="Arial"/>
          <w:sz w:val="24"/>
          <w:szCs w:val="24"/>
        </w:rPr>
        <w:t xml:space="preserve">. Intracellular FerroOrange fluorescence staining images of Hepa1-6 cells after different treatments . Scale bar: 50 μm.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0576B76B">
      <w:pPr>
        <w:adjustRightInd w:val="0"/>
        <w:snapToGrid w:val="0"/>
        <w:spacing w:line="480" w:lineRule="auto"/>
        <w:jc w:val="center"/>
        <w:rPr>
          <w:sz w:val="28"/>
          <w:szCs w:val="28"/>
        </w:rPr>
      </w:pPr>
    </w:p>
    <w:p w14:paraId="6739111E">
      <w:pPr>
        <w:adjustRightInd w:val="0"/>
        <w:snapToGrid w:val="0"/>
        <w:spacing w:line="480" w:lineRule="auto"/>
        <w:jc w:val="center"/>
        <w:rPr>
          <w:sz w:val="28"/>
          <w:szCs w:val="28"/>
        </w:rPr>
      </w:pPr>
    </w:p>
    <w:p w14:paraId="22F59126">
      <w:pPr>
        <w:adjustRightInd w:val="0"/>
        <w:snapToGrid w:val="0"/>
        <w:spacing w:line="480" w:lineRule="auto"/>
        <w:jc w:val="center"/>
        <w:rPr>
          <w:sz w:val="28"/>
          <w:szCs w:val="28"/>
        </w:rPr>
      </w:pPr>
    </w:p>
    <w:p w14:paraId="69E4613C">
      <w:pPr>
        <w:adjustRightInd w:val="0"/>
        <w:snapToGrid w:val="0"/>
        <w:spacing w:line="480" w:lineRule="auto"/>
        <w:jc w:val="center"/>
        <w:rPr>
          <w:sz w:val="28"/>
          <w:szCs w:val="28"/>
        </w:rPr>
      </w:pPr>
    </w:p>
    <w:p w14:paraId="256A62FB">
      <w:pPr>
        <w:adjustRightInd w:val="0"/>
        <w:snapToGrid w:val="0"/>
        <w:spacing w:line="480" w:lineRule="auto"/>
        <w:jc w:val="center"/>
        <w:rPr>
          <w:sz w:val="28"/>
          <w:szCs w:val="28"/>
        </w:rPr>
      </w:pPr>
    </w:p>
    <w:p w14:paraId="41F7007D">
      <w:pPr>
        <w:adjustRightInd w:val="0"/>
        <w:snapToGrid w:val="0"/>
        <w:spacing w:line="480" w:lineRule="auto"/>
        <w:jc w:val="center"/>
        <w:rPr>
          <w:sz w:val="28"/>
          <w:szCs w:val="28"/>
        </w:rPr>
      </w:pPr>
    </w:p>
    <w:p w14:paraId="3931FCFC">
      <w:pPr>
        <w:adjustRightInd w:val="0"/>
        <w:snapToGrid w:val="0"/>
        <w:spacing w:line="480" w:lineRule="auto"/>
        <w:jc w:val="center"/>
        <w:rPr>
          <w:sz w:val="28"/>
          <w:szCs w:val="28"/>
        </w:rPr>
      </w:pPr>
    </w:p>
    <w:p w14:paraId="378CD5F2">
      <w:pPr>
        <w:adjustRightInd w:val="0"/>
        <w:snapToGrid w:val="0"/>
        <w:spacing w:line="480" w:lineRule="auto"/>
        <w:jc w:val="center"/>
        <w:rPr>
          <w:sz w:val="28"/>
          <w:szCs w:val="28"/>
        </w:rPr>
      </w:pPr>
    </w:p>
    <w:p w14:paraId="5B77442E">
      <w:pPr>
        <w:adjustRightInd w:val="0"/>
        <w:snapToGrid w:val="0"/>
        <w:spacing w:line="480" w:lineRule="auto"/>
        <w:jc w:val="center"/>
        <w:rPr>
          <w:sz w:val="28"/>
          <w:szCs w:val="28"/>
        </w:rPr>
      </w:pPr>
    </w:p>
    <w:p w14:paraId="5C8BB458">
      <w:pPr>
        <w:adjustRightInd w:val="0"/>
        <w:snapToGrid w:val="0"/>
        <w:spacing w:line="480" w:lineRule="auto"/>
        <w:jc w:val="center"/>
        <w:rPr>
          <w:sz w:val="28"/>
          <w:szCs w:val="28"/>
        </w:rPr>
      </w:pPr>
    </w:p>
    <w:p w14:paraId="4674900E">
      <w:pPr>
        <w:adjustRightInd w:val="0"/>
        <w:snapToGrid w:val="0"/>
        <w:spacing w:line="480" w:lineRule="auto"/>
      </w:pPr>
    </w:p>
    <w:p w14:paraId="5C0EC8B4">
      <w:pPr>
        <w:adjustRightInd w:val="0"/>
        <w:snapToGrid w:val="0"/>
        <w:spacing w:line="480" w:lineRule="auto"/>
        <w:jc w:val="center"/>
      </w:pPr>
    </w:p>
    <w:p w14:paraId="43977E49">
      <w:pPr>
        <w:adjustRightInd w:val="0"/>
        <w:snapToGrid w:val="0"/>
        <w:spacing w:line="480" w:lineRule="auto"/>
        <w:jc w:val="center"/>
      </w:pPr>
    </w:p>
    <w:p w14:paraId="29C57B00">
      <w:pPr>
        <w:adjustRightInd w:val="0"/>
        <w:snapToGrid w:val="0"/>
        <w:spacing w:line="480" w:lineRule="auto"/>
        <w:jc w:val="center"/>
      </w:pPr>
    </w:p>
    <w:p w14:paraId="015DE05D">
      <w:pPr>
        <w:adjustRightInd w:val="0"/>
        <w:snapToGrid w:val="0"/>
        <w:spacing w:line="480" w:lineRule="auto"/>
        <w:jc w:val="center"/>
      </w:pPr>
    </w:p>
    <w:p w14:paraId="57802AEA">
      <w:pPr>
        <w:adjustRightInd w:val="0"/>
        <w:snapToGrid w:val="0"/>
        <w:spacing w:line="480" w:lineRule="auto"/>
        <w:jc w:val="center"/>
      </w:pPr>
    </w:p>
    <w:p w14:paraId="723B7C98">
      <w:pPr>
        <w:adjustRightInd w:val="0"/>
        <w:snapToGrid w:val="0"/>
        <w:spacing w:line="480" w:lineRule="auto"/>
        <w:jc w:val="center"/>
      </w:pPr>
      <w:r>
        <w:drawing>
          <wp:inline distT="0" distB="0" distL="0" distR="0">
            <wp:extent cx="4330700" cy="4670425"/>
            <wp:effectExtent l="0" t="0" r="0" b="0"/>
            <wp:docPr id="5881412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141297" name="图片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0800" cy="4670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10F7E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</w:p>
    <w:p w14:paraId="4C54B5CE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</w:t>
      </w:r>
      <w:r>
        <w:rPr>
          <w:rFonts w:hint="eastAsia" w:ascii="Arial" w:hAnsi="Arial" w:cs="Arial"/>
          <w:sz w:val="24"/>
          <w:szCs w:val="24"/>
          <w:lang w:val="en-US" w:eastAsia="zh-CN"/>
        </w:rPr>
        <w:t>5</w:t>
      </w:r>
      <w:r>
        <w:rPr>
          <w:rFonts w:ascii="Arial" w:hAnsi="Arial" w:cs="Arial"/>
          <w:sz w:val="24"/>
          <w:szCs w:val="24"/>
        </w:rPr>
        <w:t>. Images of intracellular EdU staining of Hepa1-6 cells after different treatments (A). Calcein AM/PI staining images of Hepa1-6 cells after different treatments</w:t>
      </w:r>
      <w:r>
        <w:rPr>
          <w:rFonts w:hint="eastAsia"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(B). Scale bar: 50 μm.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7972C2A6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</w:p>
    <w:p w14:paraId="4BFC26F9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</w:p>
    <w:p w14:paraId="66773E95">
      <w:pPr>
        <w:adjustRightInd w:val="0"/>
        <w:snapToGrid w:val="0"/>
        <w:spacing w:line="480" w:lineRule="auto"/>
        <w:jc w:val="center"/>
        <w:rPr>
          <w:rFonts w:hint="eastAsia" w:ascii="Arial" w:hAnsi="Arial" w:eastAsia="宋体" w:cs="Arial"/>
          <w:sz w:val="24"/>
          <w:szCs w:val="24"/>
          <w:lang w:eastAsia="zh-CN"/>
        </w:rPr>
      </w:pPr>
      <w:r>
        <w:rPr>
          <w:rFonts w:hint="eastAsia" w:ascii="Arial" w:hAnsi="Arial" w:eastAsia="宋体" w:cs="Arial"/>
          <w:sz w:val="24"/>
          <w:szCs w:val="24"/>
          <w:lang w:eastAsia="zh-CN"/>
        </w:rPr>
        <w:drawing>
          <wp:inline distT="0" distB="0" distL="114300" distR="114300">
            <wp:extent cx="2798445" cy="2109470"/>
            <wp:effectExtent l="0" t="0" r="8255" b="11430"/>
            <wp:docPr id="3" name="图片 3" descr="THLE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THLE-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98445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6E07F">
      <w:pPr>
        <w:adjustRightInd w:val="0"/>
        <w:snapToGrid w:val="0"/>
        <w:spacing w:line="480" w:lineRule="auto"/>
        <w:jc w:val="center"/>
        <w:rPr>
          <w:rFonts w:hint="eastAsia" w:ascii="Arial" w:hAnsi="Arial" w:eastAsia="宋体" w:cs="Arial"/>
          <w:sz w:val="24"/>
          <w:szCs w:val="24"/>
          <w:lang w:eastAsia="zh-CN"/>
        </w:rPr>
      </w:pPr>
    </w:p>
    <w:p w14:paraId="0AC2CAA5">
      <w:pPr>
        <w:adjustRightInd w:val="0"/>
        <w:snapToGrid w:val="0"/>
        <w:spacing w:line="480" w:lineRule="auto"/>
        <w:jc w:val="left"/>
        <w:rPr>
          <w:rFonts w:hint="eastAsia" w:ascii="Arial" w:hAnsi="Arial" w:eastAsia="宋体" w:cs="Arial"/>
          <w:sz w:val="24"/>
          <w:szCs w:val="24"/>
          <w:lang w:eastAsia="zh-CN"/>
        </w:rPr>
      </w:pPr>
      <w:r>
        <w:rPr>
          <w:rFonts w:ascii="Arial" w:hAnsi="Arial" w:cs="Arial"/>
          <w:sz w:val="24"/>
          <w:szCs w:val="24"/>
        </w:rPr>
        <w:t>Figure S</w:t>
      </w:r>
      <w:r>
        <w:rPr>
          <w:rFonts w:hint="eastAsia" w:ascii="Arial" w:hAnsi="Arial" w:cs="Arial"/>
          <w:sz w:val="24"/>
          <w:szCs w:val="24"/>
          <w:lang w:val="en-US" w:eastAsia="zh-CN"/>
        </w:rPr>
        <w:t>6</w:t>
      </w:r>
      <w:r>
        <w:rPr>
          <w:rFonts w:ascii="Arial" w:hAnsi="Arial" w:cs="Arial"/>
          <w:sz w:val="24"/>
          <w:szCs w:val="24"/>
        </w:rPr>
        <w:t xml:space="preserve">. 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The GOx/ EC@Fe</w:t>
      </w:r>
      <w:r>
        <w:rPr>
          <w:rFonts w:hint="eastAsia" w:ascii="Arial" w:hAnsi="Arial" w:eastAsia="宋体" w:cs="Arial"/>
          <w:sz w:val="24"/>
          <w:szCs w:val="24"/>
          <w:vertAlign w:val="subscript"/>
          <w:lang w:eastAsia="zh-CN"/>
        </w:rPr>
        <w:t>3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O</w:t>
      </w:r>
      <w:r>
        <w:rPr>
          <w:rFonts w:hint="eastAsia" w:ascii="Arial" w:hAnsi="Arial" w:eastAsia="宋体" w:cs="Arial"/>
          <w:sz w:val="24"/>
          <w:szCs w:val="24"/>
          <w:vertAlign w:val="subscript"/>
          <w:lang w:eastAsia="zh-CN"/>
        </w:rPr>
        <w:t>4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@CCM nanoplatform</w:t>
      </w:r>
      <w:r>
        <w:rPr>
          <w:rFonts w:hint="eastAsia" w:ascii="Arial" w:hAnsi="Arial" w:cs="Arial"/>
          <w:sz w:val="24"/>
          <w:szCs w:val="24"/>
          <w:lang w:val="en-US" w:eastAsia="zh-CN"/>
        </w:rPr>
        <w:t>s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 xml:space="preserve"> was used to test the safety of healthy liver THLE-2 cells </w:t>
      </w:r>
      <w:r>
        <w:rPr>
          <w:rFonts w:hint="eastAsia" w:ascii="Arial" w:hAnsi="Arial" w:eastAsia="宋体" w:cs="Arial"/>
          <w:i/>
          <w:iCs/>
          <w:sz w:val="24"/>
          <w:szCs w:val="24"/>
          <w:lang w:eastAsia="zh-CN"/>
        </w:rPr>
        <w:t>in vitro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.</w:t>
      </w:r>
    </w:p>
    <w:p w14:paraId="4086DFEE">
      <w:pPr>
        <w:adjustRightInd w:val="0"/>
        <w:snapToGrid w:val="0"/>
        <w:spacing w:line="480" w:lineRule="auto"/>
        <w:jc w:val="center"/>
        <w:rPr>
          <w:rFonts w:hint="eastAsia" w:ascii="Arial" w:hAnsi="Arial" w:eastAsia="宋体" w:cs="Arial"/>
          <w:sz w:val="24"/>
          <w:szCs w:val="24"/>
          <w:lang w:eastAsia="zh-CN"/>
        </w:rPr>
      </w:pPr>
    </w:p>
    <w:p w14:paraId="4423B7E5">
      <w:pPr>
        <w:adjustRightInd w:val="0"/>
        <w:snapToGrid w:val="0"/>
        <w:spacing w:line="480" w:lineRule="auto"/>
        <w:jc w:val="center"/>
        <w:rPr>
          <w:rFonts w:hint="eastAsia" w:ascii="Arial" w:hAnsi="Arial" w:eastAsia="宋体" w:cs="Arial"/>
          <w:sz w:val="24"/>
          <w:szCs w:val="24"/>
          <w:lang w:eastAsia="zh-CN"/>
        </w:rPr>
      </w:pPr>
    </w:p>
    <w:p w14:paraId="558B4771">
      <w:pPr>
        <w:adjustRightInd w:val="0"/>
        <w:snapToGrid w:val="0"/>
        <w:spacing w:line="480" w:lineRule="auto"/>
        <w:jc w:val="center"/>
        <w:rPr>
          <w:rFonts w:hint="eastAsia" w:ascii="Arial" w:hAnsi="Arial" w:eastAsia="宋体" w:cs="Arial"/>
          <w:sz w:val="24"/>
          <w:szCs w:val="24"/>
          <w:lang w:eastAsia="zh-CN"/>
        </w:rPr>
      </w:pPr>
    </w:p>
    <w:p w14:paraId="1BBABA49">
      <w:pPr>
        <w:adjustRightInd w:val="0"/>
        <w:snapToGrid w:val="0"/>
        <w:spacing w:line="480" w:lineRule="auto"/>
        <w:jc w:val="center"/>
      </w:pPr>
      <w:r>
        <w:drawing>
          <wp:inline distT="0" distB="0" distL="0" distR="0">
            <wp:extent cx="2663825" cy="2108835"/>
            <wp:effectExtent l="0" t="0" r="3175" b="5715"/>
            <wp:docPr id="112582524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825240" name="图片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4000" cy="210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24E30">
      <w:pPr>
        <w:adjustRightInd w:val="0"/>
        <w:snapToGrid w:val="0"/>
        <w:spacing w:line="480" w:lineRule="auto"/>
        <w:jc w:val="center"/>
      </w:pPr>
    </w:p>
    <w:p w14:paraId="632C6B6C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</w:t>
      </w:r>
      <w:r>
        <w:rPr>
          <w:rFonts w:hint="eastAsia" w:ascii="Arial" w:hAnsi="Arial" w:cs="Arial"/>
          <w:sz w:val="24"/>
          <w:szCs w:val="24"/>
          <w:lang w:val="en-US" w:eastAsia="zh-CN"/>
        </w:rPr>
        <w:t>7</w:t>
      </w:r>
      <w:r>
        <w:rPr>
          <w:rFonts w:ascii="Arial" w:hAnsi="Arial" w:cs="Arial"/>
          <w:sz w:val="24"/>
          <w:szCs w:val="24"/>
        </w:rPr>
        <w:t xml:space="preserve">. Measurement of intracellular glucose content in Hepa1-6 cells. </w:t>
      </w:r>
      <w:r>
        <w:rPr>
          <w:rFonts w:hint="eastAsia" w:ascii="Arial" w:hAnsi="Arial" w:cs="Arial"/>
          <w:sz w:val="24"/>
          <w:szCs w:val="24"/>
          <w:lang w:val="en-US" w:eastAsia="zh-CN"/>
        </w:rPr>
        <w:t xml:space="preserve">n=3, </w:t>
      </w:r>
      <w:r>
        <w:rPr>
          <w:rFonts w:ascii="Arial" w:hAnsi="Arial" w:cs="Arial"/>
          <w:sz w:val="24"/>
          <w:szCs w:val="24"/>
        </w:rPr>
        <w:t xml:space="preserve">***p &lt; 0.001，**p &lt; 0.01.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55EF8420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</w:p>
    <w:p w14:paraId="7B64651A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</w:p>
    <w:p w14:paraId="7191E713">
      <w:pPr>
        <w:adjustRightInd w:val="0"/>
        <w:snapToGrid w:val="0"/>
        <w:spacing w:line="480" w:lineRule="auto"/>
        <w:jc w:val="center"/>
      </w:pPr>
      <w:r>
        <w:drawing>
          <wp:inline distT="0" distB="0" distL="0" distR="0">
            <wp:extent cx="2663825" cy="2098040"/>
            <wp:effectExtent l="0" t="0" r="3175" b="0"/>
            <wp:docPr id="173523033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230335" name="图片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4000" cy="2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82EEC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</w:p>
    <w:p w14:paraId="0F48A4D9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</w:t>
      </w:r>
      <w:r>
        <w:rPr>
          <w:rFonts w:hint="eastAsia" w:ascii="Arial" w:hAnsi="Arial" w:cs="Arial"/>
          <w:sz w:val="24"/>
          <w:szCs w:val="24"/>
          <w:lang w:val="en-US" w:eastAsia="zh-CN"/>
        </w:rPr>
        <w:t>8</w:t>
      </w:r>
      <w:r>
        <w:rPr>
          <w:rFonts w:ascii="Arial" w:hAnsi="Arial" w:cs="Arial"/>
          <w:sz w:val="24"/>
          <w:szCs w:val="24"/>
        </w:rPr>
        <w:t xml:space="preserve">. Relative ATP content of Hepa1-6 cells after different treatments. </w:t>
      </w:r>
      <w:r>
        <w:rPr>
          <w:rFonts w:hint="eastAsia" w:ascii="Arial" w:hAnsi="Arial" w:cs="Arial"/>
          <w:sz w:val="24"/>
          <w:szCs w:val="24"/>
          <w:lang w:val="en-US" w:eastAsia="zh-CN"/>
        </w:rPr>
        <w:t xml:space="preserve">n=3, </w:t>
      </w:r>
      <w:r>
        <w:rPr>
          <w:rFonts w:ascii="Arial" w:hAnsi="Arial" w:cs="Arial"/>
          <w:sz w:val="24"/>
          <w:szCs w:val="24"/>
        </w:rPr>
        <w:t>***p &lt; 0.001，*p &lt; 0.05</w:t>
      </w:r>
      <w:r>
        <w:rPr>
          <w:rFonts w:hint="eastAsia" w:ascii="Arial" w:hAnsi="Arial" w:cs="Arial"/>
          <w:sz w:val="24"/>
          <w:szCs w:val="24"/>
        </w:rPr>
        <w:t xml:space="preserve">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  <w:r>
        <w:rPr>
          <w:rFonts w:ascii="Arial" w:hAnsi="Arial" w:cs="Arial"/>
          <w:sz w:val="24"/>
          <w:szCs w:val="24"/>
        </w:rPr>
        <w:t xml:space="preserve"> </w:t>
      </w:r>
    </w:p>
    <w:p w14:paraId="79CDF908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</w:p>
    <w:p w14:paraId="783034AD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</w:p>
    <w:p w14:paraId="00689A0D">
      <w:pPr>
        <w:adjustRightInd w:val="0"/>
        <w:snapToGrid w:val="0"/>
        <w:spacing w:line="480" w:lineRule="auto"/>
      </w:pPr>
    </w:p>
    <w:p w14:paraId="772A9444">
      <w:pPr>
        <w:adjustRightInd w:val="0"/>
        <w:snapToGrid w:val="0"/>
        <w:spacing w:line="480" w:lineRule="auto"/>
        <w:jc w:val="center"/>
      </w:pPr>
      <w:r>
        <w:drawing>
          <wp:inline distT="0" distB="0" distL="0" distR="0">
            <wp:extent cx="5274310" cy="3289935"/>
            <wp:effectExtent l="0" t="0" r="2540" b="5715"/>
            <wp:docPr id="18400635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06358" name="图片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4B0D2">
      <w:pPr>
        <w:adjustRightInd w:val="0"/>
        <w:snapToGrid w:val="0"/>
        <w:spacing w:line="480" w:lineRule="auto"/>
        <w:jc w:val="center"/>
      </w:pPr>
    </w:p>
    <w:p w14:paraId="3B63A674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</w:t>
      </w:r>
      <w:r>
        <w:rPr>
          <w:rFonts w:hint="eastAsia" w:ascii="Arial" w:hAnsi="Arial" w:cs="Arial"/>
          <w:sz w:val="24"/>
          <w:szCs w:val="24"/>
          <w:lang w:val="en-US" w:eastAsia="zh-CN"/>
        </w:rPr>
        <w:t>9</w:t>
      </w:r>
      <w:r>
        <w:rPr>
          <w:rFonts w:ascii="Arial" w:hAnsi="Arial" w:cs="Arial"/>
          <w:sz w:val="24"/>
          <w:szCs w:val="24"/>
        </w:rPr>
        <w:t>. Quantitative analysis of intracellular fluorescence intensity of DCFH-DA staining in Huh7 cells after different treatments (A). Intracellular DCFH-DA staining images and corresponding fluorescence intensity quantitative analysis of Hepa1-6 cells after different treatments (B</w:t>
      </w:r>
      <w:r>
        <w:rPr>
          <w:rFonts w:hint="eastAsia"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>C). Flow cytometry images of intracellular DCFH-DA and corresponding fluorescence intensity quantitative analysis of Hepa1-6 cells after different treatments (D-F). Scale bar: 50 μm.</w:t>
      </w:r>
      <w:r>
        <w:rPr>
          <w:rFonts w:hint="eastAsia" w:ascii="Arial" w:hAnsi="Arial" w:cs="Arial"/>
          <w:sz w:val="24"/>
          <w:szCs w:val="24"/>
          <w:lang w:val="en-US" w:eastAsia="zh-CN"/>
        </w:rPr>
        <w:t xml:space="preserve"> n=3,</w:t>
      </w:r>
      <w:r>
        <w:rPr>
          <w:rFonts w:ascii="Arial" w:hAnsi="Arial" w:cs="Arial"/>
          <w:sz w:val="24"/>
          <w:szCs w:val="24"/>
        </w:rPr>
        <w:t xml:space="preserve"> ***p &lt; 0.001，**p &lt; 0.01，*p &lt; 0.05</w:t>
      </w:r>
      <w:r>
        <w:rPr>
          <w:rFonts w:hint="eastAsia" w:ascii="Arial" w:hAnsi="Arial" w:cs="Arial"/>
          <w:sz w:val="24"/>
          <w:szCs w:val="24"/>
        </w:rPr>
        <w:t xml:space="preserve">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71AF4F6A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72A547AD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38CEE2F0">
      <w:pPr>
        <w:adjustRightInd w:val="0"/>
        <w:snapToGrid w:val="0"/>
        <w:spacing w:line="480" w:lineRule="auto"/>
        <w:jc w:val="center"/>
      </w:pPr>
      <w:r>
        <w:drawing>
          <wp:inline distT="0" distB="0" distL="0" distR="0">
            <wp:extent cx="5274310" cy="1689735"/>
            <wp:effectExtent l="0" t="0" r="2540" b="5715"/>
            <wp:docPr id="11738249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824930" name="图片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ED8B4">
      <w:pPr>
        <w:adjustRightInd w:val="0"/>
        <w:snapToGrid w:val="0"/>
        <w:spacing w:line="480" w:lineRule="auto"/>
        <w:jc w:val="center"/>
      </w:pPr>
    </w:p>
    <w:p w14:paraId="0CABEB7E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</w:t>
      </w:r>
      <w:r>
        <w:rPr>
          <w:rFonts w:hint="eastAsia" w:ascii="Arial" w:hAnsi="Arial" w:cs="Arial"/>
          <w:sz w:val="24"/>
          <w:szCs w:val="24"/>
          <w:lang w:val="en-US" w:eastAsia="zh-CN"/>
        </w:rPr>
        <w:t>10</w:t>
      </w:r>
      <w:r>
        <w:rPr>
          <w:rFonts w:ascii="Arial" w:hAnsi="Arial" w:cs="Arial"/>
          <w:sz w:val="24"/>
          <w:szCs w:val="24"/>
        </w:rPr>
        <w:t>. Intracellular hydroxyl radical staining images and corresponding fluorescence intensity quantitative analysis of Hepa1-6 cells after different treatments</w:t>
      </w:r>
      <w:r>
        <w:rPr>
          <w:rFonts w:hint="eastAsia"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（A</w:t>
      </w:r>
      <w:r>
        <w:rPr>
          <w:rFonts w:hint="eastAsia"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>B）. Scale bar: 50 μm.</w:t>
      </w:r>
      <w:r>
        <w:rPr>
          <w:rFonts w:hint="eastAsia" w:ascii="Arial" w:hAnsi="Arial" w:cs="Arial"/>
          <w:sz w:val="24"/>
          <w:szCs w:val="24"/>
          <w:lang w:val="en-US" w:eastAsia="zh-CN"/>
        </w:rPr>
        <w:t xml:space="preserve"> n=3,</w:t>
      </w:r>
      <w:r>
        <w:rPr>
          <w:rFonts w:ascii="Arial" w:hAnsi="Arial" w:cs="Arial"/>
          <w:sz w:val="24"/>
          <w:szCs w:val="24"/>
        </w:rPr>
        <w:t xml:space="preserve"> ****p &lt; 0.0001，**p &lt; 0.01</w:t>
      </w:r>
      <w:r>
        <w:rPr>
          <w:rFonts w:hint="eastAsia" w:ascii="Arial" w:hAnsi="Arial" w:cs="Arial"/>
          <w:sz w:val="24"/>
          <w:szCs w:val="24"/>
        </w:rPr>
        <w:t xml:space="preserve">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4193DCF4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</w:p>
    <w:p w14:paraId="2BFFEC05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</w:p>
    <w:p w14:paraId="2DA4AA91">
      <w:pPr>
        <w:adjustRightInd w:val="0"/>
        <w:snapToGrid w:val="0"/>
        <w:spacing w:line="480" w:lineRule="auto"/>
        <w:jc w:val="center"/>
      </w:pPr>
      <w:r>
        <w:drawing>
          <wp:inline distT="0" distB="0" distL="0" distR="0">
            <wp:extent cx="4330700" cy="2342515"/>
            <wp:effectExtent l="0" t="0" r="0" b="635"/>
            <wp:docPr id="92927315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273152" name="图片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0800" cy="234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F97BB">
      <w:pPr>
        <w:adjustRightInd w:val="0"/>
        <w:snapToGrid w:val="0"/>
        <w:spacing w:line="480" w:lineRule="auto"/>
        <w:jc w:val="center"/>
      </w:pPr>
    </w:p>
    <w:p w14:paraId="09259C3C">
      <w:pPr>
        <w:widowControl/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</w:t>
      </w:r>
      <w:r>
        <w:rPr>
          <w:rFonts w:hint="eastAsia" w:ascii="Arial" w:hAnsi="Arial" w:cs="Arial"/>
          <w:sz w:val="24"/>
          <w:szCs w:val="24"/>
          <w:lang w:val="en-US" w:eastAsia="zh-CN"/>
        </w:rPr>
        <w:t>11</w:t>
      </w:r>
      <w:r>
        <w:rPr>
          <w:rFonts w:ascii="Arial" w:hAnsi="Arial" w:cs="Arial"/>
          <w:sz w:val="24"/>
          <w:szCs w:val="24"/>
        </w:rPr>
        <w:t xml:space="preserve">. Mitochondrial membrane potential of Hepa1-6 cells after different treatments was shown by JC-1 fluorescent probe. Scale bar: 50 μm.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015D4C2B">
      <w:pPr>
        <w:widowControl/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</w:p>
    <w:p w14:paraId="561555D6">
      <w:pPr>
        <w:widowControl/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</w:p>
    <w:p w14:paraId="30E3E1D8">
      <w:pPr>
        <w:widowControl/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</w:p>
    <w:p w14:paraId="2A48C7B2">
      <w:pPr>
        <w:widowControl/>
        <w:adjustRightInd w:val="0"/>
        <w:snapToGrid w:val="0"/>
        <w:spacing w:line="480" w:lineRule="auto"/>
        <w:jc w:val="center"/>
        <w:rPr>
          <w:rFonts w:hint="eastAsia" w:eastAsia="宋体"/>
          <w:sz w:val="24"/>
          <w:szCs w:val="24"/>
          <w:lang w:eastAsia="zh-CN"/>
        </w:rPr>
      </w:pPr>
      <w:r>
        <w:rPr>
          <w:rFonts w:hint="eastAsia" w:eastAsia="宋体"/>
          <w:sz w:val="24"/>
          <w:szCs w:val="24"/>
          <w:lang w:eastAsia="zh-CN"/>
        </w:rPr>
        <w:drawing>
          <wp:inline distT="0" distB="0" distL="114300" distR="114300">
            <wp:extent cx="2764790" cy="1875155"/>
            <wp:effectExtent l="0" t="0" r="3810" b="4445"/>
            <wp:docPr id="4" name="图片 4" descr="Hepa1-6 W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Hepa1-6 WB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64790" cy="187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C17D1">
      <w:pPr>
        <w:widowControl/>
        <w:adjustRightInd w:val="0"/>
        <w:snapToGrid w:val="0"/>
        <w:spacing w:line="480" w:lineRule="auto"/>
        <w:jc w:val="center"/>
        <w:rPr>
          <w:sz w:val="24"/>
          <w:szCs w:val="24"/>
        </w:rPr>
      </w:pPr>
    </w:p>
    <w:p w14:paraId="3007D5DC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</w:t>
      </w:r>
      <w:r>
        <w:rPr>
          <w:rFonts w:hint="eastAsia" w:ascii="Arial" w:hAnsi="Arial" w:cs="Arial"/>
          <w:sz w:val="24"/>
          <w:szCs w:val="24"/>
          <w:lang w:val="en-US" w:eastAsia="zh-CN"/>
        </w:rPr>
        <w:t>12</w:t>
      </w:r>
      <w:r>
        <w:rPr>
          <w:rFonts w:ascii="Arial" w:hAnsi="Arial" w:cs="Arial"/>
          <w:sz w:val="24"/>
          <w:szCs w:val="24"/>
        </w:rPr>
        <w:t xml:space="preserve">. The expression of Nrf2, HMOX1, NQO1, GPX4, and β-actin in Hepa1-6 cells was detected by Western Blot 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51C5D721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</w:p>
    <w:p w14:paraId="59BAF47F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</w:p>
    <w:p w14:paraId="1AB5E599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</w:p>
    <w:p w14:paraId="7B2F1007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  <w:r>
        <w:drawing>
          <wp:inline distT="0" distB="0" distL="0" distR="0">
            <wp:extent cx="4330700" cy="2292350"/>
            <wp:effectExtent l="0" t="0" r="0" b="0"/>
            <wp:docPr id="179876377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763775" name="图片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0800" cy="229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1E623">
      <w:pPr>
        <w:adjustRightInd w:val="0"/>
        <w:snapToGrid w:val="0"/>
        <w:spacing w:line="480" w:lineRule="auto"/>
        <w:rPr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S1</w:t>
      </w:r>
      <w:r>
        <w:rPr>
          <w:rFonts w:hint="eastAsia" w:ascii="Arial" w:hAnsi="Arial" w:cs="Arial"/>
          <w:sz w:val="24"/>
          <w:szCs w:val="24"/>
          <w:lang w:val="en-US" w:eastAsia="zh-CN"/>
        </w:rPr>
        <w:t>3</w:t>
      </w:r>
      <w:r>
        <w:rPr>
          <w:rFonts w:ascii="Arial" w:hAnsi="Arial" w:cs="Arial"/>
          <w:sz w:val="24"/>
          <w:szCs w:val="24"/>
        </w:rPr>
        <w:t>. Intracellular C11-BODIPY fluorescent probe staining images of Hepa1-6 cells after different treatments</w:t>
      </w:r>
      <w:r>
        <w:rPr>
          <w:rFonts w:hint="eastAsia"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Scale bar: 50 μm.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1678DC20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2955B976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36D3CEB0">
      <w:pPr>
        <w:adjustRightInd w:val="0"/>
        <w:snapToGrid w:val="0"/>
        <w:spacing w:line="480" w:lineRule="auto"/>
        <w:rPr>
          <w:color w:val="000000"/>
          <w:kern w:val="0"/>
          <w:sz w:val="24"/>
          <w:szCs w:val="24"/>
        </w:rPr>
      </w:pPr>
      <w:r>
        <w:drawing>
          <wp:inline distT="0" distB="0" distL="0" distR="0">
            <wp:extent cx="5274310" cy="2129790"/>
            <wp:effectExtent l="0" t="0" r="2540" b="3810"/>
            <wp:docPr id="21392068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206840" name="图片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417E0">
      <w:pPr>
        <w:adjustRightInd w:val="0"/>
        <w:snapToGrid w:val="0"/>
        <w:spacing w:line="480" w:lineRule="auto"/>
        <w:rPr>
          <w:color w:val="000000"/>
          <w:kern w:val="0"/>
          <w:sz w:val="24"/>
          <w:szCs w:val="24"/>
        </w:rPr>
      </w:pPr>
    </w:p>
    <w:p w14:paraId="4E291221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S1</w:t>
      </w:r>
      <w:r>
        <w:rPr>
          <w:rFonts w:hint="eastAsia" w:ascii="Arial" w:hAnsi="Arial" w:cs="Arial"/>
          <w:sz w:val="24"/>
          <w:szCs w:val="24"/>
          <w:lang w:val="en-US" w:eastAsia="zh-CN"/>
        </w:rPr>
        <w:t>4</w:t>
      </w:r>
      <w:r>
        <w:rPr>
          <w:rFonts w:ascii="Arial" w:hAnsi="Arial" w:cs="Arial"/>
          <w:sz w:val="24"/>
          <w:szCs w:val="24"/>
        </w:rPr>
        <w:t>. Huh7 and Hepa1-6 cells after different treatment of intracellular ThiolTracker ™ Violet fluorescent staining fluorescence quantitative analysis（A,B）.</w:t>
      </w:r>
      <w:r>
        <w:rPr>
          <w:rFonts w:hint="eastAsia" w:ascii="Arial" w:hAnsi="Arial" w:cs="Arial"/>
          <w:sz w:val="24"/>
          <w:szCs w:val="24"/>
          <w:lang w:val="en-US" w:eastAsia="zh-CN"/>
        </w:rPr>
        <w:t xml:space="preserve"> n=3,</w:t>
      </w:r>
      <w:r>
        <w:rPr>
          <w:rFonts w:ascii="Arial" w:hAnsi="Arial" w:cs="Arial"/>
          <w:sz w:val="24"/>
          <w:szCs w:val="24"/>
        </w:rPr>
        <w:t xml:space="preserve"> ****p &lt; 0.0001，**p &lt; 0.01.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4AB4CF06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75630346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742F1387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5D915A4D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5D358CFC">
      <w:pPr>
        <w:adjustRightInd w:val="0"/>
        <w:snapToGrid w:val="0"/>
        <w:spacing w:line="480" w:lineRule="auto"/>
        <w:rPr>
          <w:sz w:val="24"/>
          <w:szCs w:val="24"/>
        </w:rPr>
      </w:pPr>
      <w:r>
        <w:drawing>
          <wp:inline distT="0" distB="0" distL="0" distR="0">
            <wp:extent cx="5274310" cy="1343025"/>
            <wp:effectExtent l="0" t="0" r="2540" b="9525"/>
            <wp:docPr id="199979653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796534" name="图片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9D061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52D18572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S1</w:t>
      </w:r>
      <w:r>
        <w:rPr>
          <w:rFonts w:hint="eastAsia" w:ascii="Arial" w:hAnsi="Arial" w:cs="Arial"/>
          <w:sz w:val="24"/>
          <w:szCs w:val="24"/>
          <w:lang w:val="en-US" w:eastAsia="zh-CN"/>
        </w:rPr>
        <w:t>5</w:t>
      </w:r>
      <w:r>
        <w:rPr>
          <w:rFonts w:ascii="Arial" w:hAnsi="Arial" w:cs="Arial"/>
          <w:sz w:val="24"/>
          <w:szCs w:val="24"/>
        </w:rPr>
        <w:t>. The volume of the tumor during treatment (n = 5).</w:t>
      </w:r>
    </w:p>
    <w:p w14:paraId="6524F543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5E58700F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265ABB92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59F424AB">
      <w:pPr>
        <w:adjustRightInd w:val="0"/>
        <w:snapToGrid w:val="0"/>
        <w:spacing w:line="480" w:lineRule="auto"/>
        <w:rPr>
          <w:color w:val="000000"/>
          <w:kern w:val="0"/>
          <w:sz w:val="24"/>
          <w:szCs w:val="24"/>
        </w:rPr>
      </w:pPr>
    </w:p>
    <w:p w14:paraId="3D40C6C3">
      <w:pPr>
        <w:adjustRightInd w:val="0"/>
        <w:snapToGrid w:val="0"/>
        <w:spacing w:line="480" w:lineRule="auto"/>
        <w:jc w:val="center"/>
        <w:rPr>
          <w:sz w:val="24"/>
          <w:szCs w:val="24"/>
        </w:rPr>
      </w:pPr>
      <w:r>
        <w:drawing>
          <wp:inline distT="0" distB="0" distL="0" distR="0">
            <wp:extent cx="1223645" cy="1447165"/>
            <wp:effectExtent l="0" t="0" r="0" b="635"/>
            <wp:docPr id="24284253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842534" name="图片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144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B32FC">
      <w:pPr>
        <w:adjustRightInd w:val="0"/>
        <w:snapToGrid w:val="0"/>
        <w:spacing w:line="480" w:lineRule="auto"/>
        <w:jc w:val="left"/>
        <w:rPr>
          <w:sz w:val="24"/>
          <w:szCs w:val="24"/>
        </w:rPr>
      </w:pPr>
    </w:p>
    <w:p w14:paraId="4DAEDA44">
      <w:pPr>
        <w:adjustRightInd w:val="0"/>
        <w:snapToGrid w:val="0"/>
        <w:spacing w:line="480" w:lineRule="auto"/>
        <w:rPr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S1</w:t>
      </w:r>
      <w:r>
        <w:rPr>
          <w:rFonts w:hint="eastAsia" w:ascii="Arial" w:hAnsi="Arial" w:cs="Arial"/>
          <w:sz w:val="24"/>
          <w:szCs w:val="24"/>
          <w:lang w:val="en-US" w:eastAsia="zh-CN"/>
        </w:rPr>
        <w:t>6</w:t>
      </w:r>
      <w:r>
        <w:rPr>
          <w:rFonts w:ascii="Arial" w:hAnsi="Arial" w:cs="Arial"/>
          <w:sz w:val="24"/>
          <w:szCs w:val="24"/>
        </w:rPr>
        <w:t xml:space="preserve">. The picture shows the collected tumor mass.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5CE98FDC">
      <w:pPr>
        <w:adjustRightInd w:val="0"/>
        <w:snapToGrid w:val="0"/>
        <w:spacing w:line="480" w:lineRule="auto"/>
        <w:rPr>
          <w:color w:val="000000"/>
          <w:kern w:val="0"/>
          <w:sz w:val="24"/>
          <w:szCs w:val="24"/>
        </w:rPr>
      </w:pPr>
    </w:p>
    <w:p w14:paraId="407D4269">
      <w:pPr>
        <w:adjustRightInd w:val="0"/>
        <w:snapToGrid w:val="0"/>
        <w:spacing w:line="480" w:lineRule="auto"/>
        <w:jc w:val="center"/>
        <w:rPr>
          <w:color w:val="000000"/>
          <w:kern w:val="0"/>
          <w:sz w:val="24"/>
          <w:szCs w:val="24"/>
        </w:rPr>
      </w:pPr>
      <w:r>
        <w:drawing>
          <wp:inline distT="0" distB="0" distL="0" distR="0">
            <wp:extent cx="4330700" cy="2760345"/>
            <wp:effectExtent l="0" t="0" r="0" b="1905"/>
            <wp:docPr id="87633918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339182" name="图片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0800" cy="276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CCEA6">
      <w:pPr>
        <w:adjustRightInd w:val="0"/>
        <w:snapToGrid w:val="0"/>
        <w:spacing w:line="480" w:lineRule="auto"/>
        <w:rPr>
          <w:color w:val="000000"/>
          <w:kern w:val="0"/>
          <w:sz w:val="24"/>
          <w:szCs w:val="24"/>
        </w:rPr>
      </w:pPr>
    </w:p>
    <w:p w14:paraId="521ECA28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S1</w:t>
      </w:r>
      <w:r>
        <w:rPr>
          <w:rFonts w:hint="eastAsia" w:ascii="Arial" w:hAnsi="Arial" w:cs="Arial"/>
          <w:sz w:val="24"/>
          <w:szCs w:val="24"/>
          <w:lang w:val="en-US" w:eastAsia="zh-CN"/>
        </w:rPr>
        <w:t>7</w:t>
      </w:r>
      <w:r>
        <w:rPr>
          <w:rFonts w:ascii="Arial" w:hAnsi="Arial" w:cs="Arial"/>
          <w:sz w:val="24"/>
          <w:szCs w:val="24"/>
        </w:rPr>
        <w:t xml:space="preserve">. H&amp;E stained images of the tumor tissue were dissected after treatment. Scale bar: 100 μm.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38006ECD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624D67FB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05550E6A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475603B3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694C5B70">
      <w:pPr>
        <w:adjustRightInd w:val="0"/>
        <w:snapToGrid w:val="0"/>
        <w:spacing w:line="480" w:lineRule="auto"/>
        <w:jc w:val="center"/>
        <w:rPr>
          <w:color w:val="000000"/>
          <w:kern w:val="0"/>
          <w:sz w:val="24"/>
          <w:szCs w:val="24"/>
        </w:rPr>
      </w:pPr>
      <w:r>
        <w:drawing>
          <wp:inline distT="0" distB="0" distL="0" distR="0">
            <wp:extent cx="4330700" cy="2447290"/>
            <wp:effectExtent l="0" t="0" r="0" b="0"/>
            <wp:docPr id="123147678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476782" name="图片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0800" cy="244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56821">
      <w:pPr>
        <w:adjustRightInd w:val="0"/>
        <w:snapToGrid w:val="0"/>
        <w:spacing w:line="480" w:lineRule="auto"/>
        <w:rPr>
          <w:color w:val="000000"/>
          <w:kern w:val="0"/>
          <w:sz w:val="24"/>
          <w:szCs w:val="24"/>
        </w:rPr>
      </w:pPr>
    </w:p>
    <w:p w14:paraId="18649E21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S1</w:t>
      </w:r>
      <w:r>
        <w:rPr>
          <w:rFonts w:hint="eastAsia" w:ascii="Arial" w:hAnsi="Arial" w:cs="Arial"/>
          <w:sz w:val="24"/>
          <w:szCs w:val="24"/>
          <w:lang w:val="en-US" w:eastAsia="zh-CN"/>
        </w:rPr>
        <w:t>8</w:t>
      </w:r>
      <w:r>
        <w:rPr>
          <w:rFonts w:ascii="Arial" w:hAnsi="Arial" w:cs="Arial"/>
          <w:sz w:val="24"/>
          <w:szCs w:val="24"/>
        </w:rPr>
        <w:t xml:space="preserve">. Ki67 staining images of tumor tissue were dissected after treatment. Scale bars: 50 μm.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507848A5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5C195E05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5660CA9B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08918215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031405C2">
      <w:pPr>
        <w:adjustRightInd w:val="0"/>
        <w:snapToGrid w:val="0"/>
        <w:spacing w:line="480" w:lineRule="auto"/>
        <w:jc w:val="center"/>
        <w:rPr>
          <w:color w:val="000000"/>
          <w:kern w:val="0"/>
          <w:sz w:val="24"/>
          <w:szCs w:val="24"/>
        </w:rPr>
      </w:pPr>
      <w:r>
        <w:drawing>
          <wp:inline distT="0" distB="0" distL="0" distR="0">
            <wp:extent cx="4330700" cy="802005"/>
            <wp:effectExtent l="0" t="0" r="0" b="0"/>
            <wp:docPr id="188035999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359998" name="图片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0800" cy="80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7842D">
      <w:pPr>
        <w:adjustRightInd w:val="0"/>
        <w:snapToGrid w:val="0"/>
        <w:spacing w:line="480" w:lineRule="auto"/>
        <w:rPr>
          <w:color w:val="000000"/>
          <w:kern w:val="0"/>
          <w:sz w:val="24"/>
          <w:szCs w:val="24"/>
        </w:rPr>
      </w:pPr>
    </w:p>
    <w:p w14:paraId="6086BB12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S1</w:t>
      </w:r>
      <w:r>
        <w:rPr>
          <w:rFonts w:hint="eastAsia" w:ascii="Arial" w:hAnsi="Arial" w:cs="Arial"/>
          <w:sz w:val="24"/>
          <w:szCs w:val="24"/>
          <w:lang w:val="en-US" w:eastAsia="zh-CN"/>
        </w:rPr>
        <w:t>9</w:t>
      </w:r>
      <w:r>
        <w:rPr>
          <w:rFonts w:ascii="Arial" w:hAnsi="Arial" w:cs="Arial"/>
          <w:sz w:val="24"/>
          <w:szCs w:val="24"/>
        </w:rPr>
        <w:t xml:space="preserve">. Nrf2 staining images of tumor tissues were dissected after treatment. Scale bars: 20 μm.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66AE8E38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</w:p>
    <w:p w14:paraId="5BF41383">
      <w:pPr>
        <w:adjustRightInd w:val="0"/>
        <w:snapToGrid w:val="0"/>
        <w:spacing w:line="480" w:lineRule="auto"/>
        <w:rPr>
          <w:rFonts w:ascii="Arial" w:hAnsi="Arial" w:cs="Arial"/>
          <w:sz w:val="24"/>
          <w:szCs w:val="24"/>
        </w:rPr>
      </w:pPr>
    </w:p>
    <w:p w14:paraId="4998C634">
      <w:pPr>
        <w:adjustRightInd w:val="0"/>
        <w:snapToGrid w:val="0"/>
        <w:spacing w:line="480" w:lineRule="auto"/>
        <w:jc w:val="center"/>
        <w:rPr>
          <w:rFonts w:hint="eastAsia" w:ascii="Arial" w:hAnsi="Arial" w:eastAsia="宋体" w:cs="Arial"/>
          <w:sz w:val="24"/>
          <w:szCs w:val="24"/>
          <w:lang w:eastAsia="zh-CN"/>
        </w:rPr>
      </w:pPr>
      <w:r>
        <w:rPr>
          <w:rFonts w:hint="eastAsia" w:ascii="Arial" w:hAnsi="Arial" w:eastAsia="宋体" w:cs="Arial"/>
          <w:sz w:val="24"/>
          <w:szCs w:val="24"/>
          <w:lang w:eastAsia="zh-CN"/>
        </w:rPr>
        <w:drawing>
          <wp:inline distT="0" distB="0" distL="114300" distR="114300">
            <wp:extent cx="4628515" cy="2447925"/>
            <wp:effectExtent l="0" t="0" r="6985" b="3175"/>
            <wp:docPr id="5" name="图片 5" descr="GPX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GPX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2851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83DCD">
      <w:pPr>
        <w:adjustRightInd w:val="0"/>
        <w:snapToGrid w:val="0"/>
        <w:spacing w:line="480" w:lineRule="auto"/>
        <w:rPr>
          <w:rFonts w:hint="eastAsia" w:ascii="Arial" w:hAnsi="Arial" w:eastAsia="宋体" w:cs="Arial"/>
          <w:sz w:val="24"/>
          <w:szCs w:val="24"/>
          <w:lang w:eastAsia="zh-CN"/>
        </w:rPr>
      </w:pPr>
    </w:p>
    <w:p w14:paraId="757D7760">
      <w:pPr>
        <w:adjustRightInd w:val="0"/>
        <w:snapToGrid w:val="0"/>
        <w:spacing w:line="480" w:lineRule="auto"/>
        <w:rPr>
          <w:rFonts w:hint="eastAsia" w:ascii="Arial" w:hAnsi="Arial" w:eastAsia="宋体" w:cs="Arial"/>
          <w:sz w:val="24"/>
          <w:szCs w:val="24"/>
          <w:lang w:val="en-US" w:eastAsia="zh-CN"/>
        </w:rPr>
      </w:pPr>
      <w:r>
        <w:rPr>
          <w:rFonts w:hint="default" w:ascii="Arial" w:hAnsi="Arial" w:cs="Arial"/>
          <w:sz w:val="24"/>
          <w:szCs w:val="24"/>
        </w:rPr>
        <w:t>Figure S</w:t>
      </w:r>
      <w:r>
        <w:rPr>
          <w:rFonts w:hint="default" w:ascii="Arial" w:hAnsi="Arial" w:cs="Arial"/>
          <w:sz w:val="24"/>
          <w:szCs w:val="24"/>
          <w:lang w:val="en-US" w:eastAsia="zh-CN"/>
        </w:rPr>
        <w:t>20</w:t>
      </w:r>
      <w:r>
        <w:rPr>
          <w:rFonts w:hint="default" w:ascii="Arial" w:hAnsi="Arial" w:cs="Arial"/>
          <w:sz w:val="24"/>
          <w:szCs w:val="24"/>
        </w:rPr>
        <w:t>.</w:t>
      </w:r>
      <w:r>
        <w:rPr>
          <w:rFonts w:hint="default" w:ascii="Arial" w:hAnsi="Arial" w:cs="Arial"/>
          <w:sz w:val="24"/>
          <w:szCs w:val="24"/>
          <w:lang w:val="en-US" w:eastAsia="zh-CN"/>
        </w:rPr>
        <w:t xml:space="preserve"> </w:t>
      </w:r>
      <w:r>
        <w:rPr>
          <w:rFonts w:hint="default" w:ascii="Arial" w:hAnsi="Arial" w:cs="Arial"/>
          <w:sz w:val="24"/>
          <w:szCs w:val="24"/>
        </w:rPr>
        <w:t>GPX4 staining images of tumor tissue were dissected at the end of treatment.</w:t>
      </w:r>
      <w:r>
        <w:rPr>
          <w:rFonts w:hint="default" w:ascii="Arial" w:hAnsi="Arial" w:cs="Arial"/>
          <w:sz w:val="24"/>
          <w:szCs w:val="24"/>
          <w:lang w:val="en-US" w:eastAsia="zh-CN"/>
        </w:rPr>
        <w:t xml:space="preserve"> </w:t>
      </w:r>
      <w:r>
        <w:rPr>
          <w:rFonts w:hint="default" w:ascii="Arial" w:hAnsi="Arial" w:cs="Arial"/>
          <w:sz w:val="24"/>
          <w:szCs w:val="24"/>
        </w:rPr>
        <w:t xml:space="preserve">Scale bars: 50 μm.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p w14:paraId="22BA8036">
      <w:pPr>
        <w:adjustRightInd w:val="0"/>
        <w:snapToGrid w:val="0"/>
        <w:spacing w:line="480" w:lineRule="auto"/>
        <w:rPr>
          <w:rFonts w:hint="eastAsia" w:ascii="Arial" w:hAnsi="Arial" w:eastAsia="宋体" w:cs="Arial"/>
          <w:sz w:val="24"/>
          <w:szCs w:val="24"/>
          <w:lang w:eastAsia="zh-CN"/>
        </w:rPr>
      </w:pPr>
    </w:p>
    <w:p w14:paraId="5D9DA459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2F396DBB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445F7CEC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0ACD4FAB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1C1A144A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61F8F9C3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41B88BD5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5E0D444D">
      <w:pPr>
        <w:adjustRightInd w:val="0"/>
        <w:snapToGrid w:val="0"/>
        <w:spacing w:line="480" w:lineRule="auto"/>
        <w:rPr>
          <w:sz w:val="24"/>
          <w:szCs w:val="24"/>
        </w:rPr>
      </w:pPr>
      <w:r>
        <w:drawing>
          <wp:inline distT="0" distB="0" distL="0" distR="0">
            <wp:extent cx="5274310" cy="3813175"/>
            <wp:effectExtent l="0" t="0" r="2540" b="0"/>
            <wp:docPr id="12524403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440319" name="图片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56A1E">
      <w:pPr>
        <w:adjustRightInd w:val="0"/>
        <w:snapToGrid w:val="0"/>
        <w:spacing w:line="480" w:lineRule="auto"/>
        <w:rPr>
          <w:sz w:val="24"/>
          <w:szCs w:val="24"/>
        </w:rPr>
      </w:pPr>
    </w:p>
    <w:p w14:paraId="59446079">
      <w:pPr>
        <w:adjustRightInd w:val="0"/>
        <w:snapToGrid w:val="0"/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S</w:t>
      </w:r>
      <w:r>
        <w:rPr>
          <w:rFonts w:hint="eastAsia" w:ascii="Arial" w:hAnsi="Arial" w:cs="Arial"/>
          <w:sz w:val="24"/>
          <w:szCs w:val="24"/>
          <w:lang w:val="en-US" w:eastAsia="zh-CN"/>
        </w:rPr>
        <w:t>21</w:t>
      </w:r>
      <w:r>
        <w:rPr>
          <w:rFonts w:ascii="Arial" w:hAnsi="Arial" w:cs="Arial"/>
          <w:sz w:val="24"/>
          <w:szCs w:val="24"/>
        </w:rPr>
        <w:t>. The liver and kidney functions of the mice were examined after treatment</w:t>
      </w:r>
      <w:r>
        <w:rPr>
          <w:rFonts w:hint="eastAsia"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sz w:val="24"/>
          <w:szCs w:val="24"/>
        </w:rPr>
        <w:t>ALT、AST、ALB、ALP、BUN、CREA、UA</w:t>
      </w:r>
      <w:r>
        <w:rPr>
          <w:rFonts w:hint="eastAsia"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>.</w:t>
      </w:r>
      <w:r>
        <w:rPr>
          <w:rFonts w:hint="eastAsia" w:ascii="Arial" w:hAnsi="Arial" w:cs="Arial"/>
          <w:sz w:val="24"/>
          <w:szCs w:val="24"/>
          <w:lang w:val="en-US" w:eastAsia="zh-CN"/>
        </w:rPr>
        <w:t xml:space="preserve"> n=3. </w:t>
      </w:r>
      <w:r>
        <w:rPr>
          <w:rFonts w:hint="default" w:ascii="Arial" w:hAnsi="Arial" w:eastAsia="宋体" w:cs="Arial"/>
          <w:sz w:val="24"/>
          <w:szCs w:val="24"/>
        </w:rPr>
        <w:t>G1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Control</w:t>
      </w:r>
      <w:r>
        <w:rPr>
          <w:rFonts w:hint="default" w:ascii="Arial" w:hAnsi="Arial" w:eastAsia="宋体" w:cs="Arial"/>
          <w:sz w:val="24"/>
          <w:szCs w:val="24"/>
          <w:lang w:val="en-US" w:eastAsia="zh-CN"/>
        </w:rPr>
        <w:t xml:space="preserve">, </w:t>
      </w:r>
      <w:r>
        <w:rPr>
          <w:rFonts w:hint="default" w:ascii="Arial" w:hAnsi="Arial" w:eastAsia="宋体" w:cs="Arial"/>
          <w:sz w:val="24"/>
          <w:szCs w:val="24"/>
        </w:rPr>
        <w:t>G2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G3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G4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  <w:vertAlign w:val="baseline"/>
          <w:lang w:val="en-US" w:eastAsia="zh-CN"/>
        </w:rPr>
        <w:t>,</w:t>
      </w:r>
      <w:r>
        <w:rPr>
          <w:rFonts w:hint="default" w:ascii="Arial" w:hAnsi="Arial" w:eastAsia="宋体" w:cs="Arial"/>
          <w:sz w:val="24"/>
          <w:szCs w:val="24"/>
          <w:vertAlign w:val="subscript"/>
          <w:lang w:val="en-US" w:eastAsia="zh-CN"/>
        </w:rPr>
        <w:t xml:space="preserve"> </w:t>
      </w:r>
      <w:r>
        <w:rPr>
          <w:rFonts w:hint="default" w:ascii="Arial" w:hAnsi="Arial" w:eastAsia="宋体" w:cs="Arial"/>
          <w:sz w:val="24"/>
          <w:szCs w:val="24"/>
        </w:rPr>
        <w:t>G5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 xml:space="preserve">: </w:t>
      </w:r>
      <w:r>
        <w:rPr>
          <w:rFonts w:hint="default" w:ascii="Arial" w:hAnsi="Arial" w:eastAsia="宋体" w:cs="Arial"/>
          <w:sz w:val="24"/>
          <w:szCs w:val="24"/>
        </w:rPr>
        <w:t>GOx/EC@</w:t>
      </w:r>
      <w:r>
        <w:rPr>
          <w:rFonts w:hint="default" w:ascii="Arial" w:hAnsi="Arial" w:cs="Arial"/>
          <w:sz w:val="24"/>
          <w:szCs w:val="24"/>
        </w:rPr>
        <w:t>Fe</w:t>
      </w:r>
      <w:r>
        <w:rPr>
          <w:rFonts w:hint="default" w:ascii="Arial" w:hAnsi="Arial" w:cs="Arial"/>
          <w:sz w:val="24"/>
          <w:szCs w:val="24"/>
          <w:vertAlign w:val="subscript"/>
        </w:rPr>
        <w:t>3</w:t>
      </w:r>
      <w:r>
        <w:rPr>
          <w:rFonts w:hint="default" w:ascii="Arial" w:hAnsi="Arial" w:cs="Arial"/>
          <w:sz w:val="24"/>
          <w:szCs w:val="24"/>
        </w:rPr>
        <w:t>O</w:t>
      </w:r>
      <w:r>
        <w:rPr>
          <w:rFonts w:hint="default" w:ascii="Arial" w:hAnsi="Arial" w:cs="Arial"/>
          <w:sz w:val="24"/>
          <w:szCs w:val="24"/>
          <w:vertAlign w:val="subscript"/>
        </w:rPr>
        <w:t>4</w:t>
      </w:r>
      <w:r>
        <w:rPr>
          <w:rFonts w:hint="default" w:ascii="Arial" w:hAnsi="Arial" w:eastAsia="宋体" w:cs="Arial"/>
          <w:sz w:val="24"/>
          <w:szCs w:val="24"/>
        </w:rPr>
        <w:t>@CCM.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U2ZjUxM2FjM2IzZjc2MjhjN2IyNTZhMzk1MTczNDkifQ=="/>
  </w:docVars>
  <w:rsids>
    <w:rsidRoot w:val="008203EE"/>
    <w:rsid w:val="00015698"/>
    <w:rsid w:val="0002795D"/>
    <w:rsid w:val="00034DC2"/>
    <w:rsid w:val="000477DF"/>
    <w:rsid w:val="000771E1"/>
    <w:rsid w:val="001A32B5"/>
    <w:rsid w:val="00296353"/>
    <w:rsid w:val="002E60AF"/>
    <w:rsid w:val="00324D88"/>
    <w:rsid w:val="00357515"/>
    <w:rsid w:val="00365D94"/>
    <w:rsid w:val="003A3BF2"/>
    <w:rsid w:val="003A6303"/>
    <w:rsid w:val="003C1287"/>
    <w:rsid w:val="003C7F35"/>
    <w:rsid w:val="00514D1C"/>
    <w:rsid w:val="005531EA"/>
    <w:rsid w:val="005542D4"/>
    <w:rsid w:val="00566FEF"/>
    <w:rsid w:val="005A5B6F"/>
    <w:rsid w:val="005C2328"/>
    <w:rsid w:val="005E6FDC"/>
    <w:rsid w:val="00611C4D"/>
    <w:rsid w:val="006244F4"/>
    <w:rsid w:val="006F106D"/>
    <w:rsid w:val="007569D3"/>
    <w:rsid w:val="007A47F0"/>
    <w:rsid w:val="007A63DB"/>
    <w:rsid w:val="007E626B"/>
    <w:rsid w:val="008203EE"/>
    <w:rsid w:val="00881662"/>
    <w:rsid w:val="008956DA"/>
    <w:rsid w:val="008A1D47"/>
    <w:rsid w:val="00923EAB"/>
    <w:rsid w:val="00930A63"/>
    <w:rsid w:val="00997079"/>
    <w:rsid w:val="009B0DED"/>
    <w:rsid w:val="009C642B"/>
    <w:rsid w:val="00A7209A"/>
    <w:rsid w:val="00AA3C95"/>
    <w:rsid w:val="00AB6027"/>
    <w:rsid w:val="00AB733A"/>
    <w:rsid w:val="00AC565D"/>
    <w:rsid w:val="00B030B8"/>
    <w:rsid w:val="00B3623A"/>
    <w:rsid w:val="00B77FE8"/>
    <w:rsid w:val="00C06121"/>
    <w:rsid w:val="00C11483"/>
    <w:rsid w:val="00C42399"/>
    <w:rsid w:val="00C430CE"/>
    <w:rsid w:val="00C466FA"/>
    <w:rsid w:val="00C61ADB"/>
    <w:rsid w:val="00C62FD3"/>
    <w:rsid w:val="00CA5A21"/>
    <w:rsid w:val="00CC2B1B"/>
    <w:rsid w:val="00D02DE6"/>
    <w:rsid w:val="00D6504D"/>
    <w:rsid w:val="00D7704B"/>
    <w:rsid w:val="00DB2FB6"/>
    <w:rsid w:val="00DC5CDD"/>
    <w:rsid w:val="00DF07B3"/>
    <w:rsid w:val="00EA7D15"/>
    <w:rsid w:val="00F1153C"/>
    <w:rsid w:val="00F36BB2"/>
    <w:rsid w:val="00FF12C4"/>
    <w:rsid w:val="0BB53C95"/>
    <w:rsid w:val="0C0149DC"/>
    <w:rsid w:val="0DFA59E7"/>
    <w:rsid w:val="12543AB7"/>
    <w:rsid w:val="14BB6070"/>
    <w:rsid w:val="1804388A"/>
    <w:rsid w:val="1A3E257D"/>
    <w:rsid w:val="1DA97D6B"/>
    <w:rsid w:val="1DFD14A7"/>
    <w:rsid w:val="22405E06"/>
    <w:rsid w:val="23B00D6A"/>
    <w:rsid w:val="26171A29"/>
    <w:rsid w:val="27D72D69"/>
    <w:rsid w:val="2BA34054"/>
    <w:rsid w:val="2E1D6359"/>
    <w:rsid w:val="362F1FC2"/>
    <w:rsid w:val="38314659"/>
    <w:rsid w:val="38602906"/>
    <w:rsid w:val="38BD3ACB"/>
    <w:rsid w:val="39AE276B"/>
    <w:rsid w:val="3A902307"/>
    <w:rsid w:val="3B9B1DDA"/>
    <w:rsid w:val="414D3230"/>
    <w:rsid w:val="42904097"/>
    <w:rsid w:val="42C27B7E"/>
    <w:rsid w:val="42DA1507"/>
    <w:rsid w:val="42DC527F"/>
    <w:rsid w:val="465D5981"/>
    <w:rsid w:val="4AD056CA"/>
    <w:rsid w:val="4F2939F4"/>
    <w:rsid w:val="4FE83829"/>
    <w:rsid w:val="506D3551"/>
    <w:rsid w:val="534E568B"/>
    <w:rsid w:val="545253A1"/>
    <w:rsid w:val="559B239B"/>
    <w:rsid w:val="55FC3817"/>
    <w:rsid w:val="56837906"/>
    <w:rsid w:val="581A7F84"/>
    <w:rsid w:val="5FCA23A1"/>
    <w:rsid w:val="60AF6337"/>
    <w:rsid w:val="62B72539"/>
    <w:rsid w:val="642D54E3"/>
    <w:rsid w:val="64632CC8"/>
    <w:rsid w:val="66061656"/>
    <w:rsid w:val="66854D92"/>
    <w:rsid w:val="6BFA3CB9"/>
    <w:rsid w:val="6C8E5430"/>
    <w:rsid w:val="751752D7"/>
    <w:rsid w:val="755E6399"/>
    <w:rsid w:val="794C7D62"/>
    <w:rsid w:val="7D934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1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9"/>
    <w:autoRedefine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autoRedefine/>
    <w:semiHidden/>
    <w:unhideWhenUsed/>
    <w:qFormat/>
    <w:uiPriority w:val="99"/>
    <w:pPr>
      <w:spacing w:beforeAutospacing="1" w:afterAutospacing="1"/>
      <w:jc w:val="left"/>
    </w:pPr>
    <w:rPr>
      <w:kern w:val="0"/>
      <w:sz w:val="24"/>
    </w:rPr>
  </w:style>
  <w:style w:type="character" w:customStyle="1" w:styleId="9">
    <w:name w:val="批注框文本 字符"/>
    <w:basedOn w:val="8"/>
    <w:link w:val="3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0">
    <w:name w:val="页眉 字符"/>
    <w:basedOn w:val="8"/>
    <w:link w:val="5"/>
    <w:autoRedefine/>
    <w:qFormat/>
    <w:uiPriority w:val="99"/>
    <w:rPr>
      <w:rFonts w:ascii="Times New Roman" w:hAnsi="Times New Roman" w:eastAsia="宋体" w:cs="Times New Roman"/>
      <w:kern w:val="2"/>
      <w:sz w:val="18"/>
      <w:szCs w:val="18"/>
    </w:rPr>
  </w:style>
  <w:style w:type="character" w:customStyle="1" w:styleId="11">
    <w:name w:val="页脚 字符"/>
    <w:basedOn w:val="8"/>
    <w:link w:val="4"/>
    <w:autoRedefine/>
    <w:qFormat/>
    <w:uiPriority w:val="99"/>
    <w:rPr>
      <w:rFonts w:ascii="Times New Roman" w:hAnsi="Times New Roman" w:eastAsia="宋体"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14</Pages>
  <Words>804</Words>
  <Characters>3878</Characters>
  <Lines>28</Lines>
  <Paragraphs>8</Paragraphs>
  <TotalTime>5</TotalTime>
  <ScaleCrop>false</ScaleCrop>
  <LinksUpToDate>false</LinksUpToDate>
  <CharactersWithSpaces>4324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2022-04-29T04:30:00Z</dcterms:created>
  <dc:creator>Windows 用户</dc:creator>
  <cp:lastModifiedBy>黄坤钊</cp:lastModifiedBy>
  <dcterms:modified xsi:type="dcterms:W3CDTF">2024-09-24T14:08:08Z</dcterms:modified>
  <cp:revision>85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D528E11CDAE547AFB01C4B86601D90F1_13</vt:lpwstr>
  </property>
</Properties>
</file>