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70AC2" w14:textId="6D23312D" w:rsidR="002432DC" w:rsidRPr="00924173" w:rsidRDefault="002432DC" w:rsidP="00924173">
      <w:pPr>
        <w:pStyle w:val="1"/>
        <w:spacing w:before="0" w:after="0" w:line="480" w:lineRule="auto"/>
        <w:jc w:val="left"/>
        <w:rPr>
          <w:rFonts w:ascii="Arial" w:hAnsi="Arial" w:cs="Arial"/>
          <w:b/>
          <w:bCs/>
          <w:color w:val="auto"/>
          <w:sz w:val="28"/>
          <w:szCs w:val="28"/>
        </w:rPr>
      </w:pPr>
      <w:r w:rsidRPr="00924173">
        <w:rPr>
          <w:rFonts w:ascii="Arial" w:hAnsi="Arial" w:cs="Arial" w:hint="eastAsia"/>
          <w:b/>
          <w:bCs/>
          <w:color w:val="auto"/>
          <w:sz w:val="28"/>
          <w:szCs w:val="28"/>
        </w:rPr>
        <w:t>Supporting Information</w:t>
      </w:r>
    </w:p>
    <w:p w14:paraId="11C4C54B" w14:textId="640F56EF" w:rsidR="00DC6AD8" w:rsidRPr="00924173" w:rsidRDefault="00DC6AD8" w:rsidP="002432DC">
      <w:pPr>
        <w:pStyle w:val="1"/>
        <w:spacing w:before="0" w:after="0" w:line="480" w:lineRule="auto"/>
        <w:rPr>
          <w:rFonts w:ascii="Arial" w:hAnsi="Arial" w:cs="Arial"/>
          <w:b/>
          <w:bCs/>
          <w:color w:val="auto"/>
          <w:sz w:val="32"/>
          <w:szCs w:val="32"/>
        </w:rPr>
      </w:pPr>
      <w:r w:rsidRPr="00924173">
        <w:rPr>
          <w:rFonts w:ascii="Arial" w:hAnsi="Arial" w:cs="Arial"/>
          <w:b/>
          <w:bCs/>
          <w:color w:val="auto"/>
          <w:sz w:val="32"/>
          <w:szCs w:val="32"/>
        </w:rPr>
        <w:t>Curcumin-loaded nanocomposite hydrogel dressings for promoting infected wound healing and tissue regeneration</w:t>
      </w:r>
    </w:p>
    <w:p w14:paraId="79939552" w14:textId="77777777" w:rsidR="002432DC" w:rsidRPr="006C1864" w:rsidRDefault="002432DC" w:rsidP="002432DC">
      <w:pPr>
        <w:pStyle w:val="af3"/>
        <w:ind w:firstLine="400"/>
      </w:pPr>
      <w:bookmarkStart w:id="0" w:name="OLE_LINK32"/>
      <w:bookmarkStart w:id="1" w:name="_Hlk83553938"/>
      <w:r w:rsidRPr="006C1864">
        <w:t>Zhengzheng Fu</w:t>
      </w:r>
      <w:r w:rsidRPr="000C7EB1">
        <w:rPr>
          <w:kern w:val="0"/>
          <w:vertAlign w:val="superscript"/>
        </w:rPr>
        <w:t>1, *</w:t>
      </w:r>
      <w:r w:rsidRPr="000C7EB1">
        <w:t xml:space="preserve">, </w:t>
      </w:r>
      <w:proofErr w:type="spellStart"/>
      <w:r w:rsidRPr="000C7EB1">
        <w:t>Jingwen</w:t>
      </w:r>
      <w:proofErr w:type="spellEnd"/>
      <w:r w:rsidRPr="000C7EB1">
        <w:t xml:space="preserve"> Zou</w:t>
      </w:r>
      <w:r w:rsidRPr="000C7EB1">
        <w:rPr>
          <w:rFonts w:eastAsiaTheme="minorEastAsia" w:hint="eastAsia"/>
          <w:kern w:val="0"/>
          <w:vertAlign w:val="superscript"/>
        </w:rPr>
        <w:t>1</w:t>
      </w:r>
      <w:r w:rsidRPr="000C7EB1">
        <w:rPr>
          <w:kern w:val="0"/>
          <w:vertAlign w:val="superscript"/>
        </w:rPr>
        <w:t>,</w:t>
      </w:r>
      <w:r w:rsidRPr="000C7EB1">
        <w:rPr>
          <w:rFonts w:eastAsiaTheme="minorEastAsia" w:hint="eastAsia"/>
          <w:kern w:val="0"/>
          <w:vertAlign w:val="superscript"/>
        </w:rPr>
        <w:t xml:space="preserve"> </w:t>
      </w:r>
      <w:r w:rsidRPr="000C7EB1">
        <w:rPr>
          <w:kern w:val="0"/>
          <w:vertAlign w:val="superscript"/>
        </w:rPr>
        <w:t>*</w:t>
      </w:r>
      <w:r w:rsidRPr="000C7EB1">
        <w:t>, Jing Zhong</w:t>
      </w:r>
      <w:r w:rsidRPr="000C7EB1">
        <w:rPr>
          <w:kern w:val="0"/>
          <w:vertAlign w:val="superscript"/>
        </w:rPr>
        <w:t>1</w:t>
      </w:r>
      <w:r w:rsidRPr="000C7EB1">
        <w:t xml:space="preserve">, </w:t>
      </w:r>
      <w:proofErr w:type="spellStart"/>
      <w:r w:rsidRPr="000C7EB1">
        <w:t>Jipang</w:t>
      </w:r>
      <w:proofErr w:type="spellEnd"/>
      <w:r w:rsidRPr="000C7EB1">
        <w:t xml:space="preserve"> Zhan</w:t>
      </w:r>
      <w:r w:rsidRPr="000C7EB1">
        <w:rPr>
          <w:rFonts w:eastAsiaTheme="minorEastAsia" w:hint="eastAsia"/>
          <w:vertAlign w:val="superscript"/>
        </w:rPr>
        <w:t>1</w:t>
      </w:r>
      <w:r w:rsidRPr="000C7EB1">
        <w:t>, Lian Zhang</w:t>
      </w:r>
      <w:r w:rsidRPr="000C7EB1">
        <w:rPr>
          <w:kern w:val="0"/>
          <w:vertAlign w:val="superscript"/>
        </w:rPr>
        <w:t>1</w:t>
      </w:r>
      <w:r w:rsidRPr="000C7EB1">
        <w:t xml:space="preserve">, </w:t>
      </w:r>
      <w:proofErr w:type="spellStart"/>
      <w:r w:rsidRPr="000C7EB1">
        <w:t>Xiaoru</w:t>
      </w:r>
      <w:proofErr w:type="spellEnd"/>
      <w:r w:rsidRPr="000C7EB1">
        <w:t xml:space="preserve"> Xie</w:t>
      </w:r>
      <w:r w:rsidRPr="000C7EB1">
        <w:rPr>
          <w:kern w:val="0"/>
          <w:vertAlign w:val="superscript"/>
        </w:rPr>
        <w:t>1</w:t>
      </w:r>
      <w:r w:rsidRPr="000C7EB1">
        <w:t>, Lai Zhang</w:t>
      </w:r>
      <w:r w:rsidRPr="000C7EB1">
        <w:rPr>
          <w:rFonts w:eastAsiaTheme="minorEastAsia" w:hint="eastAsia"/>
          <w:vertAlign w:val="superscript"/>
        </w:rPr>
        <w:t xml:space="preserve">1, </w:t>
      </w:r>
      <w:r w:rsidRPr="000C7EB1">
        <w:rPr>
          <w:rFonts w:eastAsiaTheme="minorEastAsia" w:hint="eastAsia"/>
          <w:kern w:val="0"/>
          <w:vertAlign w:val="superscript"/>
        </w:rPr>
        <w:t>2</w:t>
      </w:r>
      <w:r w:rsidRPr="000C7EB1">
        <w:t xml:space="preserve">, </w:t>
      </w:r>
      <w:proofErr w:type="spellStart"/>
      <w:r w:rsidRPr="000C7EB1">
        <w:t>Wenqiang</w:t>
      </w:r>
      <w:proofErr w:type="spellEnd"/>
      <w:r w:rsidRPr="000C7EB1">
        <w:t xml:space="preserve"> Li</w:t>
      </w:r>
      <w:r w:rsidRPr="000C7EB1">
        <w:rPr>
          <w:rFonts w:eastAsiaTheme="minorEastAsia" w:hint="eastAsia"/>
          <w:kern w:val="0"/>
          <w:vertAlign w:val="superscript"/>
        </w:rPr>
        <w:t>3</w:t>
      </w:r>
      <w:r w:rsidRPr="000C7EB1">
        <w:rPr>
          <w:kern w:val="0"/>
          <w:vertAlign w:val="superscript"/>
        </w:rPr>
        <w:t>,</w:t>
      </w:r>
      <w:r w:rsidRPr="000C7EB1">
        <w:rPr>
          <w:rFonts w:eastAsiaTheme="minorEastAsia" w:hint="eastAsia"/>
          <w:kern w:val="0"/>
          <w:vertAlign w:val="superscript"/>
        </w:rPr>
        <w:t xml:space="preserve"> </w:t>
      </w:r>
      <w:r w:rsidRPr="000C7EB1">
        <w:rPr>
          <w:kern w:val="0"/>
          <w:vertAlign w:val="superscript"/>
        </w:rPr>
        <w:t>#</w:t>
      </w:r>
      <w:r w:rsidRPr="000C7EB1">
        <w:t xml:space="preserve">, </w:t>
      </w:r>
      <w:proofErr w:type="spellStart"/>
      <w:r w:rsidRPr="000C7EB1">
        <w:t>Renliang</w:t>
      </w:r>
      <w:proofErr w:type="spellEnd"/>
      <w:r w:rsidRPr="000C7EB1">
        <w:t xml:space="preserve"> He</w:t>
      </w:r>
      <w:r w:rsidRPr="000C7EB1">
        <w:rPr>
          <w:kern w:val="0"/>
          <w:vertAlign w:val="superscript"/>
        </w:rPr>
        <w:t>1,</w:t>
      </w:r>
      <w:r w:rsidRPr="000C7EB1">
        <w:rPr>
          <w:rFonts w:eastAsiaTheme="minorEastAsia" w:hint="eastAsia"/>
          <w:kern w:val="0"/>
          <w:vertAlign w:val="superscript"/>
        </w:rPr>
        <w:t xml:space="preserve"> </w:t>
      </w:r>
      <w:r w:rsidRPr="000C7EB1">
        <w:rPr>
          <w:kern w:val="0"/>
          <w:vertAlign w:val="superscript"/>
        </w:rPr>
        <w:t>#</w:t>
      </w:r>
    </w:p>
    <w:p w14:paraId="2DD46E97" w14:textId="77777777" w:rsidR="002432DC" w:rsidRPr="006C1864" w:rsidRDefault="002432DC" w:rsidP="002432DC">
      <w:pPr>
        <w:pStyle w:val="af3"/>
        <w:ind w:firstLine="400"/>
        <w:rPr>
          <w:rFonts w:eastAsiaTheme="minorEastAsia"/>
        </w:rPr>
      </w:pPr>
      <w:r w:rsidRPr="006C1864">
        <w:rPr>
          <w:vertAlign w:val="superscript"/>
        </w:rPr>
        <w:t>1</w:t>
      </w:r>
      <w:r w:rsidRPr="006C1864">
        <w:t>Department of Dermatologic Surgery and Dermatologic Oncology, Dermatology Hospital of Southern Medical University, Guangzhou 510000, Guangdong Province, China</w:t>
      </w:r>
      <w:r>
        <w:rPr>
          <w:rFonts w:eastAsiaTheme="minorEastAsia" w:hint="eastAsia"/>
        </w:rPr>
        <w:t>.</w:t>
      </w:r>
    </w:p>
    <w:p w14:paraId="49A35DD0" w14:textId="77777777" w:rsidR="002432DC" w:rsidRPr="006C1864" w:rsidRDefault="002432DC" w:rsidP="002432DC">
      <w:pPr>
        <w:pStyle w:val="af3"/>
        <w:ind w:firstLine="400"/>
        <w:rPr>
          <w:rFonts w:eastAsiaTheme="minorEastAsia"/>
        </w:rPr>
      </w:pPr>
      <w:r w:rsidRPr="006C1864">
        <w:rPr>
          <w:vertAlign w:val="superscript"/>
        </w:rPr>
        <w:t>2</w:t>
      </w:r>
      <w:r w:rsidRPr="006C1864">
        <w:t>Guangdong Pharmaceutical University,</w:t>
      </w:r>
      <w:r w:rsidRPr="006C1864">
        <w:rPr>
          <w:rFonts w:eastAsiaTheme="minorEastAsia" w:hint="eastAsia"/>
        </w:rPr>
        <w:t xml:space="preserve"> </w:t>
      </w:r>
      <w:r w:rsidRPr="006C1864">
        <w:t>Guangzhou 510006, Guangdong Province, China</w:t>
      </w:r>
      <w:r>
        <w:rPr>
          <w:rFonts w:eastAsiaTheme="minorEastAsia" w:hint="eastAsia"/>
        </w:rPr>
        <w:t>.</w:t>
      </w:r>
    </w:p>
    <w:p w14:paraId="1B52CEEE" w14:textId="77777777" w:rsidR="002432DC" w:rsidRPr="006C1864" w:rsidRDefault="002432DC" w:rsidP="002432DC">
      <w:pPr>
        <w:pStyle w:val="af3"/>
        <w:ind w:firstLine="400"/>
        <w:rPr>
          <w:rFonts w:eastAsiaTheme="minorEastAsia"/>
        </w:rPr>
      </w:pPr>
      <w:r w:rsidRPr="006C1864">
        <w:rPr>
          <w:vertAlign w:val="superscript"/>
        </w:rPr>
        <w:t>3</w:t>
      </w:r>
      <w:r w:rsidRPr="006C1864">
        <w:t>Engineering Technology Research Center for Sports Assistive Devices of Guangdong, Guangzhou Sport University, Guangzhou 510500, Guangdong Province,</w:t>
      </w:r>
      <w:r w:rsidRPr="006C1864">
        <w:rPr>
          <w:rFonts w:eastAsiaTheme="minorEastAsia" w:hint="eastAsia"/>
        </w:rPr>
        <w:t xml:space="preserve"> </w:t>
      </w:r>
      <w:r w:rsidRPr="006C1864">
        <w:t>China</w:t>
      </w:r>
      <w:r>
        <w:rPr>
          <w:rFonts w:eastAsiaTheme="minorEastAsia" w:hint="eastAsia"/>
        </w:rPr>
        <w:t>.</w:t>
      </w:r>
    </w:p>
    <w:p w14:paraId="52D9362F" w14:textId="77777777" w:rsidR="002432DC" w:rsidRPr="006C1864" w:rsidRDefault="002432DC" w:rsidP="002432DC">
      <w:pPr>
        <w:pStyle w:val="af3"/>
        <w:ind w:firstLine="400"/>
        <w:rPr>
          <w:rFonts w:eastAsiaTheme="minorEastAsia"/>
        </w:rPr>
      </w:pPr>
      <w:r w:rsidRPr="006C1864">
        <w:rPr>
          <w:kern w:val="0"/>
        </w:rPr>
        <w:t>*</w:t>
      </w:r>
      <w:r w:rsidRPr="006C1864">
        <w:t>These authors contributed equally to this work and should be considered co-first authors</w:t>
      </w:r>
      <w:r>
        <w:rPr>
          <w:rFonts w:eastAsiaTheme="minorEastAsia" w:hint="eastAsia"/>
        </w:rPr>
        <w:t>.</w:t>
      </w:r>
    </w:p>
    <w:p w14:paraId="72008BFA" w14:textId="77777777" w:rsidR="002432DC" w:rsidRPr="006C1864" w:rsidRDefault="002432DC" w:rsidP="002432DC">
      <w:pPr>
        <w:pStyle w:val="af3"/>
        <w:ind w:firstLine="400"/>
      </w:pPr>
      <w:r w:rsidRPr="006C1864">
        <w:rPr>
          <w:vertAlign w:val="superscript"/>
        </w:rPr>
        <w:t>#</w:t>
      </w:r>
      <w:r w:rsidRPr="006C1864">
        <w:t>Corresponding author.</w:t>
      </w:r>
    </w:p>
    <w:p w14:paraId="1A06ED09" w14:textId="77777777" w:rsidR="002432DC" w:rsidRPr="006C1864" w:rsidRDefault="002432DC" w:rsidP="002432DC">
      <w:pPr>
        <w:pStyle w:val="af3"/>
        <w:ind w:firstLine="400"/>
        <w:rPr>
          <w:rFonts w:eastAsiaTheme="minorEastAsia"/>
        </w:rPr>
      </w:pPr>
      <w:r w:rsidRPr="006C1864">
        <w:t xml:space="preserve">Correspondence: Department of Dermatologic Surgery and Dermatologic Oncology, Dermatology Hospital of Southern Medical University, Guangdong Provincial Dermatology Hospital, 2 </w:t>
      </w:r>
      <w:proofErr w:type="spellStart"/>
      <w:r w:rsidRPr="006C1864">
        <w:t>Lujing</w:t>
      </w:r>
      <w:proofErr w:type="spellEnd"/>
      <w:r w:rsidRPr="006C1864">
        <w:t xml:space="preserve"> Road, Yuexiu District, Guangzhou 510000, Guangdong Province, China</w:t>
      </w:r>
      <w:r>
        <w:rPr>
          <w:rFonts w:eastAsiaTheme="minorEastAsia" w:hint="eastAsia"/>
        </w:rPr>
        <w:t>.</w:t>
      </w:r>
    </w:p>
    <w:p w14:paraId="16C02573" w14:textId="40C433D1" w:rsidR="002432DC" w:rsidRPr="002432DC" w:rsidRDefault="002432DC" w:rsidP="002432DC">
      <w:pPr>
        <w:pStyle w:val="af3"/>
        <w:ind w:firstLine="400"/>
        <w:rPr>
          <w:rFonts w:eastAsiaTheme="minorEastAsia"/>
          <w:color w:val="auto"/>
        </w:rPr>
        <w:sectPr w:rsidR="002432DC" w:rsidRPr="002432DC" w:rsidSect="002432DC">
          <w:footerReference w:type="default" r:id="rId7"/>
          <w:pgSz w:w="11906" w:h="16838"/>
          <w:pgMar w:top="1701" w:right="1701" w:bottom="1701" w:left="1701" w:header="851" w:footer="992" w:gutter="0"/>
          <w:lnNumType w:countBy="1" w:restart="continuous"/>
          <w:cols w:space="425"/>
          <w:docGrid w:type="lines" w:linePitch="326"/>
        </w:sectPr>
      </w:pPr>
      <w:r w:rsidRPr="002432DC">
        <w:rPr>
          <w:color w:val="auto"/>
        </w:rPr>
        <w:t xml:space="preserve">E-mail: </w:t>
      </w:r>
      <w:r w:rsidRPr="002432DC">
        <w:rPr>
          <w:rStyle w:val="af2"/>
          <w:color w:val="auto"/>
        </w:rPr>
        <w:t>liwq@gzsport.edu.cn</w:t>
      </w:r>
      <w:r w:rsidRPr="002432DC">
        <w:rPr>
          <w:color w:val="auto"/>
        </w:rPr>
        <w:t xml:space="preserve"> (</w:t>
      </w:r>
      <w:proofErr w:type="spellStart"/>
      <w:r w:rsidRPr="002432DC">
        <w:rPr>
          <w:color w:val="auto"/>
        </w:rPr>
        <w:t>Wenqiang</w:t>
      </w:r>
      <w:proofErr w:type="spellEnd"/>
      <w:r w:rsidRPr="002432DC">
        <w:rPr>
          <w:color w:val="auto"/>
        </w:rPr>
        <w:t xml:space="preserve"> Li)</w:t>
      </w:r>
      <w:bookmarkStart w:id="2" w:name="OLE_LINK60"/>
      <w:bookmarkStart w:id="3" w:name="OLE_LINK61"/>
      <w:bookmarkEnd w:id="0"/>
      <w:r w:rsidRPr="002432DC">
        <w:rPr>
          <w:color w:val="auto"/>
        </w:rPr>
        <w:t xml:space="preserve"> and </w:t>
      </w:r>
      <w:bookmarkEnd w:id="2"/>
      <w:bookmarkEnd w:id="3"/>
      <w:r w:rsidRPr="002432DC">
        <w:rPr>
          <w:color w:val="auto"/>
        </w:rPr>
        <w:t>zshrl2006@smu.edu.cn (</w:t>
      </w:r>
      <w:proofErr w:type="spellStart"/>
      <w:r w:rsidRPr="002432DC">
        <w:rPr>
          <w:color w:val="auto"/>
        </w:rPr>
        <w:t>Renliang</w:t>
      </w:r>
      <w:proofErr w:type="spellEnd"/>
      <w:r w:rsidRPr="002432DC">
        <w:rPr>
          <w:color w:val="auto"/>
        </w:rPr>
        <w:t xml:space="preserve"> H</w:t>
      </w:r>
      <w:r w:rsidRPr="002432DC">
        <w:rPr>
          <w:rFonts w:eastAsiaTheme="minorEastAsia" w:hint="eastAsia"/>
          <w:color w:val="auto"/>
        </w:rPr>
        <w:t>e)</w:t>
      </w:r>
    </w:p>
    <w:bookmarkEnd w:id="1"/>
    <w:p w14:paraId="1D8A2111" w14:textId="6146472E" w:rsidR="002E50C2" w:rsidRDefault="002E50C2" w:rsidP="002E50C2">
      <w:pPr>
        <w:rPr>
          <w:rFonts w:ascii="Arial" w:hAnsi="Arial" w:cs="Arial"/>
          <w:b/>
          <w:bCs/>
          <w:color w:val="000000" w:themeColor="text1"/>
          <w:sz w:val="28"/>
          <w:szCs w:val="28"/>
        </w:rPr>
      </w:pPr>
      <w:r w:rsidRPr="002E50C2">
        <w:rPr>
          <w:rFonts w:ascii="Arial" w:eastAsia="Arial" w:hAnsi="Arial" w:cs="Arial"/>
          <w:b/>
          <w:bCs/>
          <w:color w:val="000000" w:themeColor="text1"/>
          <w:sz w:val="28"/>
          <w:szCs w:val="28"/>
        </w:rPr>
        <w:lastRenderedPageBreak/>
        <w:t>In vitro drug release from hydrogels</w:t>
      </w:r>
    </w:p>
    <w:p w14:paraId="33BE0965" w14:textId="531B85B7" w:rsidR="00946915" w:rsidRPr="00946915" w:rsidRDefault="005F5F81" w:rsidP="002E50C2">
      <w:pPr>
        <w:rPr>
          <w:rFonts w:ascii="Arial" w:hAnsi="Arial" w:cs="Arial"/>
          <w:b/>
          <w:bCs/>
          <w:color w:val="000000" w:themeColor="text1"/>
          <w:sz w:val="28"/>
          <w:szCs w:val="28"/>
        </w:rPr>
      </w:pPr>
      <w:r>
        <w:rPr>
          <w:rFonts w:ascii="Arial" w:hAnsi="Arial" w:cs="Arial"/>
          <w:b/>
          <w:bCs/>
          <w:noProof/>
          <w:color w:val="000000" w:themeColor="text1"/>
          <w:sz w:val="28"/>
          <w:szCs w:val="28"/>
        </w:rPr>
        <w:drawing>
          <wp:inline distT="0" distB="0" distL="0" distR="0" wp14:anchorId="2D856784" wp14:editId="61E59405">
            <wp:extent cx="5271770" cy="4039235"/>
            <wp:effectExtent l="0" t="0" r="5080" b="0"/>
            <wp:docPr id="18995150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1770" cy="4039235"/>
                    </a:xfrm>
                    <a:prstGeom prst="rect">
                      <a:avLst/>
                    </a:prstGeom>
                    <a:noFill/>
                    <a:ln>
                      <a:noFill/>
                    </a:ln>
                  </pic:spPr>
                </pic:pic>
              </a:graphicData>
            </a:graphic>
          </wp:inline>
        </w:drawing>
      </w:r>
    </w:p>
    <w:p w14:paraId="2C508FAF" w14:textId="4C96A38B" w:rsidR="002E50C2" w:rsidRDefault="002E50C2" w:rsidP="008316B3">
      <w:pPr>
        <w:pStyle w:val="fig"/>
        <w:jc w:val="center"/>
        <w:rPr>
          <w:rFonts w:eastAsiaTheme="minorEastAsia"/>
        </w:rPr>
      </w:pPr>
      <w:r w:rsidRPr="0079021A">
        <w:t xml:space="preserve">Fig. </w:t>
      </w:r>
      <w:r>
        <w:rPr>
          <w:rFonts w:eastAsiaTheme="minorEastAsia" w:hint="eastAsia"/>
        </w:rPr>
        <w:t>S1</w:t>
      </w:r>
      <w:r w:rsidR="0072495C" w:rsidRPr="0072495C">
        <w:t xml:space="preserve"> Comparison of elastic modulus of various hydrogels.</w:t>
      </w:r>
    </w:p>
    <w:p w14:paraId="63B48868" w14:textId="4A0CD6F3" w:rsidR="00BD12B7" w:rsidRDefault="003C27D1" w:rsidP="003C27D1">
      <w:pPr>
        <w:pStyle w:val="fig"/>
        <w:rPr>
          <w:rFonts w:eastAsiaTheme="minorEastAsia"/>
        </w:rPr>
      </w:pPr>
      <w:r w:rsidRPr="003C27D1">
        <w:t>The stress-strain curve of the hydrogel was selected to fit the linear relationship range for the calculation of elastic modulus. The quantitative results of the compressive elastic modulus and tensile elastic modulus of various hydrogels are shown in F</w:t>
      </w:r>
      <w:r>
        <w:rPr>
          <w:rFonts w:eastAsiaTheme="minorEastAsia" w:hint="eastAsia"/>
        </w:rPr>
        <w:t>ig</w:t>
      </w:r>
      <w:r w:rsidRPr="003C27D1">
        <w:t xml:space="preserve">. S1. It can be seen from the data in the figure that the overall elastic modulus of </w:t>
      </w:r>
      <w:proofErr w:type="spellStart"/>
      <w:r w:rsidRPr="003C27D1">
        <w:t>GelMA</w:t>
      </w:r>
      <w:proofErr w:type="spellEnd"/>
      <w:r w:rsidRPr="003C27D1">
        <w:t xml:space="preserve">/AHA hydrogel obtained after the addition of AHA increases, because the aldehyde group in AHA and the formation of the residual amino Schiff base in </w:t>
      </w:r>
      <w:proofErr w:type="spellStart"/>
      <w:r w:rsidRPr="003C27D1">
        <w:t>GelMA</w:t>
      </w:r>
      <w:proofErr w:type="spellEnd"/>
      <w:r w:rsidRPr="003C27D1">
        <w:t xml:space="preserve"> cross-link, and the overall cross-linking density of the gel increases</w:t>
      </w:r>
      <w:r w:rsidR="000210BC">
        <w:fldChar w:fldCharType="begin"/>
      </w:r>
      <w:r w:rsidR="000210BC">
        <w:instrText xml:space="preserve"> ADDIN EN.CITE &lt;EndNote&gt;&lt;Cite&gt;&lt;Author&gt;Zhang&lt;/Author&gt;&lt;Year&gt;2024&lt;/Year&gt;&lt;RecNum&gt;256&lt;/RecNum&gt;&lt;DisplayText&gt;&lt;style face="superscript"&gt;1&lt;/style&gt;&lt;/DisplayText&gt;&lt;record&gt;&lt;rec-number&gt;256&lt;/rec-number&gt;&lt;foreign-keys&gt;&lt;key app="EN" db-id="et2t22wsrzef2kevdp8pprfvss02rtfesdwr" timestamp="1726736012"&gt;256&lt;/key&gt;&lt;/foreign-keys&gt;&lt;ref-type name="Journal Article"&gt;17&lt;/ref-type&gt;&lt;contributors&gt;&lt;authors&gt;&lt;author&gt;Zhang, Lifeng&lt;/author&gt;&lt;author&gt;Yang, Jiali&lt;/author&gt;&lt;author&gt;Ding, Chuanbo&lt;/author&gt;&lt;author&gt;Sun, Shuwen&lt;/author&gt;&lt;author&gt;Zhang, Shuai&lt;/author&gt;&lt;author&gt;Ding, Qiteng&lt;/author&gt;&lt;author&gt;Zhao, Ting&lt;/author&gt;&lt;author&gt;Liu, Wencong&lt;/author&gt;&lt;/authors&gt;&lt;/contributors&gt;&lt;titles&gt;&lt;title&gt;Application of polysaccharide-based crosslinking agents based on schiff base linkages for biomedical scaffolds&lt;/title&gt;&lt;secondary-title&gt;Carbohydrate Polymers&lt;/secondary-title&gt;&lt;/titles&gt;&lt;periodical&gt;&lt;full-title&gt;Carbohydrate Polymers&lt;/full-title&gt;&lt;/periodical&gt;&lt;pages&gt;122585&lt;/pages&gt;&lt;dates&gt;&lt;year&gt;2024&lt;/year&gt;&lt;/dates&gt;&lt;isbn&gt;0144-8617&lt;/isbn&gt;&lt;urls&gt;&lt;/urls&gt;&lt;/record&gt;&lt;/Cite&gt;&lt;/EndNote&gt;</w:instrText>
      </w:r>
      <w:r w:rsidR="000210BC">
        <w:fldChar w:fldCharType="separate"/>
      </w:r>
      <w:r w:rsidR="000210BC" w:rsidRPr="000210BC">
        <w:rPr>
          <w:noProof/>
          <w:vertAlign w:val="superscript"/>
        </w:rPr>
        <w:t>1</w:t>
      </w:r>
      <w:r w:rsidR="000210BC">
        <w:fldChar w:fldCharType="end"/>
      </w:r>
      <w:r w:rsidRPr="003C27D1">
        <w:t xml:space="preserve">. After the addition of </w:t>
      </w:r>
      <w:proofErr w:type="spellStart"/>
      <w:r w:rsidRPr="003C27D1">
        <w:t>Gel@Cur</w:t>
      </w:r>
      <w:proofErr w:type="spellEnd"/>
      <w:r w:rsidRPr="003C27D1">
        <w:t xml:space="preserve"> nanoparticles, the steric hindrance effect of </w:t>
      </w:r>
      <w:proofErr w:type="spellStart"/>
      <w:r w:rsidRPr="003C27D1">
        <w:t>Gel@Cur</w:t>
      </w:r>
      <w:proofErr w:type="spellEnd"/>
      <w:r w:rsidRPr="003C27D1">
        <w:t xml:space="preserve"> nanoparticles affected the chemical cross-linking of the hydrogel, while the nanoparticles formed non-covalent bonds with the main body of the gel, and the cross-linking density of the composite gel decreased</w:t>
      </w:r>
      <w:r w:rsidR="000210BC">
        <w:fldChar w:fldCharType="begin"/>
      </w:r>
      <w:r w:rsidR="000210BC">
        <w:instrText xml:space="preserve"> ADDIN EN.CITE &lt;EndNote&gt;&lt;Cite&gt;&lt;Author&gt;Sun&lt;/Author&gt;&lt;Year&gt;2024&lt;/Year&gt;&lt;RecNum&gt;257&lt;/RecNum&gt;&lt;DisplayText&gt;&lt;style face="superscript"&gt;2&lt;/style&gt;&lt;/DisplayText&gt;&lt;record&gt;&lt;rec-number&gt;257&lt;/rec-number&gt;&lt;foreign-keys&gt;&lt;key app="EN" db-id="et2t22wsrzef2kevdp8pprfvss02rtfesdwr" timestamp="1726736217"&gt;257&lt;/key&gt;&lt;/foreign-keys&gt;&lt;ref-type name="Journal Article"&gt;17&lt;/ref-type&gt;&lt;contributors&gt;&lt;authors&gt;&lt;author&gt;Sun, Yanjing&lt;/author&gt;&lt;author&gt;Zhang, Yajuan&lt;/author&gt;&lt;author&gt;Yu, Wenchen&lt;/author&gt;&lt;author&gt;Jia, Pan&lt;/author&gt;&lt;author&gt;Zhang, Xin&lt;/author&gt;&lt;author&gt;Wu, Na&lt;/author&gt;&lt;author&gt;Yu, Haitao&lt;/author&gt;&lt;author&gt;Song, Yanlin&lt;/author&gt;&lt;author&gt;Zhou, Jinming&lt;/author&gt;&lt;/authors&gt;&lt;/contributors&gt;&lt;titles&gt;&lt;title&gt;Bio-inspired stretchable and self-healable nanocomposite gelatin hydrogel with low silica nanoparticle content and brilliant angle/strain-independent structural colors&lt;/title&gt;&lt;secondary-title&gt;Chemical Engineering Journal&lt;/secondary-title&gt;&lt;/titles&gt;&lt;periodical&gt;&lt;full-title&gt;Chemical Engineering Journal&lt;/full-title&gt;&lt;/periodical&gt;&lt;pages&gt;154190&lt;/pages&gt;&lt;volume&gt;496&lt;/volume&gt;&lt;dates&gt;&lt;year&gt;2024&lt;/year&gt;&lt;/dates&gt;&lt;isbn&gt;1385-8947&lt;/isbn&gt;&lt;urls&gt;&lt;/urls&gt;&lt;/record&gt;&lt;/Cite&gt;&lt;/EndNote&gt;</w:instrText>
      </w:r>
      <w:r w:rsidR="000210BC">
        <w:fldChar w:fldCharType="separate"/>
      </w:r>
      <w:r w:rsidR="000210BC" w:rsidRPr="000210BC">
        <w:rPr>
          <w:noProof/>
          <w:vertAlign w:val="superscript"/>
        </w:rPr>
        <w:t>2</w:t>
      </w:r>
      <w:r w:rsidR="000210BC">
        <w:fldChar w:fldCharType="end"/>
      </w:r>
      <w:r w:rsidRPr="003C27D1">
        <w:t>.</w:t>
      </w:r>
    </w:p>
    <w:p w14:paraId="12C00B94" w14:textId="6C88D7FF" w:rsidR="005F5F81" w:rsidRDefault="005F5F81" w:rsidP="00015489">
      <w:pPr>
        <w:pStyle w:val="fig"/>
        <w:rPr>
          <w:rFonts w:eastAsiaTheme="minorEastAsia"/>
        </w:rPr>
      </w:pPr>
      <w:r>
        <w:rPr>
          <w:noProof/>
        </w:rPr>
        <w:lastRenderedPageBreak/>
        <w:drawing>
          <wp:inline distT="0" distB="0" distL="0" distR="0" wp14:anchorId="58D34A6C" wp14:editId="28D0D21F">
            <wp:extent cx="5274310" cy="2728595"/>
            <wp:effectExtent l="0" t="0" r="2540" b="0"/>
            <wp:docPr id="129540321" name="图片 1"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0321" name="图片 1" descr="图表, 折线图&#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728595"/>
                    </a:xfrm>
                    <a:prstGeom prst="rect">
                      <a:avLst/>
                    </a:prstGeom>
                    <a:noFill/>
                    <a:ln>
                      <a:noFill/>
                    </a:ln>
                  </pic:spPr>
                </pic:pic>
              </a:graphicData>
            </a:graphic>
          </wp:inline>
        </w:drawing>
      </w:r>
    </w:p>
    <w:p w14:paraId="69E0CEAE" w14:textId="1D36A34D" w:rsidR="005F5F81" w:rsidRDefault="005F5F81" w:rsidP="005F5F81">
      <w:pPr>
        <w:pStyle w:val="fig"/>
        <w:rPr>
          <w:rFonts w:eastAsiaTheme="minorEastAsia"/>
        </w:rPr>
      </w:pPr>
      <w:r w:rsidRPr="0079021A">
        <w:t xml:space="preserve">Fig. </w:t>
      </w:r>
      <w:r>
        <w:rPr>
          <w:rFonts w:eastAsiaTheme="minorEastAsia" w:hint="eastAsia"/>
        </w:rPr>
        <w:t>S2</w:t>
      </w:r>
      <w:r w:rsidRPr="0079021A">
        <w:t xml:space="preserve"> (</w:t>
      </w:r>
      <w:r>
        <w:rPr>
          <w:rFonts w:eastAsiaTheme="minorEastAsia" w:hint="eastAsia"/>
        </w:rPr>
        <w:t>a</w:t>
      </w:r>
      <w:r w:rsidRPr="0079021A">
        <w:t xml:space="preserve">). Curcumin release profile of hydrogels and nanoparticles </w:t>
      </w:r>
      <w:r w:rsidRPr="0079021A">
        <w:rPr>
          <w:i/>
          <w:iCs/>
        </w:rPr>
        <w:t>in vitro</w:t>
      </w:r>
      <w:r w:rsidRPr="0079021A">
        <w:t xml:space="preserve"> over </w:t>
      </w:r>
      <w:r>
        <w:rPr>
          <w:rFonts w:eastAsiaTheme="minorEastAsia" w:hint="eastAsia"/>
        </w:rPr>
        <w:t>240</w:t>
      </w:r>
      <w:r w:rsidRPr="0079021A">
        <w:t xml:space="preserve"> h.</w:t>
      </w:r>
      <w:r w:rsidRPr="002E50C2">
        <w:t xml:space="preserve"> (</w:t>
      </w:r>
      <w:r w:rsidRPr="002E50C2">
        <w:rPr>
          <w:rFonts w:eastAsiaTheme="minorEastAsia" w:hint="eastAsia"/>
        </w:rPr>
        <w:t>b</w:t>
      </w:r>
      <w:r w:rsidRPr="002E50C2">
        <w:t xml:space="preserve">). </w:t>
      </w:r>
      <w:r w:rsidRPr="002E50C2">
        <w:rPr>
          <w:i/>
          <w:iCs/>
        </w:rPr>
        <w:t>In vitro</w:t>
      </w:r>
      <w:r w:rsidRPr="002E50C2">
        <w:t xml:space="preserve"> release of composite hydrogels. Zero level release simulation, (</w:t>
      </w:r>
      <w:r w:rsidRPr="002E50C2">
        <w:rPr>
          <w:rFonts w:eastAsiaTheme="minorEastAsia" w:hint="eastAsia"/>
        </w:rPr>
        <w:t>c</w:t>
      </w:r>
      <w:r w:rsidRPr="002E50C2">
        <w:t>). First step release simulation, (</w:t>
      </w:r>
      <w:r w:rsidRPr="002E50C2">
        <w:rPr>
          <w:rFonts w:eastAsiaTheme="minorEastAsia" w:hint="eastAsia"/>
        </w:rPr>
        <w:t>d</w:t>
      </w:r>
      <w:r w:rsidRPr="002E50C2">
        <w:t>). Korsmeyer-Peppas model simulation (</w:t>
      </w:r>
      <w:r w:rsidRPr="002E50C2">
        <w:rPr>
          <w:rFonts w:eastAsiaTheme="minorEastAsia" w:hint="eastAsia"/>
        </w:rPr>
        <w:t>e</w:t>
      </w:r>
      <w:r w:rsidRPr="002E50C2">
        <w:t>). Higuchi model simulation.</w:t>
      </w:r>
    </w:p>
    <w:p w14:paraId="4B6967C2" w14:textId="7F8D7D86" w:rsidR="003C27D1" w:rsidRDefault="00015489" w:rsidP="00015489">
      <w:pPr>
        <w:pStyle w:val="fig"/>
        <w:rPr>
          <w:rFonts w:eastAsiaTheme="minorEastAsia"/>
        </w:rPr>
      </w:pPr>
      <w:r w:rsidRPr="00015489">
        <w:rPr>
          <w:rFonts w:eastAsiaTheme="minorEastAsia"/>
        </w:rPr>
        <w:t>To further clarify the in vitro drug release mechanism of the hydrogel, the in vitro drug release time was extended to 240h. The experimental results obtained are shown in Fig. S</w:t>
      </w:r>
      <w:r w:rsidR="008316B3">
        <w:rPr>
          <w:rFonts w:eastAsiaTheme="minorEastAsia" w:hint="eastAsia"/>
        </w:rPr>
        <w:t>2a</w:t>
      </w:r>
      <w:r w:rsidRPr="00015489">
        <w:rPr>
          <w:rFonts w:eastAsiaTheme="minorEastAsia"/>
        </w:rPr>
        <w:t>. The data in the figure show that the composite hydrogel can continuously release curcumin within 240</w:t>
      </w:r>
      <w:r>
        <w:rPr>
          <w:rFonts w:eastAsiaTheme="minorEastAsia" w:hint="eastAsia"/>
        </w:rPr>
        <w:t xml:space="preserve"> </w:t>
      </w:r>
      <w:r w:rsidRPr="00015489">
        <w:rPr>
          <w:rFonts w:eastAsiaTheme="minorEastAsia"/>
        </w:rPr>
        <w:t>h, and the cumulative release of drug is as high as 68%. By fitting the drug release behavior of the hydrogel within 240</w:t>
      </w:r>
      <w:r>
        <w:rPr>
          <w:rFonts w:eastAsiaTheme="minorEastAsia" w:hint="eastAsia"/>
        </w:rPr>
        <w:t xml:space="preserve"> </w:t>
      </w:r>
      <w:r w:rsidRPr="00015489">
        <w:rPr>
          <w:rFonts w:eastAsiaTheme="minorEastAsia"/>
        </w:rPr>
        <w:t>h using four models, the results are shown in Fig. S</w:t>
      </w:r>
      <w:r w:rsidR="008316B3">
        <w:rPr>
          <w:rFonts w:eastAsiaTheme="minorEastAsia" w:hint="eastAsia"/>
        </w:rPr>
        <w:t>2b</w:t>
      </w:r>
      <w:r w:rsidRPr="00015489">
        <w:rPr>
          <w:rFonts w:eastAsiaTheme="minorEastAsia"/>
        </w:rPr>
        <w:t>-</w:t>
      </w:r>
      <w:r w:rsidR="008316B3">
        <w:rPr>
          <w:rFonts w:eastAsiaTheme="minorEastAsia" w:hint="eastAsia"/>
        </w:rPr>
        <w:t>e</w:t>
      </w:r>
      <w:r w:rsidRPr="00015489">
        <w:rPr>
          <w:rFonts w:eastAsiaTheme="minorEastAsia"/>
        </w:rPr>
        <w:t>. The drug release behavior of the hydrogel was more consistent with Korsmeyer-Peppas (</w:t>
      </w:r>
      <w:r w:rsidRPr="00015489">
        <w:rPr>
          <w:rFonts w:eastAsiaTheme="minorEastAsia"/>
          <w:i/>
          <w:iCs/>
        </w:rPr>
        <w:t>R</w:t>
      </w:r>
      <w:r w:rsidRPr="00015489">
        <w:rPr>
          <w:rFonts w:eastAsiaTheme="minorEastAsia"/>
          <w:vertAlign w:val="superscript"/>
        </w:rPr>
        <w:t>2</w:t>
      </w:r>
      <w:r w:rsidRPr="00015489">
        <w:rPr>
          <w:rFonts w:eastAsiaTheme="minorEastAsia"/>
        </w:rPr>
        <w:t xml:space="preserve">=0.98). At the same time, the model coefficient </w:t>
      </w:r>
      <w:r w:rsidRPr="00015489">
        <w:rPr>
          <w:rFonts w:eastAsiaTheme="minorEastAsia"/>
          <w:i/>
          <w:iCs/>
        </w:rPr>
        <w:t>n</w:t>
      </w:r>
      <w:r w:rsidRPr="00015489">
        <w:rPr>
          <w:rFonts w:eastAsiaTheme="minorEastAsia"/>
        </w:rPr>
        <w:t xml:space="preserve"> value was 0.5855 (greater than 0.45), and the drug release mechanism was determined to be the action of non-Fick diffusion mechanism and skeleton dissolution mechanism simultaneously</w:t>
      </w:r>
      <w:r w:rsidR="002E4E97">
        <w:rPr>
          <w:rFonts w:eastAsiaTheme="minorEastAsia"/>
        </w:rPr>
        <w:fldChar w:fldCharType="begin"/>
      </w:r>
      <w:r w:rsidR="002E4E97">
        <w:rPr>
          <w:rFonts w:eastAsiaTheme="minorEastAsia"/>
        </w:rPr>
        <w:instrText xml:space="preserve"> ADDIN EN.CITE &lt;EndNote&gt;&lt;Cite&gt;&lt;Author&gt;Wang&lt;/Author&gt;&lt;Year&gt;2024&lt;/Year&gt;&lt;RecNum&gt;258&lt;/RecNum&gt;&lt;DisplayText&gt;&lt;style face="superscript"&gt;3&lt;/style&gt;&lt;/DisplayText&gt;&lt;record&gt;&lt;rec-number&gt;258&lt;/rec-number&gt;&lt;foreign-keys&gt;&lt;key app="EN" db-id="et2t22wsrzef2kevdp8pprfvss02rtfesdwr" timestamp="1726736466"&gt;258&lt;/key&gt;&lt;/foreign-keys&gt;&lt;ref-type name="Journal Article"&gt;17&lt;/ref-type&gt;&lt;contributors&gt;&lt;authors&gt;&lt;author&gt;Wang, Zhuxian&lt;/author&gt;&lt;author&gt;Liu, Jun&lt;/author&gt;&lt;author&gt;Zheng, Yixin&lt;/author&gt;&lt;author&gt;Zhang, Bohai&lt;/author&gt;&lt;author&gt;Hu, Yi&lt;/author</w:instrText>
      </w:r>
      <w:r w:rsidR="002E4E97">
        <w:rPr>
          <w:rFonts w:eastAsiaTheme="minorEastAsia" w:hint="eastAsia"/>
        </w:rPr>
        <w:instrText>&gt;&lt;author&gt;Wu, Yufan&lt;/author&gt;&lt;author&gt;Li, Yamei&lt;/author&gt;&lt;author&gt;Liu, Li&lt;/author&gt;&lt;author&gt;Zhu, Hongxia&lt;/author&gt;&lt;author&gt;Liu, Qiang&lt;/author&gt;&lt;/authors&gt;&lt;/contributors&gt;&lt;titles&gt;&lt;title&gt;Copper Ion</w:instrText>
      </w:r>
      <w:r w:rsidR="002E4E97">
        <w:rPr>
          <w:rFonts w:eastAsiaTheme="minorEastAsia" w:hint="eastAsia"/>
        </w:rPr>
        <w:instrText>‐</w:instrText>
      </w:r>
      <w:r w:rsidR="002E4E97">
        <w:rPr>
          <w:rFonts w:eastAsiaTheme="minorEastAsia" w:hint="eastAsia"/>
        </w:rPr>
        <w:instrText>Inspired Dual Controllable Drug Release Hydrogels for Wound Management:</w:instrText>
      </w:r>
      <w:r w:rsidR="002E4E97">
        <w:rPr>
          <w:rFonts w:eastAsiaTheme="minorEastAsia"/>
        </w:rPr>
        <w:instrText xml:space="preserve"> Driven by Hydrogen Bonds&lt;/title&gt;&lt;secondary-title&gt;Small&lt;/secondary-title&gt;&lt;/titles&gt;&lt;periodical&gt;&lt;full-title&gt;Small&lt;/full-title&gt;&lt;/periodical&gt;&lt;pages&gt;2401152&lt;/pages&gt;&lt;dates&gt;&lt;year&gt;2024&lt;/year&gt;&lt;/dates&gt;&lt;isbn&gt;1613-6810&lt;/isbn&gt;&lt;urls&gt;&lt;/urls&gt;&lt;/record&gt;&lt;/Cite&gt;&lt;/EndNote&gt;</w:instrText>
      </w:r>
      <w:r w:rsidR="002E4E97">
        <w:rPr>
          <w:rFonts w:eastAsiaTheme="minorEastAsia"/>
        </w:rPr>
        <w:fldChar w:fldCharType="separate"/>
      </w:r>
      <w:r w:rsidR="002E4E97" w:rsidRPr="002E4E97">
        <w:rPr>
          <w:rFonts w:eastAsiaTheme="minorEastAsia"/>
          <w:noProof/>
          <w:vertAlign w:val="superscript"/>
        </w:rPr>
        <w:t>3</w:t>
      </w:r>
      <w:r w:rsidR="002E4E97">
        <w:rPr>
          <w:rFonts w:eastAsiaTheme="minorEastAsia"/>
        </w:rPr>
        <w:fldChar w:fldCharType="end"/>
      </w:r>
      <w:r w:rsidRPr="00015489">
        <w:rPr>
          <w:rFonts w:eastAsiaTheme="minorEastAsia"/>
        </w:rPr>
        <w:t>. As can be seen from Fig. S1b, when the drug release time reaches 120</w:t>
      </w:r>
      <w:r>
        <w:rPr>
          <w:rFonts w:eastAsiaTheme="minorEastAsia" w:hint="eastAsia"/>
        </w:rPr>
        <w:t xml:space="preserve"> </w:t>
      </w:r>
      <w:r w:rsidRPr="00015489">
        <w:rPr>
          <w:rFonts w:eastAsiaTheme="minorEastAsia"/>
        </w:rPr>
        <w:t>h, there is a drug burst release phenomenon due to the dissolution of the hydrogel backbone, which is consistent with the results of our model fitting.</w:t>
      </w:r>
    </w:p>
    <w:p w14:paraId="7C8D0075" w14:textId="46CB5F0D" w:rsidR="000210BC" w:rsidRPr="000210BC" w:rsidRDefault="003C27D1" w:rsidP="000210BC">
      <w:pPr>
        <w:pStyle w:val="1"/>
        <w:spacing w:before="240" w:after="60" w:line="480" w:lineRule="auto"/>
        <w:rPr>
          <w:rFonts w:ascii="Arial" w:eastAsiaTheme="minorEastAsia" w:hAnsi="Arial" w:cs="Arial"/>
          <w:b/>
          <w:bCs/>
          <w:color w:val="000000" w:themeColor="text1"/>
          <w:sz w:val="32"/>
          <w:szCs w:val="32"/>
        </w:rPr>
      </w:pPr>
      <w:r w:rsidRPr="003C27D1">
        <w:rPr>
          <w:rFonts w:ascii="Arial" w:eastAsia="Arial" w:hAnsi="Arial" w:cs="Arial"/>
          <w:b/>
          <w:bCs/>
          <w:color w:val="000000" w:themeColor="text1"/>
          <w:sz w:val="32"/>
          <w:szCs w:val="32"/>
        </w:rPr>
        <w:lastRenderedPageBreak/>
        <w:t>Reference</w:t>
      </w:r>
    </w:p>
    <w:p w14:paraId="430243BB" w14:textId="77777777" w:rsidR="002E4E97" w:rsidRPr="002E4E97" w:rsidRDefault="000210BC" w:rsidP="002E4E97">
      <w:pPr>
        <w:pStyle w:val="EndNoteBibliography"/>
      </w:pPr>
      <w:r>
        <w:fldChar w:fldCharType="begin"/>
      </w:r>
      <w:r>
        <w:instrText xml:space="preserve"> ADDIN EN.REFLIST </w:instrText>
      </w:r>
      <w:r>
        <w:fldChar w:fldCharType="separate"/>
      </w:r>
      <w:r w:rsidR="002E4E97" w:rsidRPr="002E4E97">
        <w:t>1.</w:t>
      </w:r>
      <w:r w:rsidR="002E4E97" w:rsidRPr="002E4E97">
        <w:tab/>
        <w:t xml:space="preserve">Zhang L, Yang J, Ding C, et al. Application of polysaccharide-based crosslinking agents based on schiff base linkages for biomedical scaffolds. </w:t>
      </w:r>
      <w:r w:rsidR="002E4E97" w:rsidRPr="002E4E97">
        <w:rPr>
          <w:i/>
        </w:rPr>
        <w:t>Carbohydrate Polymers</w:t>
      </w:r>
      <w:r w:rsidR="002E4E97" w:rsidRPr="002E4E97">
        <w:t xml:space="preserve">. 2024:122585. </w:t>
      </w:r>
    </w:p>
    <w:p w14:paraId="65AA4480" w14:textId="77777777" w:rsidR="002E4E97" w:rsidRPr="002E4E97" w:rsidRDefault="002E4E97" w:rsidP="002E4E97">
      <w:pPr>
        <w:pStyle w:val="EndNoteBibliography"/>
      </w:pPr>
      <w:r w:rsidRPr="002E4E97">
        <w:t>2.</w:t>
      </w:r>
      <w:r w:rsidRPr="002E4E97">
        <w:tab/>
        <w:t xml:space="preserve">Sun Y, Zhang Y, Yu W, et al. Bio-inspired stretchable and self-healable nanocomposite gelatin hydrogel with low silica nanoparticle content and brilliant angle/strain-independent structural colors. </w:t>
      </w:r>
      <w:r w:rsidRPr="002E4E97">
        <w:rPr>
          <w:i/>
        </w:rPr>
        <w:t>Chemical Engineering Journal</w:t>
      </w:r>
      <w:r w:rsidRPr="002E4E97">
        <w:t xml:space="preserve">. 2024;496:154190. </w:t>
      </w:r>
    </w:p>
    <w:p w14:paraId="5D9DD3AB" w14:textId="77777777" w:rsidR="002E4E97" w:rsidRPr="002E4E97" w:rsidRDefault="002E4E97" w:rsidP="002E4E97">
      <w:pPr>
        <w:pStyle w:val="EndNoteBibliography"/>
      </w:pPr>
      <w:r w:rsidRPr="002E4E97">
        <w:t>3.</w:t>
      </w:r>
      <w:r w:rsidRPr="002E4E97">
        <w:tab/>
        <w:t>Wang Z, Liu J, Zheng Y, et al. Copper Ion</w:t>
      </w:r>
      <w:r w:rsidRPr="002E4E97">
        <w:rPr>
          <w:rFonts w:ascii="Cambria Math" w:hAnsi="Cambria Math" w:cs="Cambria Math"/>
        </w:rPr>
        <w:t>‐</w:t>
      </w:r>
      <w:r w:rsidRPr="002E4E97">
        <w:t xml:space="preserve">Inspired Dual Controllable Drug Release Hydrogels for Wound Management: Driven by Hydrogen Bonds. </w:t>
      </w:r>
      <w:r w:rsidRPr="002E4E97">
        <w:rPr>
          <w:i/>
        </w:rPr>
        <w:t>Small</w:t>
      </w:r>
      <w:r w:rsidRPr="002E4E97">
        <w:t xml:space="preserve">. 2024:2401152. </w:t>
      </w:r>
    </w:p>
    <w:p w14:paraId="1084E2FB" w14:textId="0DD2734C" w:rsidR="003C27D1" w:rsidRDefault="000210BC" w:rsidP="003C27D1">
      <w:pPr>
        <w:pStyle w:val="fig"/>
        <w:rPr>
          <w:rFonts w:eastAsiaTheme="minorEastAsia"/>
        </w:rPr>
      </w:pPr>
      <w:r>
        <w:rPr>
          <w:rFonts w:eastAsiaTheme="minorEastAsia"/>
        </w:rPr>
        <w:fldChar w:fldCharType="end"/>
      </w:r>
    </w:p>
    <w:sectPr w:rsidR="003C27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4C469" w14:textId="77777777" w:rsidR="00B86B87" w:rsidRDefault="00B86B87" w:rsidP="00DC6AD8">
      <w:r>
        <w:separator/>
      </w:r>
    </w:p>
  </w:endnote>
  <w:endnote w:type="continuationSeparator" w:id="0">
    <w:p w14:paraId="110DBC5D" w14:textId="77777777" w:rsidR="00B86B87" w:rsidRDefault="00B86B87" w:rsidP="00DC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4856906"/>
      <w:docPartObj>
        <w:docPartGallery w:val="Page Numbers (Bottom of Page)"/>
        <w:docPartUnique/>
      </w:docPartObj>
    </w:sdtPr>
    <w:sdtContent>
      <w:p w14:paraId="39F78B47" w14:textId="2101CD99" w:rsidR="002432DC" w:rsidRDefault="002432DC" w:rsidP="002432DC">
        <w:pPr>
          <w:pStyle w:val="af0"/>
          <w:jc w:val="center"/>
        </w:pPr>
        <w:r>
          <w:fldChar w:fldCharType="begin"/>
        </w:r>
        <w:r>
          <w:instrText>PAGE   \* MERGEFORMAT</w:instrText>
        </w:r>
        <w:r>
          <w:fldChar w:fldCharType="separate"/>
        </w:r>
        <w:r w:rsidRPr="00E503CE">
          <w:rPr>
            <w:noProof/>
            <w:lang w:val="zh-CN"/>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F1ACE" w14:textId="77777777" w:rsidR="00B86B87" w:rsidRDefault="00B86B87" w:rsidP="00DC6AD8">
      <w:r>
        <w:separator/>
      </w:r>
    </w:p>
  </w:footnote>
  <w:footnote w:type="continuationSeparator" w:id="0">
    <w:p w14:paraId="0B63506A" w14:textId="77777777" w:rsidR="00B86B87" w:rsidRDefault="00B86B87" w:rsidP="00DC6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  复制&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2t22wsrzef2kevdp8pprfvss02rtfesdwr&quot;&gt;My EndNote Library&lt;record-ids&gt;&lt;item&gt;256&lt;/item&gt;&lt;item&gt;257&lt;/item&gt;&lt;item&gt;258&lt;/item&gt;&lt;/record-ids&gt;&lt;/item&gt;&lt;/Libraries&gt;"/>
  </w:docVars>
  <w:rsids>
    <w:rsidRoot w:val="008A66FD"/>
    <w:rsid w:val="00015489"/>
    <w:rsid w:val="000210BC"/>
    <w:rsid w:val="00053F6D"/>
    <w:rsid w:val="0014521F"/>
    <w:rsid w:val="002373BB"/>
    <w:rsid w:val="002432DC"/>
    <w:rsid w:val="00253A87"/>
    <w:rsid w:val="002E4E97"/>
    <w:rsid w:val="002E50C2"/>
    <w:rsid w:val="00345D8E"/>
    <w:rsid w:val="003C27D1"/>
    <w:rsid w:val="00411688"/>
    <w:rsid w:val="00446578"/>
    <w:rsid w:val="00511BAF"/>
    <w:rsid w:val="0056247B"/>
    <w:rsid w:val="005D4638"/>
    <w:rsid w:val="005F5F81"/>
    <w:rsid w:val="006D091A"/>
    <w:rsid w:val="0072495C"/>
    <w:rsid w:val="0075502D"/>
    <w:rsid w:val="007D7A81"/>
    <w:rsid w:val="007F0D03"/>
    <w:rsid w:val="00817304"/>
    <w:rsid w:val="008316B3"/>
    <w:rsid w:val="00896B0E"/>
    <w:rsid w:val="008A560A"/>
    <w:rsid w:val="008A66FD"/>
    <w:rsid w:val="008C383A"/>
    <w:rsid w:val="00907F0D"/>
    <w:rsid w:val="00924173"/>
    <w:rsid w:val="00946915"/>
    <w:rsid w:val="00980C61"/>
    <w:rsid w:val="009D2156"/>
    <w:rsid w:val="00A546FA"/>
    <w:rsid w:val="00A763E4"/>
    <w:rsid w:val="00AE4FF0"/>
    <w:rsid w:val="00B86B87"/>
    <w:rsid w:val="00BD12B7"/>
    <w:rsid w:val="00C81B0F"/>
    <w:rsid w:val="00D016D9"/>
    <w:rsid w:val="00D51AAA"/>
    <w:rsid w:val="00DC371A"/>
    <w:rsid w:val="00DC6AD8"/>
    <w:rsid w:val="00F91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7B1A2"/>
  <w15:chartTrackingRefBased/>
  <w15:docId w15:val="{77DABCAF-89A9-4286-9648-5D4D21CA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A66FD"/>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8A66FD"/>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8A66FD"/>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8A66FD"/>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8A66FD"/>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8A66FD"/>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8A66F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66F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A66F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A66FD"/>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8A66FD"/>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8A66FD"/>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8A66FD"/>
    <w:rPr>
      <w:rFonts w:cstheme="majorBidi"/>
      <w:color w:val="365F91" w:themeColor="accent1" w:themeShade="BF"/>
      <w:sz w:val="28"/>
      <w:szCs w:val="28"/>
    </w:rPr>
  </w:style>
  <w:style w:type="character" w:customStyle="1" w:styleId="50">
    <w:name w:val="标题 5 字符"/>
    <w:basedOn w:val="a0"/>
    <w:link w:val="5"/>
    <w:uiPriority w:val="9"/>
    <w:semiHidden/>
    <w:rsid w:val="008A66FD"/>
    <w:rPr>
      <w:rFonts w:cstheme="majorBidi"/>
      <w:color w:val="365F91" w:themeColor="accent1" w:themeShade="BF"/>
      <w:sz w:val="24"/>
      <w:szCs w:val="24"/>
    </w:rPr>
  </w:style>
  <w:style w:type="character" w:customStyle="1" w:styleId="60">
    <w:name w:val="标题 6 字符"/>
    <w:basedOn w:val="a0"/>
    <w:link w:val="6"/>
    <w:uiPriority w:val="9"/>
    <w:semiHidden/>
    <w:rsid w:val="008A66FD"/>
    <w:rPr>
      <w:rFonts w:cstheme="majorBidi"/>
      <w:b/>
      <w:bCs/>
      <w:color w:val="365F91" w:themeColor="accent1" w:themeShade="BF"/>
    </w:rPr>
  </w:style>
  <w:style w:type="character" w:customStyle="1" w:styleId="70">
    <w:name w:val="标题 7 字符"/>
    <w:basedOn w:val="a0"/>
    <w:link w:val="7"/>
    <w:uiPriority w:val="9"/>
    <w:semiHidden/>
    <w:rsid w:val="008A66FD"/>
    <w:rPr>
      <w:rFonts w:cstheme="majorBidi"/>
      <w:b/>
      <w:bCs/>
      <w:color w:val="595959" w:themeColor="text1" w:themeTint="A6"/>
    </w:rPr>
  </w:style>
  <w:style w:type="character" w:customStyle="1" w:styleId="80">
    <w:name w:val="标题 8 字符"/>
    <w:basedOn w:val="a0"/>
    <w:link w:val="8"/>
    <w:uiPriority w:val="9"/>
    <w:semiHidden/>
    <w:rsid w:val="008A66FD"/>
    <w:rPr>
      <w:rFonts w:cstheme="majorBidi"/>
      <w:color w:val="595959" w:themeColor="text1" w:themeTint="A6"/>
    </w:rPr>
  </w:style>
  <w:style w:type="character" w:customStyle="1" w:styleId="90">
    <w:name w:val="标题 9 字符"/>
    <w:basedOn w:val="a0"/>
    <w:link w:val="9"/>
    <w:uiPriority w:val="9"/>
    <w:semiHidden/>
    <w:rsid w:val="008A66FD"/>
    <w:rPr>
      <w:rFonts w:eastAsiaTheme="majorEastAsia" w:cstheme="majorBidi"/>
      <w:color w:val="595959" w:themeColor="text1" w:themeTint="A6"/>
    </w:rPr>
  </w:style>
  <w:style w:type="paragraph" w:styleId="a3">
    <w:name w:val="Title"/>
    <w:basedOn w:val="a"/>
    <w:next w:val="a"/>
    <w:link w:val="a4"/>
    <w:uiPriority w:val="10"/>
    <w:qFormat/>
    <w:rsid w:val="008A66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66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6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66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6FD"/>
    <w:pPr>
      <w:spacing w:before="160" w:after="160"/>
      <w:jc w:val="center"/>
    </w:pPr>
    <w:rPr>
      <w:i/>
      <w:iCs/>
      <w:color w:val="404040" w:themeColor="text1" w:themeTint="BF"/>
    </w:rPr>
  </w:style>
  <w:style w:type="character" w:customStyle="1" w:styleId="a8">
    <w:name w:val="引用 字符"/>
    <w:basedOn w:val="a0"/>
    <w:link w:val="a7"/>
    <w:uiPriority w:val="29"/>
    <w:rsid w:val="008A66FD"/>
    <w:rPr>
      <w:i/>
      <w:iCs/>
      <w:color w:val="404040" w:themeColor="text1" w:themeTint="BF"/>
    </w:rPr>
  </w:style>
  <w:style w:type="paragraph" w:styleId="a9">
    <w:name w:val="List Paragraph"/>
    <w:basedOn w:val="a"/>
    <w:uiPriority w:val="34"/>
    <w:qFormat/>
    <w:rsid w:val="008A66FD"/>
    <w:pPr>
      <w:ind w:left="720"/>
      <w:contextualSpacing/>
    </w:pPr>
  </w:style>
  <w:style w:type="character" w:styleId="aa">
    <w:name w:val="Intense Emphasis"/>
    <w:basedOn w:val="a0"/>
    <w:uiPriority w:val="21"/>
    <w:qFormat/>
    <w:rsid w:val="008A66FD"/>
    <w:rPr>
      <w:i/>
      <w:iCs/>
      <w:color w:val="365F91" w:themeColor="accent1" w:themeShade="BF"/>
    </w:rPr>
  </w:style>
  <w:style w:type="paragraph" w:styleId="ab">
    <w:name w:val="Intense Quote"/>
    <w:basedOn w:val="a"/>
    <w:next w:val="a"/>
    <w:link w:val="ac"/>
    <w:uiPriority w:val="30"/>
    <w:qFormat/>
    <w:rsid w:val="008A66F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8A66FD"/>
    <w:rPr>
      <w:i/>
      <w:iCs/>
      <w:color w:val="365F91" w:themeColor="accent1" w:themeShade="BF"/>
    </w:rPr>
  </w:style>
  <w:style w:type="character" w:styleId="ad">
    <w:name w:val="Intense Reference"/>
    <w:basedOn w:val="a0"/>
    <w:uiPriority w:val="32"/>
    <w:qFormat/>
    <w:rsid w:val="008A66FD"/>
    <w:rPr>
      <w:b/>
      <w:bCs/>
      <w:smallCaps/>
      <w:color w:val="365F91" w:themeColor="accent1" w:themeShade="BF"/>
      <w:spacing w:val="5"/>
    </w:rPr>
  </w:style>
  <w:style w:type="paragraph" w:styleId="ae">
    <w:name w:val="header"/>
    <w:basedOn w:val="a"/>
    <w:link w:val="af"/>
    <w:uiPriority w:val="99"/>
    <w:unhideWhenUsed/>
    <w:rsid w:val="00DC6AD8"/>
    <w:pPr>
      <w:tabs>
        <w:tab w:val="center" w:pos="4153"/>
        <w:tab w:val="right" w:pos="8306"/>
      </w:tabs>
      <w:snapToGrid w:val="0"/>
      <w:jc w:val="center"/>
    </w:pPr>
    <w:rPr>
      <w:sz w:val="18"/>
      <w:szCs w:val="18"/>
    </w:rPr>
  </w:style>
  <w:style w:type="character" w:customStyle="1" w:styleId="af">
    <w:name w:val="页眉 字符"/>
    <w:basedOn w:val="a0"/>
    <w:link w:val="ae"/>
    <w:uiPriority w:val="99"/>
    <w:rsid w:val="00DC6AD8"/>
    <w:rPr>
      <w:sz w:val="18"/>
      <w:szCs w:val="18"/>
    </w:rPr>
  </w:style>
  <w:style w:type="paragraph" w:styleId="af0">
    <w:name w:val="footer"/>
    <w:basedOn w:val="a"/>
    <w:link w:val="af1"/>
    <w:uiPriority w:val="99"/>
    <w:unhideWhenUsed/>
    <w:qFormat/>
    <w:rsid w:val="00DC6AD8"/>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DC6AD8"/>
    <w:rPr>
      <w:sz w:val="18"/>
      <w:szCs w:val="18"/>
    </w:rPr>
  </w:style>
  <w:style w:type="paragraph" w:customStyle="1" w:styleId="fig">
    <w:name w:val="fig"/>
    <w:basedOn w:val="a"/>
    <w:link w:val="fig0"/>
    <w:autoRedefine/>
    <w:rsid w:val="003C27D1"/>
    <w:pPr>
      <w:spacing w:line="480" w:lineRule="auto"/>
      <w:ind w:firstLineChars="200" w:firstLine="400"/>
    </w:pPr>
    <w:rPr>
      <w:rFonts w:ascii="Arial" w:eastAsia="Arial" w:hAnsi="Arial" w:cs="Arial"/>
      <w:color w:val="000000" w:themeColor="text1"/>
      <w:sz w:val="20"/>
      <w:szCs w:val="20"/>
    </w:rPr>
  </w:style>
  <w:style w:type="character" w:customStyle="1" w:styleId="fig0">
    <w:name w:val="fig 字符"/>
    <w:basedOn w:val="a0"/>
    <w:link w:val="fig"/>
    <w:rsid w:val="003C27D1"/>
    <w:rPr>
      <w:rFonts w:ascii="Arial" w:eastAsia="Arial" w:hAnsi="Arial" w:cs="Arial"/>
      <w:color w:val="000000" w:themeColor="text1"/>
      <w:sz w:val="20"/>
      <w:szCs w:val="20"/>
    </w:rPr>
  </w:style>
  <w:style w:type="character" w:styleId="af2">
    <w:name w:val="Hyperlink"/>
    <w:basedOn w:val="a0"/>
    <w:uiPriority w:val="99"/>
    <w:unhideWhenUsed/>
    <w:rsid w:val="002432DC"/>
    <w:rPr>
      <w:color w:val="0000FF" w:themeColor="hyperlink"/>
      <w:u w:val="single"/>
    </w:rPr>
  </w:style>
  <w:style w:type="paragraph" w:customStyle="1" w:styleId="af3">
    <w:name w:val="正文样式"/>
    <w:basedOn w:val="a"/>
    <w:link w:val="af4"/>
    <w:qFormat/>
    <w:rsid w:val="002432DC"/>
    <w:pPr>
      <w:spacing w:line="480" w:lineRule="auto"/>
      <w:ind w:firstLineChars="200" w:firstLine="200"/>
    </w:pPr>
    <w:rPr>
      <w:rFonts w:ascii="Arial" w:eastAsia="Arial" w:hAnsi="Arial" w:cs="Arial"/>
      <w:color w:val="000000" w:themeColor="text1"/>
      <w:sz w:val="20"/>
      <w:szCs w:val="20"/>
    </w:rPr>
  </w:style>
  <w:style w:type="character" w:customStyle="1" w:styleId="af4">
    <w:name w:val="正文样式 字符"/>
    <w:basedOn w:val="a0"/>
    <w:link w:val="af3"/>
    <w:rsid w:val="002432DC"/>
    <w:rPr>
      <w:rFonts w:ascii="Arial" w:eastAsia="Arial" w:hAnsi="Arial" w:cs="Arial"/>
      <w:color w:val="000000" w:themeColor="text1"/>
      <w:sz w:val="20"/>
      <w:szCs w:val="20"/>
    </w:rPr>
  </w:style>
  <w:style w:type="character" w:styleId="af5">
    <w:name w:val="line number"/>
    <w:basedOn w:val="a0"/>
    <w:uiPriority w:val="99"/>
    <w:semiHidden/>
    <w:unhideWhenUsed/>
    <w:rsid w:val="002432DC"/>
  </w:style>
  <w:style w:type="paragraph" w:customStyle="1" w:styleId="EndNoteBibliographyTitle">
    <w:name w:val="EndNote Bibliography Title"/>
    <w:basedOn w:val="a"/>
    <w:link w:val="EndNoteBibliographyTitle0"/>
    <w:rsid w:val="000210BC"/>
    <w:pPr>
      <w:jc w:val="center"/>
    </w:pPr>
    <w:rPr>
      <w:rFonts w:ascii="Arial" w:hAnsi="Arial" w:cs="Arial"/>
      <w:noProof/>
      <w:sz w:val="20"/>
    </w:rPr>
  </w:style>
  <w:style w:type="character" w:customStyle="1" w:styleId="EndNoteBibliographyTitle0">
    <w:name w:val="EndNote Bibliography Title 字符"/>
    <w:basedOn w:val="fig0"/>
    <w:link w:val="EndNoteBibliographyTitle"/>
    <w:rsid w:val="000210BC"/>
    <w:rPr>
      <w:rFonts w:ascii="Arial" w:eastAsia="Arial" w:hAnsi="Arial" w:cs="Arial"/>
      <w:noProof/>
      <w:color w:val="000000" w:themeColor="text1"/>
      <w:sz w:val="20"/>
      <w:szCs w:val="20"/>
    </w:rPr>
  </w:style>
  <w:style w:type="paragraph" w:customStyle="1" w:styleId="EndNoteBibliography">
    <w:name w:val="EndNote Bibliography"/>
    <w:basedOn w:val="a"/>
    <w:link w:val="EndNoteBibliography0"/>
    <w:rsid w:val="000210BC"/>
    <w:rPr>
      <w:rFonts w:ascii="Arial" w:hAnsi="Arial" w:cs="Arial"/>
      <w:noProof/>
      <w:sz w:val="20"/>
    </w:rPr>
  </w:style>
  <w:style w:type="character" w:customStyle="1" w:styleId="EndNoteBibliography0">
    <w:name w:val="EndNote Bibliography 字符"/>
    <w:basedOn w:val="fig0"/>
    <w:link w:val="EndNoteBibliography"/>
    <w:rsid w:val="000210BC"/>
    <w:rPr>
      <w:rFonts w:ascii="Arial" w:eastAsia="Arial" w:hAnsi="Arial" w:cs="Arial"/>
      <w:noProof/>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C4796-A337-4C8C-B9F7-78C92739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6087</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 XXXX</dc:creator>
  <cp:keywords/>
  <dc:description/>
  <cp:lastModifiedBy>XXXXXX XXXX</cp:lastModifiedBy>
  <cp:revision>2</cp:revision>
  <dcterms:created xsi:type="dcterms:W3CDTF">2024-09-20T09:50:00Z</dcterms:created>
  <dcterms:modified xsi:type="dcterms:W3CDTF">2024-09-20T09:50:00Z</dcterms:modified>
</cp:coreProperties>
</file>