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84CC9" w14:textId="1A4111DC" w:rsidR="000325CC" w:rsidRPr="00DE3D31" w:rsidRDefault="004C6E99">
      <w:pPr>
        <w:rPr>
          <w:color w:val="000000"/>
        </w:rPr>
      </w:pPr>
      <w:r w:rsidRPr="00DE3D31">
        <w:rPr>
          <w:color w:val="000000"/>
        </w:rPr>
        <w:t>Supplementary</w:t>
      </w:r>
      <w:r w:rsidR="00524EE7">
        <w:rPr>
          <w:color w:val="000000"/>
        </w:rPr>
        <w:t xml:space="preserve"> </w:t>
      </w:r>
      <w:r w:rsidRPr="00DE3D31">
        <w:rPr>
          <w:color w:val="000000"/>
        </w:rPr>
        <w:t>Table S</w:t>
      </w:r>
      <w:r w:rsidRPr="00DE3D31">
        <w:rPr>
          <w:rFonts w:hint="eastAsia"/>
          <w:color w:val="000000"/>
        </w:rPr>
        <w:t>1. Characteristics of GWAS enrolled in the MR study.</w:t>
      </w:r>
    </w:p>
    <w:tbl>
      <w:tblPr>
        <w:tblStyle w:val="TableGrid"/>
        <w:tblW w:w="8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1757"/>
        <w:gridCol w:w="1460"/>
        <w:gridCol w:w="2399"/>
        <w:gridCol w:w="1782"/>
      </w:tblGrid>
      <w:tr w:rsidR="000325CC" w:rsidRPr="00DE3D31" w14:paraId="795EBA75" w14:textId="77777777"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695D5" w14:textId="77777777" w:rsidR="000325CC" w:rsidRPr="00DE3D31" w:rsidRDefault="004C6E99">
            <w:pPr>
              <w:jc w:val="center"/>
              <w:rPr>
                <w:rFonts w:cstheme="minorHAnsi"/>
                <w:b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/>
                <w:b/>
                <w:color w:val="000000"/>
                <w:kern w:val="0"/>
                <w:sz w:val="20"/>
                <w:szCs w:val="20"/>
              </w:rPr>
              <w:t>Items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EEBE9" w14:textId="77777777" w:rsidR="000325CC" w:rsidRPr="00DE3D31" w:rsidRDefault="004C6E99">
            <w:pPr>
              <w:jc w:val="center"/>
              <w:rPr>
                <w:rFonts w:cstheme="minorHAnsi"/>
                <w:b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/>
                <w:b/>
                <w:color w:val="000000"/>
                <w:kern w:val="0"/>
                <w:sz w:val="20"/>
                <w:szCs w:val="20"/>
              </w:rPr>
              <w:t>Consortium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D3A31" w14:textId="77777777" w:rsidR="000325CC" w:rsidRPr="00DE3D31" w:rsidRDefault="004C6E99">
            <w:pPr>
              <w:jc w:val="center"/>
              <w:rPr>
                <w:rFonts w:cstheme="minorHAnsi"/>
                <w:b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/>
                <w:b/>
                <w:color w:val="000000"/>
                <w:kern w:val="0"/>
                <w:sz w:val="20"/>
                <w:szCs w:val="20"/>
              </w:rPr>
              <w:t>Sample size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E1688" w14:textId="77777777" w:rsidR="000325CC" w:rsidRPr="00DE3D31" w:rsidRDefault="004C6E99">
            <w:pPr>
              <w:jc w:val="center"/>
              <w:rPr>
                <w:rFonts w:cstheme="minorHAnsi"/>
                <w:b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/>
                <w:b/>
                <w:color w:val="000000"/>
                <w:kern w:val="0"/>
                <w:sz w:val="20"/>
                <w:szCs w:val="20"/>
              </w:rPr>
              <w:t>No. of enrolled SNPs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34A1B" w14:textId="77777777" w:rsidR="000325CC" w:rsidRPr="00DE3D31" w:rsidRDefault="004C6E99">
            <w:pPr>
              <w:jc w:val="center"/>
              <w:rPr>
                <w:rFonts w:cstheme="minorHAnsi"/>
                <w:b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/>
                <w:b/>
                <w:color w:val="000000"/>
                <w:kern w:val="0"/>
                <w:sz w:val="20"/>
                <w:szCs w:val="20"/>
              </w:rPr>
              <w:t>Population</w:t>
            </w:r>
          </w:p>
        </w:tc>
      </w:tr>
      <w:tr w:rsidR="000325CC" w:rsidRPr="00DE3D31" w14:paraId="5513CEF1" w14:textId="77777777">
        <w:tc>
          <w:tcPr>
            <w:tcW w:w="1349" w:type="dxa"/>
            <w:tcBorders>
              <w:top w:val="single" w:sz="4" w:space="0" w:color="auto"/>
            </w:tcBorders>
          </w:tcPr>
          <w:p w14:paraId="422413BD" w14:textId="77777777" w:rsidR="000325CC" w:rsidRPr="00DE3D31" w:rsidRDefault="004C6E99">
            <w:pPr>
              <w:jc w:val="center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eastAsia="微软雅黑 Light" w:cstheme="minorHAnsi"/>
                <w:color w:val="000000"/>
                <w:kern w:val="0"/>
                <w:sz w:val="20"/>
                <w:szCs w:val="21"/>
              </w:rPr>
              <w:t>25</w:t>
            </w:r>
            <w:r w:rsidRPr="00DE3D31">
              <w:rPr>
                <w:rFonts w:eastAsia="微软雅黑 Light" w:cstheme="minorHAnsi" w:hint="eastAsia"/>
                <w:color w:val="000000"/>
                <w:kern w:val="0"/>
                <w:sz w:val="20"/>
                <w:szCs w:val="21"/>
              </w:rPr>
              <w:t>(OH)</w:t>
            </w:r>
            <w:r w:rsidRPr="00DE3D31">
              <w:rPr>
                <w:rFonts w:eastAsia="微软雅黑 Light" w:cstheme="minorHAnsi"/>
                <w:color w:val="000000"/>
                <w:kern w:val="0"/>
                <w:sz w:val="20"/>
                <w:szCs w:val="21"/>
              </w:rPr>
              <w:t>D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7D160F99" w14:textId="77777777" w:rsidR="000325CC" w:rsidRPr="00DE3D31" w:rsidRDefault="004C6E99">
            <w:pPr>
              <w:jc w:val="center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 w:hint="eastAsia"/>
                <w:color w:val="000000"/>
                <w:kern w:val="0"/>
                <w:sz w:val="20"/>
                <w:szCs w:val="20"/>
              </w:rPr>
              <w:t>UK Biobank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52616DE5" w14:textId="77777777" w:rsidR="000325CC" w:rsidRPr="00DE3D31" w:rsidRDefault="004C6E99">
            <w:pPr>
              <w:jc w:val="center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eastAsia="Microsoft YaHei" w:cstheme="minorHAnsi"/>
                <w:color w:val="000000"/>
                <w:kern w:val="0"/>
                <w:sz w:val="20"/>
                <w:szCs w:val="21"/>
              </w:rPr>
              <w:t>441291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7EC1DA35" w14:textId="77777777" w:rsidR="000325CC" w:rsidRPr="00DE3D31" w:rsidRDefault="004C6E99">
            <w:pPr>
              <w:jc w:val="center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/>
                <w:color w:val="000000"/>
                <w:kern w:val="0"/>
                <w:sz w:val="20"/>
                <w:szCs w:val="20"/>
              </w:rPr>
              <w:t>16668957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14:paraId="6DDD124C" w14:textId="77777777" w:rsidR="000325CC" w:rsidRPr="00DE3D31" w:rsidRDefault="004C6E99">
            <w:pPr>
              <w:jc w:val="center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/>
                <w:color w:val="000000"/>
                <w:kern w:val="0"/>
                <w:sz w:val="20"/>
                <w:szCs w:val="20"/>
              </w:rPr>
              <w:t>Europeans</w:t>
            </w:r>
          </w:p>
        </w:tc>
      </w:tr>
      <w:tr w:rsidR="000325CC" w:rsidRPr="00DE3D31" w14:paraId="32ADA4FA" w14:textId="77777777">
        <w:tc>
          <w:tcPr>
            <w:tcW w:w="1349" w:type="dxa"/>
            <w:tcBorders>
              <w:bottom w:val="single" w:sz="4" w:space="0" w:color="auto"/>
            </w:tcBorders>
          </w:tcPr>
          <w:p w14:paraId="73F6CB97" w14:textId="77777777" w:rsidR="000325CC" w:rsidRPr="00DE3D31" w:rsidRDefault="004C6E99">
            <w:pPr>
              <w:jc w:val="center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/>
                <w:color w:val="000000"/>
                <w:kern w:val="0"/>
                <w:sz w:val="20"/>
                <w:szCs w:val="20"/>
              </w:rPr>
              <w:t>Anemia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DED4A1A" w14:textId="77777777" w:rsidR="000325CC" w:rsidRPr="00DE3D31" w:rsidRDefault="004C6E99">
            <w:pPr>
              <w:jc w:val="center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DE3D31">
              <w:rPr>
                <w:rFonts w:cstheme="minorHAnsi"/>
                <w:color w:val="000000"/>
                <w:kern w:val="0"/>
                <w:sz w:val="20"/>
                <w:szCs w:val="20"/>
              </w:rPr>
              <w:t>FinnGen</w:t>
            </w:r>
            <w:proofErr w:type="spellEnd"/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7340B729" w14:textId="77777777" w:rsidR="000325CC" w:rsidRPr="00DE3D31" w:rsidRDefault="004C6E99">
            <w:pPr>
              <w:jc w:val="center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/>
                <w:color w:val="000000"/>
                <w:kern w:val="0"/>
                <w:sz w:val="20"/>
                <w:szCs w:val="20"/>
              </w:rPr>
              <w:t>115907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14BF996E" w14:textId="77777777" w:rsidR="000325CC" w:rsidRPr="00DE3D31" w:rsidRDefault="004C6E99">
            <w:pPr>
              <w:jc w:val="center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/>
                <w:color w:val="000000"/>
                <w:kern w:val="0"/>
                <w:sz w:val="20"/>
                <w:szCs w:val="20"/>
              </w:rPr>
              <w:t>20134748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156DDC6B" w14:textId="77777777" w:rsidR="000325CC" w:rsidRPr="00DE3D31" w:rsidRDefault="004C6E99">
            <w:pPr>
              <w:jc w:val="center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cstheme="minorHAnsi"/>
                <w:color w:val="000000"/>
                <w:kern w:val="0"/>
                <w:sz w:val="20"/>
                <w:szCs w:val="20"/>
              </w:rPr>
              <w:t>Europeans</w:t>
            </w:r>
          </w:p>
        </w:tc>
      </w:tr>
    </w:tbl>
    <w:p w14:paraId="4A9ED5D3" w14:textId="77777777" w:rsidR="000325CC" w:rsidRPr="00DE3D31" w:rsidRDefault="004C6E99">
      <w:pPr>
        <w:rPr>
          <w:color w:val="000000"/>
        </w:rPr>
      </w:pPr>
      <w:r w:rsidRPr="00DE3D31">
        <w:rPr>
          <w:rFonts w:hint="eastAsia"/>
          <w:color w:val="000000"/>
        </w:rPr>
        <w:t xml:space="preserve">GWAS: </w:t>
      </w:r>
      <w:r w:rsidRPr="00DE3D31">
        <w:rPr>
          <w:color w:val="000000"/>
        </w:rPr>
        <w:t>Genome-wide association study</w:t>
      </w:r>
      <w:r w:rsidRPr="00DE3D31">
        <w:rPr>
          <w:rFonts w:hint="eastAsia"/>
          <w:color w:val="000000"/>
        </w:rPr>
        <w:t xml:space="preserve">; </w:t>
      </w:r>
      <w:r w:rsidRPr="00DE3D31">
        <w:rPr>
          <w:color w:val="000000"/>
        </w:rPr>
        <w:t>MR</w:t>
      </w:r>
      <w:r w:rsidRPr="00DE3D31">
        <w:rPr>
          <w:rFonts w:hint="eastAsia"/>
          <w:color w:val="000000"/>
        </w:rPr>
        <w:t>:</w:t>
      </w:r>
      <w:r w:rsidRPr="00DE3D31">
        <w:rPr>
          <w:color w:val="000000"/>
        </w:rPr>
        <w:t xml:space="preserve"> Mendelian </w:t>
      </w:r>
      <w:proofErr w:type="spellStart"/>
      <w:proofErr w:type="gramStart"/>
      <w:r w:rsidRPr="00DE3D31">
        <w:rPr>
          <w:color w:val="000000"/>
        </w:rPr>
        <w:t>randomization;SNP</w:t>
      </w:r>
      <w:proofErr w:type="spellEnd"/>
      <w:proofErr w:type="gramEnd"/>
      <w:r w:rsidRPr="00DE3D31">
        <w:rPr>
          <w:rFonts w:hint="eastAsia"/>
          <w:color w:val="000000"/>
        </w:rPr>
        <w:t>:</w:t>
      </w:r>
      <w:r w:rsidRPr="00DE3D31">
        <w:rPr>
          <w:color w:val="000000"/>
        </w:rPr>
        <w:t xml:space="preserve"> single-nucleotide polymorphism</w:t>
      </w:r>
      <w:r w:rsidRPr="00DE3D31">
        <w:rPr>
          <w:rFonts w:hint="eastAsia"/>
          <w:color w:val="000000"/>
        </w:rPr>
        <w:t xml:space="preserve">; </w:t>
      </w:r>
      <w:r w:rsidRPr="00DE3D31">
        <w:rPr>
          <w:color w:val="000000"/>
        </w:rPr>
        <w:t>25</w:t>
      </w:r>
      <w:r w:rsidRPr="00DE3D31">
        <w:rPr>
          <w:rFonts w:hint="eastAsia"/>
          <w:color w:val="000000"/>
        </w:rPr>
        <w:t>(</w:t>
      </w:r>
      <w:r w:rsidRPr="00DE3D31">
        <w:rPr>
          <w:color w:val="000000"/>
        </w:rPr>
        <w:t>OH</w:t>
      </w:r>
      <w:r w:rsidRPr="00DE3D31">
        <w:rPr>
          <w:rFonts w:hint="eastAsia"/>
          <w:color w:val="000000"/>
        </w:rPr>
        <w:t>)D:</w:t>
      </w:r>
      <w:r w:rsidRPr="00DE3D31">
        <w:rPr>
          <w:color w:val="000000"/>
        </w:rPr>
        <w:t xml:space="preserve"> 25-</w:t>
      </w:r>
      <w:r w:rsidRPr="00DE3D31">
        <w:rPr>
          <w:rFonts w:hint="eastAsia"/>
          <w:color w:val="000000"/>
        </w:rPr>
        <w:t>H</w:t>
      </w:r>
      <w:r w:rsidRPr="00DE3D31">
        <w:rPr>
          <w:color w:val="000000"/>
        </w:rPr>
        <w:t>ydroxyvitamin D</w:t>
      </w:r>
      <w:r w:rsidRPr="00DE3D31">
        <w:rPr>
          <w:rFonts w:hint="eastAsia"/>
          <w:color w:val="000000"/>
        </w:rPr>
        <w:t xml:space="preserve">. </w:t>
      </w:r>
    </w:p>
    <w:p w14:paraId="4A7DD2AC" w14:textId="77777777" w:rsidR="000325CC" w:rsidRPr="00DE3D31" w:rsidRDefault="000325CC">
      <w:pPr>
        <w:widowControl/>
        <w:jc w:val="left"/>
        <w:rPr>
          <w:color w:val="000000"/>
        </w:rPr>
      </w:pPr>
    </w:p>
    <w:p w14:paraId="5807F436" w14:textId="77777777" w:rsidR="000325CC" w:rsidRPr="00DE3D31" w:rsidRDefault="000325CC">
      <w:pPr>
        <w:widowControl/>
        <w:jc w:val="left"/>
        <w:rPr>
          <w:rFonts w:ascii="Times New Roman" w:hAnsi="Times New Roman" w:cs="Times New Roman"/>
          <w:color w:val="000000"/>
        </w:rPr>
      </w:pPr>
    </w:p>
    <w:p w14:paraId="4430B2C1" w14:textId="04C697EC" w:rsidR="000325CC" w:rsidRPr="00DE3D31" w:rsidRDefault="004C6E99">
      <w:pPr>
        <w:widowControl/>
        <w:jc w:val="left"/>
        <w:rPr>
          <w:rFonts w:ascii="Times New Roman" w:hAnsi="Times New Roman" w:cs="Times New Roman"/>
          <w:color w:val="000000"/>
        </w:rPr>
      </w:pPr>
      <w:r w:rsidRPr="00DE3D31">
        <w:rPr>
          <w:color w:val="000000"/>
        </w:rPr>
        <w:t>Supplementary</w:t>
      </w:r>
      <w:r w:rsidR="00524EE7">
        <w:rPr>
          <w:color w:val="000000"/>
        </w:rPr>
        <w:t xml:space="preserve"> </w:t>
      </w:r>
      <w:r w:rsidRPr="00DE3D31">
        <w:rPr>
          <w:color w:val="000000"/>
        </w:rPr>
        <w:t>Table S</w:t>
      </w:r>
      <w:r w:rsidRPr="00DE3D31">
        <w:rPr>
          <w:rFonts w:hint="eastAsia"/>
          <w:color w:val="000000"/>
        </w:rPr>
        <w:t xml:space="preserve">2. </w:t>
      </w:r>
      <w:r w:rsidRPr="00DE3D31">
        <w:rPr>
          <w:color w:val="000000"/>
        </w:rPr>
        <w:t xml:space="preserve">MR results </w:t>
      </w:r>
      <w:r w:rsidRPr="00DE3D31">
        <w:rPr>
          <w:rFonts w:hint="eastAsia"/>
          <w:color w:val="000000"/>
        </w:rPr>
        <w:t xml:space="preserve">of </w:t>
      </w:r>
      <w:r w:rsidRPr="00DE3D31">
        <w:rPr>
          <w:color w:val="000000"/>
        </w:rPr>
        <w:t xml:space="preserve">25(OH)D </w:t>
      </w:r>
      <w:r w:rsidRPr="00DE3D31">
        <w:rPr>
          <w:rFonts w:hint="eastAsia"/>
          <w:color w:val="000000"/>
        </w:rPr>
        <w:t>on the risk of d</w:t>
      </w:r>
      <w:r w:rsidRPr="00DE3D31">
        <w:rPr>
          <w:color w:val="000000"/>
        </w:rPr>
        <w:t xml:space="preserve">ifferent </w:t>
      </w:r>
      <w:r w:rsidRPr="00DE3D31">
        <w:rPr>
          <w:rFonts w:hint="eastAsia"/>
          <w:color w:val="000000"/>
        </w:rPr>
        <w:t>t</w:t>
      </w:r>
      <w:r w:rsidRPr="00DE3D31">
        <w:rPr>
          <w:color w:val="000000"/>
        </w:rPr>
        <w:t xml:space="preserve">ypes of </w:t>
      </w:r>
      <w:r w:rsidRPr="00DE3D31">
        <w:rPr>
          <w:rFonts w:hint="eastAsia"/>
          <w:color w:val="000000"/>
        </w:rPr>
        <w:t xml:space="preserve">anemia. </w:t>
      </w:r>
    </w:p>
    <w:tbl>
      <w:tblPr>
        <w:tblStyle w:val="TableGrid"/>
        <w:tblW w:w="9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2956"/>
        <w:gridCol w:w="1367"/>
        <w:gridCol w:w="1276"/>
        <w:gridCol w:w="2041"/>
        <w:gridCol w:w="992"/>
      </w:tblGrid>
      <w:tr w:rsidR="000325CC" w:rsidRPr="00DE3D31" w14:paraId="0FC8F825" w14:textId="77777777">
        <w:trPr>
          <w:jc w:val="center"/>
        </w:trPr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1B46689D" w14:textId="77777777" w:rsidR="000325CC" w:rsidRPr="00DE3D31" w:rsidRDefault="004C6E99">
            <w:pPr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Exposure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772801FC" w14:textId="77777777" w:rsidR="000325CC" w:rsidRPr="00DE3D31" w:rsidRDefault="004C6E99">
            <w:pPr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Outcome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54E10E2B" w14:textId="77777777" w:rsidR="000325CC" w:rsidRPr="00DE3D31" w:rsidRDefault="004C6E99">
            <w:pPr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No. of SNPs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E95792" w14:textId="77777777" w:rsidR="000325CC" w:rsidRPr="00DE3D31" w:rsidRDefault="004C6E99">
            <w:pPr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Method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0AD14E9D" w14:textId="77777777" w:rsidR="000325CC" w:rsidRPr="00DE3D31" w:rsidRDefault="004C6E99">
            <w:pPr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DE3D31">
              <w:rPr>
                <w:b/>
                <w:color w:val="000000"/>
                <w:kern w:val="0"/>
                <w:sz w:val="20"/>
                <w:szCs w:val="20"/>
              </w:rPr>
              <w:t>OR</w:t>
            </w:r>
            <w:r w:rsidRPr="00DE3D31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 xml:space="preserve"> (</w:t>
            </w:r>
            <w:r w:rsidRPr="00DE3D31">
              <w:rPr>
                <w:b/>
                <w:color w:val="000000"/>
                <w:kern w:val="0"/>
                <w:sz w:val="20"/>
                <w:szCs w:val="20"/>
              </w:rPr>
              <w:t>95</w:t>
            </w:r>
            <w:r w:rsidRPr="00DE3D31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 xml:space="preserve">% </w:t>
            </w:r>
            <w:r w:rsidRPr="00DE3D31">
              <w:rPr>
                <w:b/>
                <w:color w:val="000000"/>
                <w:kern w:val="0"/>
                <w:sz w:val="20"/>
                <w:szCs w:val="20"/>
              </w:rPr>
              <w:t>CI</w:t>
            </w:r>
            <w:r w:rsidRPr="00DE3D31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C196F5" w14:textId="77777777" w:rsidR="000325CC" w:rsidRPr="00DE3D31" w:rsidRDefault="004C6E99">
            <w:pPr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DE3D31">
              <w:rPr>
                <w:b/>
                <w:i/>
                <w:color w:val="000000"/>
                <w:kern w:val="0"/>
                <w:sz w:val="20"/>
                <w:szCs w:val="20"/>
              </w:rPr>
              <w:t>P</w:t>
            </w:r>
            <w:r w:rsidRPr="00DE3D31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-</w:t>
            </w:r>
            <w:r w:rsidRPr="00DE3D31">
              <w:rPr>
                <w:b/>
                <w:color w:val="000000"/>
                <w:kern w:val="0"/>
                <w:sz w:val="20"/>
                <w:szCs w:val="20"/>
              </w:rPr>
              <w:t>value</w:t>
            </w:r>
          </w:p>
        </w:tc>
      </w:tr>
      <w:tr w:rsidR="000325CC" w:rsidRPr="00DE3D31" w14:paraId="60C1B1A0" w14:textId="77777777">
        <w:trPr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</w:tcBorders>
            <w:vAlign w:val="center"/>
          </w:tcPr>
          <w:p w14:paraId="2BE44D54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eastAsia="微软雅黑 Light" w:cstheme="minorHAnsi"/>
                <w:color w:val="000000"/>
                <w:kern w:val="0"/>
                <w:sz w:val="20"/>
                <w:szCs w:val="21"/>
              </w:rPr>
              <w:t>25</w:t>
            </w:r>
            <w:r w:rsidRPr="00DE3D31">
              <w:rPr>
                <w:rFonts w:eastAsia="微软雅黑 Light" w:cstheme="minorHAnsi" w:hint="eastAsia"/>
                <w:color w:val="000000"/>
                <w:kern w:val="0"/>
                <w:sz w:val="20"/>
                <w:szCs w:val="21"/>
              </w:rPr>
              <w:t>(OH)</w:t>
            </w:r>
            <w:r w:rsidRPr="00DE3D31">
              <w:rPr>
                <w:rFonts w:eastAsia="微软雅黑 Light" w:cstheme="minorHAnsi"/>
                <w:color w:val="000000"/>
                <w:kern w:val="0"/>
                <w:sz w:val="20"/>
                <w:szCs w:val="21"/>
              </w:rPr>
              <w:t>D</w:t>
            </w:r>
          </w:p>
        </w:tc>
        <w:tc>
          <w:tcPr>
            <w:tcW w:w="2956" w:type="dxa"/>
            <w:tcBorders>
              <w:top w:val="single" w:sz="4" w:space="0" w:color="auto"/>
            </w:tcBorders>
          </w:tcPr>
          <w:p w14:paraId="70775798" w14:textId="77777777" w:rsidR="000325CC" w:rsidRPr="00DE3D31" w:rsidRDefault="004C6E99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color w:val="000000"/>
                <w:kern w:val="0"/>
                <w:sz w:val="20"/>
                <w:szCs w:val="20"/>
              </w:rPr>
              <w:t>Nutritional anemia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2D685862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7136C50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5F2F0231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0.83 (0.72~0.95)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73F66E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0.006</w:t>
            </w:r>
          </w:p>
        </w:tc>
      </w:tr>
      <w:tr w:rsidR="000325CC" w:rsidRPr="00DE3D31" w14:paraId="2DD43198" w14:textId="77777777">
        <w:trPr>
          <w:jc w:val="center"/>
        </w:trPr>
        <w:tc>
          <w:tcPr>
            <w:tcW w:w="1235" w:type="dxa"/>
            <w:vMerge/>
          </w:tcPr>
          <w:p w14:paraId="01C834E6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6" w:type="dxa"/>
          </w:tcPr>
          <w:p w14:paraId="78A21300" w14:textId="77777777" w:rsidR="000325CC" w:rsidRPr="00DE3D31" w:rsidRDefault="004C6E99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color w:val="000000"/>
                <w:kern w:val="0"/>
                <w:sz w:val="20"/>
                <w:szCs w:val="20"/>
              </w:rPr>
              <w:t>Iron deficiency anemia</w:t>
            </w:r>
          </w:p>
        </w:tc>
        <w:tc>
          <w:tcPr>
            <w:tcW w:w="1367" w:type="dxa"/>
          </w:tcPr>
          <w:p w14:paraId="7CBFD0B9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vMerge/>
          </w:tcPr>
          <w:p w14:paraId="65B7455C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2ECD9E0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0.79 (0.68~0.92)</w:t>
            </w:r>
          </w:p>
        </w:tc>
        <w:tc>
          <w:tcPr>
            <w:tcW w:w="992" w:type="dxa"/>
          </w:tcPr>
          <w:p w14:paraId="136F3F18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0.003</w:t>
            </w:r>
          </w:p>
        </w:tc>
      </w:tr>
      <w:tr w:rsidR="000325CC" w:rsidRPr="00DE3D31" w14:paraId="13E3D7DE" w14:textId="77777777">
        <w:trPr>
          <w:jc w:val="center"/>
        </w:trPr>
        <w:tc>
          <w:tcPr>
            <w:tcW w:w="1235" w:type="dxa"/>
            <w:vMerge/>
          </w:tcPr>
          <w:p w14:paraId="407F5EB3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6" w:type="dxa"/>
          </w:tcPr>
          <w:p w14:paraId="7160C1A1" w14:textId="77777777" w:rsidR="000325CC" w:rsidRPr="00DE3D31" w:rsidRDefault="004C6E99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color w:val="000000"/>
                <w:kern w:val="0"/>
                <w:sz w:val="20"/>
                <w:szCs w:val="20"/>
              </w:rPr>
              <w:t>Vitamin B12 deficiency anemia</w:t>
            </w:r>
          </w:p>
        </w:tc>
        <w:tc>
          <w:tcPr>
            <w:tcW w:w="1367" w:type="dxa"/>
          </w:tcPr>
          <w:p w14:paraId="27F13E11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vMerge/>
          </w:tcPr>
          <w:p w14:paraId="6CE6E053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038BB4C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0.90 (0.68~1.20)</w:t>
            </w:r>
          </w:p>
        </w:tc>
        <w:tc>
          <w:tcPr>
            <w:tcW w:w="992" w:type="dxa"/>
          </w:tcPr>
          <w:p w14:paraId="4B764938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0.466</w:t>
            </w:r>
          </w:p>
        </w:tc>
      </w:tr>
      <w:tr w:rsidR="000325CC" w:rsidRPr="00DE3D31" w14:paraId="5041200A" w14:textId="77777777">
        <w:trPr>
          <w:jc w:val="center"/>
        </w:trPr>
        <w:tc>
          <w:tcPr>
            <w:tcW w:w="1235" w:type="dxa"/>
            <w:vMerge/>
          </w:tcPr>
          <w:p w14:paraId="26DD100E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9BDA99A" w14:textId="77777777" w:rsidR="000325CC" w:rsidRPr="00DE3D31" w:rsidRDefault="004C6E99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color w:val="000000"/>
                <w:kern w:val="0"/>
                <w:sz w:val="20"/>
                <w:szCs w:val="20"/>
              </w:rPr>
              <w:t>Acute hemorrhagic anemia</w:t>
            </w:r>
          </w:p>
        </w:tc>
        <w:tc>
          <w:tcPr>
            <w:tcW w:w="1367" w:type="dxa"/>
          </w:tcPr>
          <w:p w14:paraId="4C203B7B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vMerge/>
          </w:tcPr>
          <w:p w14:paraId="0B96C2EA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1C04DB2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0.98 (0.58~1.69)</w:t>
            </w:r>
          </w:p>
        </w:tc>
        <w:tc>
          <w:tcPr>
            <w:tcW w:w="992" w:type="dxa"/>
          </w:tcPr>
          <w:p w14:paraId="39717277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0.955</w:t>
            </w:r>
          </w:p>
        </w:tc>
      </w:tr>
      <w:tr w:rsidR="000325CC" w:rsidRPr="00DE3D31" w14:paraId="1F841E41" w14:textId="77777777">
        <w:trPr>
          <w:jc w:val="center"/>
        </w:trPr>
        <w:tc>
          <w:tcPr>
            <w:tcW w:w="1235" w:type="dxa"/>
            <w:vMerge/>
          </w:tcPr>
          <w:p w14:paraId="6D76ED2E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675FDD8" w14:textId="77777777" w:rsidR="000325CC" w:rsidRPr="00DE3D31" w:rsidRDefault="004C6E99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A</w:t>
            </w:r>
            <w:r w:rsidRPr="00DE3D31">
              <w:rPr>
                <w:color w:val="000000"/>
                <w:kern w:val="0"/>
                <w:sz w:val="20"/>
                <w:szCs w:val="20"/>
              </w:rPr>
              <w:t>nemia</w:t>
            </w: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in c</w:t>
            </w:r>
            <w:r w:rsidRPr="00DE3D31">
              <w:rPr>
                <w:color w:val="000000"/>
                <w:kern w:val="0"/>
                <w:sz w:val="20"/>
                <w:szCs w:val="20"/>
              </w:rPr>
              <w:t>hronic</w:t>
            </w: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disease</w:t>
            </w:r>
          </w:p>
        </w:tc>
        <w:tc>
          <w:tcPr>
            <w:tcW w:w="1367" w:type="dxa"/>
          </w:tcPr>
          <w:p w14:paraId="7797EBF5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vMerge/>
          </w:tcPr>
          <w:p w14:paraId="1A440174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DF884E6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0.66 (0.28~1.52)</w:t>
            </w:r>
          </w:p>
        </w:tc>
        <w:tc>
          <w:tcPr>
            <w:tcW w:w="992" w:type="dxa"/>
          </w:tcPr>
          <w:p w14:paraId="020F4985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0.327</w:t>
            </w:r>
          </w:p>
        </w:tc>
      </w:tr>
      <w:tr w:rsidR="000325CC" w:rsidRPr="00DE3D31" w14:paraId="09338C4F" w14:textId="77777777">
        <w:trPr>
          <w:jc w:val="center"/>
        </w:trPr>
        <w:tc>
          <w:tcPr>
            <w:tcW w:w="1235" w:type="dxa"/>
            <w:vMerge/>
          </w:tcPr>
          <w:p w14:paraId="2A895A2A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6" w:type="dxa"/>
          </w:tcPr>
          <w:p w14:paraId="7254D0BA" w14:textId="77777777" w:rsidR="000325CC" w:rsidRPr="00DE3D31" w:rsidRDefault="004C6E99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color w:val="000000"/>
                <w:kern w:val="0"/>
                <w:sz w:val="20"/>
                <w:szCs w:val="20"/>
              </w:rPr>
              <w:t>Aplastic anemia</w:t>
            </w:r>
          </w:p>
        </w:tc>
        <w:tc>
          <w:tcPr>
            <w:tcW w:w="1367" w:type="dxa"/>
          </w:tcPr>
          <w:p w14:paraId="3AD856BF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vMerge/>
          </w:tcPr>
          <w:p w14:paraId="1884BBE0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72835BA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0.89 (0.76~1.05)</w:t>
            </w:r>
          </w:p>
        </w:tc>
        <w:tc>
          <w:tcPr>
            <w:tcW w:w="992" w:type="dxa"/>
          </w:tcPr>
          <w:p w14:paraId="1CA1E0A3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0.156</w:t>
            </w:r>
          </w:p>
        </w:tc>
      </w:tr>
      <w:tr w:rsidR="000325CC" w:rsidRPr="00DE3D31" w14:paraId="23DE0E02" w14:textId="77777777">
        <w:trPr>
          <w:jc w:val="center"/>
        </w:trPr>
        <w:tc>
          <w:tcPr>
            <w:tcW w:w="1235" w:type="dxa"/>
            <w:vMerge/>
            <w:tcBorders>
              <w:bottom w:val="single" w:sz="4" w:space="0" w:color="auto"/>
            </w:tcBorders>
          </w:tcPr>
          <w:p w14:paraId="199A63EE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14:paraId="52F861E6" w14:textId="77777777" w:rsidR="000325CC" w:rsidRPr="00DE3D31" w:rsidRDefault="004C6E99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H</w:t>
            </w:r>
            <w:r w:rsidRPr="00DE3D31">
              <w:rPr>
                <w:color w:val="000000"/>
                <w:kern w:val="0"/>
                <w:sz w:val="20"/>
                <w:szCs w:val="20"/>
              </w:rPr>
              <w:t>emolytic anemia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1DD0967D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629FC65" w14:textId="77777777" w:rsidR="000325CC" w:rsidRPr="00DE3D31" w:rsidRDefault="000325CC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3C4975D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1.36 (0.73~2.56)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EFC178" w14:textId="77777777" w:rsidR="000325CC" w:rsidRPr="00DE3D31" w:rsidRDefault="004C6E9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E3D31">
              <w:rPr>
                <w:rFonts w:hint="eastAsia"/>
                <w:color w:val="000000"/>
                <w:kern w:val="0"/>
                <w:sz w:val="20"/>
                <w:szCs w:val="20"/>
              </w:rPr>
              <w:t>0.333</w:t>
            </w:r>
          </w:p>
        </w:tc>
      </w:tr>
    </w:tbl>
    <w:p w14:paraId="18CC2E68" w14:textId="77777777" w:rsidR="000325CC" w:rsidRPr="00DE3D31" w:rsidRDefault="004C6E99">
      <w:pPr>
        <w:rPr>
          <w:color w:val="000000"/>
        </w:rPr>
      </w:pPr>
      <w:r w:rsidRPr="00DE3D31">
        <w:rPr>
          <w:color w:val="000000"/>
        </w:rPr>
        <w:t>SNP</w:t>
      </w:r>
      <w:r w:rsidRPr="00DE3D31">
        <w:rPr>
          <w:rFonts w:hint="eastAsia"/>
          <w:color w:val="000000"/>
        </w:rPr>
        <w:t>:</w:t>
      </w:r>
      <w:r w:rsidRPr="00DE3D31">
        <w:rPr>
          <w:color w:val="000000"/>
        </w:rPr>
        <w:t xml:space="preserve"> single-nucleotide polymorphism</w:t>
      </w:r>
      <w:r w:rsidRPr="00DE3D31">
        <w:rPr>
          <w:rFonts w:hint="eastAsia"/>
          <w:color w:val="000000"/>
        </w:rPr>
        <w:t>; OR:</w:t>
      </w:r>
      <w:r w:rsidRPr="00DE3D31">
        <w:rPr>
          <w:color w:val="000000"/>
        </w:rPr>
        <w:t xml:space="preserve"> odds ratio;</w:t>
      </w:r>
      <w:r w:rsidRPr="00DE3D31">
        <w:rPr>
          <w:rFonts w:hint="eastAsia"/>
          <w:color w:val="000000"/>
        </w:rPr>
        <w:t xml:space="preserve"> CI: c</w:t>
      </w:r>
      <w:r w:rsidRPr="00DE3D31">
        <w:rPr>
          <w:color w:val="000000"/>
        </w:rPr>
        <w:t>onfidence interval</w:t>
      </w:r>
      <w:r w:rsidRPr="00DE3D31">
        <w:rPr>
          <w:rFonts w:hint="eastAsia"/>
          <w:color w:val="000000"/>
        </w:rPr>
        <w:t xml:space="preserve">; </w:t>
      </w:r>
      <w:r w:rsidRPr="00DE3D31">
        <w:rPr>
          <w:color w:val="000000"/>
        </w:rPr>
        <w:t>25</w:t>
      </w:r>
      <w:r w:rsidRPr="00DE3D31">
        <w:rPr>
          <w:rFonts w:hint="eastAsia"/>
          <w:color w:val="000000"/>
        </w:rPr>
        <w:t>(</w:t>
      </w:r>
      <w:r w:rsidRPr="00DE3D31">
        <w:rPr>
          <w:color w:val="000000"/>
        </w:rPr>
        <w:t>OH</w:t>
      </w:r>
      <w:r w:rsidRPr="00DE3D31">
        <w:rPr>
          <w:rFonts w:hint="eastAsia"/>
          <w:color w:val="000000"/>
        </w:rPr>
        <w:t>)D:</w:t>
      </w:r>
      <w:r w:rsidRPr="00DE3D31">
        <w:rPr>
          <w:color w:val="000000"/>
        </w:rPr>
        <w:t xml:space="preserve"> 25-</w:t>
      </w:r>
      <w:r w:rsidRPr="00DE3D31">
        <w:rPr>
          <w:rFonts w:hint="eastAsia"/>
          <w:color w:val="000000"/>
        </w:rPr>
        <w:t>H</w:t>
      </w:r>
      <w:r w:rsidRPr="00DE3D31">
        <w:rPr>
          <w:color w:val="000000"/>
        </w:rPr>
        <w:t>ydroxyvitamin D</w:t>
      </w:r>
      <w:r w:rsidRPr="00DE3D31">
        <w:rPr>
          <w:rFonts w:hint="eastAsia"/>
          <w:color w:val="000000"/>
        </w:rPr>
        <w:t xml:space="preserve">; </w:t>
      </w:r>
      <w:r w:rsidRPr="00DE3D31">
        <w:rPr>
          <w:color w:val="000000"/>
        </w:rPr>
        <w:t>IVW</w:t>
      </w:r>
      <w:r w:rsidRPr="00DE3D31">
        <w:rPr>
          <w:rFonts w:hint="eastAsia"/>
          <w:color w:val="000000"/>
        </w:rPr>
        <w:t>:</w:t>
      </w:r>
      <w:r w:rsidRPr="00DE3D31">
        <w:rPr>
          <w:color w:val="000000"/>
        </w:rPr>
        <w:t xml:space="preserve"> inverse variance weighted</w:t>
      </w:r>
      <w:r w:rsidRPr="00DE3D31">
        <w:rPr>
          <w:rFonts w:hint="eastAsia"/>
          <w:color w:val="000000"/>
        </w:rPr>
        <w:t xml:space="preserve">. </w:t>
      </w:r>
    </w:p>
    <w:p w14:paraId="6C1D10CA" w14:textId="77777777" w:rsidR="00A34F08" w:rsidRPr="00DE3D31" w:rsidRDefault="00A34F08">
      <w:pPr>
        <w:rPr>
          <w:color w:val="000000"/>
        </w:rPr>
      </w:pPr>
    </w:p>
    <w:p w14:paraId="3219FA63" w14:textId="77777777" w:rsidR="005B2F79" w:rsidRPr="00DE3D31" w:rsidRDefault="005B2F79">
      <w:pPr>
        <w:widowControl/>
        <w:jc w:val="left"/>
        <w:rPr>
          <w:color w:val="000000"/>
        </w:rPr>
      </w:pPr>
      <w:r w:rsidRPr="00DE3D31">
        <w:rPr>
          <w:color w:val="000000"/>
        </w:rPr>
        <w:br w:type="page"/>
      </w:r>
    </w:p>
    <w:p w14:paraId="29A77C1C" w14:textId="77777777" w:rsidR="000325CC" w:rsidRPr="00DE3D31" w:rsidRDefault="005B2F79">
      <w:pPr>
        <w:rPr>
          <w:color w:val="000000"/>
        </w:rPr>
      </w:pPr>
      <w:r w:rsidRPr="00DE3D31"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 wp14:anchorId="12151D9D" wp14:editId="4F1DC562">
            <wp:extent cx="5274310" cy="5274310"/>
            <wp:effectExtent l="19050" t="0" r="2540" b="0"/>
            <wp:docPr id="1" name="图片 1" descr="F:\MR孟德尔随机化\VD+MR\文章图\F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F:\MR孟德尔随机化\VD+MR\文章图\F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F22" w:rsidRPr="00DE3D31">
        <w:rPr>
          <w:rFonts w:ascii="Times New Roman" w:hAnsi="Times New Roman" w:cs="Times New Roman"/>
          <w:color w:val="000000"/>
        </w:rPr>
        <w:fldChar w:fldCharType="begin"/>
      </w:r>
      <w:r w:rsidR="004C6E99" w:rsidRPr="00DE3D31">
        <w:rPr>
          <w:rFonts w:ascii="Times New Roman" w:hAnsi="Times New Roman" w:cs="Times New Roman"/>
          <w:color w:val="000000"/>
        </w:rPr>
        <w:instrText xml:space="preserve"> ADDIN EN.REFLIST </w:instrText>
      </w:r>
      <w:r w:rsidR="00281F22" w:rsidRPr="00DE3D31">
        <w:rPr>
          <w:rFonts w:ascii="Times New Roman" w:hAnsi="Times New Roman" w:cs="Times New Roman"/>
          <w:color w:val="000000"/>
        </w:rPr>
        <w:fldChar w:fldCharType="end"/>
      </w:r>
    </w:p>
    <w:p w14:paraId="19511757" w14:textId="77777777" w:rsidR="000325CC" w:rsidRPr="00DE3D31" w:rsidRDefault="004C6E99">
      <w:pPr>
        <w:widowControl/>
        <w:jc w:val="left"/>
        <w:rPr>
          <w:color w:val="000000"/>
        </w:rPr>
      </w:pPr>
      <w:r w:rsidRPr="00DE3D31">
        <w:rPr>
          <w:color w:val="000000"/>
        </w:rPr>
        <w:t>Supplementary Fig</w:t>
      </w:r>
      <w:r w:rsidRPr="00DE3D31">
        <w:rPr>
          <w:rFonts w:hint="eastAsia"/>
          <w:color w:val="000000"/>
        </w:rPr>
        <w:t>ure</w:t>
      </w:r>
      <w:r w:rsidRPr="00DE3D31">
        <w:rPr>
          <w:color w:val="000000"/>
        </w:rPr>
        <w:t xml:space="preserve"> S</w:t>
      </w:r>
      <w:r w:rsidRPr="00DE3D31">
        <w:rPr>
          <w:rFonts w:hint="eastAsia"/>
          <w:color w:val="000000"/>
        </w:rPr>
        <w:t xml:space="preserve">1. </w:t>
      </w:r>
      <w:r w:rsidRPr="00DE3D31">
        <w:rPr>
          <w:color w:val="000000"/>
        </w:rPr>
        <w:t>Bidirectional</w:t>
      </w:r>
      <w:r w:rsidRPr="00DE3D31">
        <w:rPr>
          <w:rFonts w:hint="eastAsia"/>
          <w:color w:val="000000"/>
        </w:rPr>
        <w:t xml:space="preserve"> MR of </w:t>
      </w:r>
      <w:r w:rsidRPr="00DE3D31">
        <w:rPr>
          <w:color w:val="000000"/>
        </w:rPr>
        <w:t xml:space="preserve">25(OH)D </w:t>
      </w:r>
      <w:r w:rsidRPr="00DE3D31">
        <w:rPr>
          <w:rFonts w:hint="eastAsia"/>
          <w:color w:val="000000"/>
        </w:rPr>
        <w:t>on anemia in Europe population.</w:t>
      </w:r>
    </w:p>
    <w:p w14:paraId="56F91DED" w14:textId="77777777" w:rsidR="000325CC" w:rsidRPr="00DE3D31" w:rsidRDefault="004C6E99">
      <w:pPr>
        <w:rPr>
          <w:color w:val="000000"/>
        </w:rPr>
      </w:pPr>
      <w:r w:rsidRPr="00DE3D31">
        <w:rPr>
          <w:rFonts w:hint="eastAsia"/>
          <w:color w:val="000000"/>
        </w:rPr>
        <w:t xml:space="preserve">A. </w:t>
      </w:r>
      <w:r w:rsidRPr="00DE3D31">
        <w:rPr>
          <w:color w:val="000000"/>
        </w:rPr>
        <w:t>The relationship between anemia and 25(OH)D is represented via a scatter plot. For every approach, the causal relationship is represented by the slope of the line. The inverse-variance weighted estimate is shown by the blue line, while the Mendelian randomization-Egger estimate is represented by the dark blue line</w:t>
      </w:r>
      <w:r w:rsidRPr="00DE3D31">
        <w:rPr>
          <w:rFonts w:hint="eastAsia"/>
          <w:color w:val="000000"/>
        </w:rPr>
        <w:t xml:space="preserve">. </w:t>
      </w:r>
    </w:p>
    <w:p w14:paraId="2DFDE537" w14:textId="77777777" w:rsidR="000325CC" w:rsidRPr="00DE3D31" w:rsidRDefault="004C6E99">
      <w:pPr>
        <w:rPr>
          <w:color w:val="000000"/>
        </w:rPr>
      </w:pPr>
      <w:r w:rsidRPr="00DE3D31">
        <w:rPr>
          <w:rFonts w:hint="eastAsia"/>
          <w:color w:val="000000"/>
        </w:rPr>
        <w:t xml:space="preserve">B. </w:t>
      </w:r>
      <w:r w:rsidRPr="00DE3D31">
        <w:rPr>
          <w:color w:val="000000"/>
        </w:rPr>
        <w:t>Analyze heterogeneity using a funnel plot. Dark blue line indicates Mendelian randomization-Egger estimate, and blue line indicates inverse-variance weighted estimate</w:t>
      </w:r>
      <w:r w:rsidRPr="00DE3D31">
        <w:rPr>
          <w:rFonts w:hint="eastAsia"/>
          <w:color w:val="000000"/>
        </w:rPr>
        <w:t xml:space="preserve">. </w:t>
      </w:r>
    </w:p>
    <w:p w14:paraId="004F39D7" w14:textId="77777777" w:rsidR="000325CC" w:rsidRPr="00DE3D31" w:rsidRDefault="004C6E99">
      <w:pPr>
        <w:rPr>
          <w:color w:val="000000"/>
        </w:rPr>
      </w:pPr>
      <w:r w:rsidRPr="00DE3D31">
        <w:rPr>
          <w:rFonts w:hint="eastAsia"/>
          <w:color w:val="000000"/>
        </w:rPr>
        <w:t xml:space="preserve">C. </w:t>
      </w:r>
      <w:r w:rsidRPr="00DE3D31">
        <w:rPr>
          <w:color w:val="000000"/>
        </w:rPr>
        <w:t>A forest plot illustrating the relationship between anemia and single nucleotide polymorphisms linked to 25(OH)D. The MR results of the MR-Egger test and the IVW method are the significance of the red lines.</w:t>
      </w:r>
    </w:p>
    <w:p w14:paraId="7A6A8BD3" w14:textId="77777777" w:rsidR="000325CC" w:rsidRPr="00DE3D31" w:rsidRDefault="004C6E99">
      <w:pPr>
        <w:rPr>
          <w:color w:val="000000"/>
        </w:rPr>
      </w:pPr>
      <w:proofErr w:type="spellStart"/>
      <w:r w:rsidRPr="00DE3D31">
        <w:rPr>
          <w:rFonts w:hint="eastAsia"/>
          <w:color w:val="000000"/>
        </w:rPr>
        <w:t>D.L</w:t>
      </w:r>
      <w:r w:rsidRPr="00DE3D31">
        <w:rPr>
          <w:color w:val="000000"/>
        </w:rPr>
        <w:t>eave</w:t>
      </w:r>
      <w:proofErr w:type="spellEnd"/>
      <w:r w:rsidRPr="00DE3D31">
        <w:rPr>
          <w:color w:val="000000"/>
        </w:rPr>
        <w:t xml:space="preserve">-one-out plot of 25(OH)D on </w:t>
      </w:r>
      <w:r w:rsidRPr="00DE3D31">
        <w:rPr>
          <w:rFonts w:hint="eastAsia"/>
          <w:color w:val="000000"/>
        </w:rPr>
        <w:t>anemia</w:t>
      </w:r>
      <w:r w:rsidRPr="00DE3D31">
        <w:rPr>
          <w:color w:val="000000"/>
        </w:rPr>
        <w:t>. The predicted IVW analysis value is shown by the bottom black line.</w:t>
      </w:r>
    </w:p>
    <w:p w14:paraId="648309A0" w14:textId="77777777" w:rsidR="000325CC" w:rsidRPr="00DE3D31" w:rsidRDefault="000325CC">
      <w:pPr>
        <w:rPr>
          <w:color w:val="000000"/>
        </w:rPr>
      </w:pPr>
    </w:p>
    <w:sectPr w:rsidR="000325CC" w:rsidRPr="00DE3D31" w:rsidSect="00281F22">
      <w:pgSz w:w="11906" w:h="16838"/>
      <w:pgMar w:top="1440" w:right="1077" w:bottom="1440" w:left="1077" w:header="851" w:footer="992" w:gutter="0"/>
      <w:lnNumType w:countBy="1" w:restart="continuous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985B9" w14:textId="77777777" w:rsidR="004C6E99" w:rsidRDefault="004C6E99" w:rsidP="00CB3711">
      <w:r>
        <w:separator/>
      </w:r>
    </w:p>
  </w:endnote>
  <w:endnote w:type="continuationSeparator" w:id="0">
    <w:p w14:paraId="31D955FC" w14:textId="77777777" w:rsidR="004C6E99" w:rsidRDefault="004C6E99" w:rsidP="00CB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altName w:val="Microsoft YaHei"/>
    <w:charset w:val="86"/>
    <w:family w:val="swiss"/>
    <w:pitch w:val="variable"/>
    <w:sig w:usb0="80000287" w:usb1="2ACF0010" w:usb2="00000016" w:usb3="00000000" w:csb0="0004001F" w:csb1="00000000"/>
  </w:font>
  <w:font w:name="Microsoft YaHei">
    <w:altName w:val="Times New Roman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B53E7" w14:textId="77777777" w:rsidR="004C6E99" w:rsidRDefault="004C6E99" w:rsidP="00CB3711">
      <w:r>
        <w:separator/>
      </w:r>
    </w:p>
  </w:footnote>
  <w:footnote w:type="continuationSeparator" w:id="0">
    <w:p w14:paraId="0356B2C3" w14:textId="77777777" w:rsidR="004C6E99" w:rsidRDefault="004C6E99" w:rsidP="00CB3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gzNGIwNDBkODEwNzNiMWYzZTkwMTA2ODgxOGIwM2YifQ=="/>
    <w:docVar w:name="KSO_WPS_MARK_KEY" w:val="b3449a89-4f6d-4a1b-81a2-c667af62c40b"/>
  </w:docVars>
  <w:rsids>
    <w:rsidRoot w:val="001A5369"/>
    <w:rsid w:val="000325CC"/>
    <w:rsid w:val="001A5369"/>
    <w:rsid w:val="00281F22"/>
    <w:rsid w:val="00332890"/>
    <w:rsid w:val="004C6E99"/>
    <w:rsid w:val="00524EE7"/>
    <w:rsid w:val="005B2F79"/>
    <w:rsid w:val="007266D6"/>
    <w:rsid w:val="00757299"/>
    <w:rsid w:val="00896882"/>
    <w:rsid w:val="009F4BDC"/>
    <w:rsid w:val="00A34F08"/>
    <w:rsid w:val="00B0669E"/>
    <w:rsid w:val="00BB509F"/>
    <w:rsid w:val="00C07B9E"/>
    <w:rsid w:val="00CB3711"/>
    <w:rsid w:val="00DE3D31"/>
    <w:rsid w:val="00FF652E"/>
    <w:rsid w:val="2930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7FBDF"/>
  <w15:docId w15:val="{D7E42145-951C-4AFC-BD31-B133C9E2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F22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1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8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81F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qFormat/>
    <w:rsid w:val="00281F22"/>
  </w:style>
  <w:style w:type="character" w:customStyle="1" w:styleId="HeaderChar">
    <w:name w:val="Header Char"/>
    <w:basedOn w:val="DefaultParagraphFont"/>
    <w:link w:val="Header"/>
    <w:uiPriority w:val="99"/>
    <w:semiHidden/>
    <w:rsid w:val="00281F22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81F22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3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711"/>
    <w:rPr>
      <w:kern w:val="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711"/>
    <w:rPr>
      <w:b/>
      <w:bCs/>
      <w:kern w:val="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5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2E"/>
    <w:rPr>
      <w:kern w:val="2"/>
      <w:sz w:val="18"/>
      <w:szCs w:val="18"/>
      <w:lang w:val="en-US" w:eastAsia="zh-CN"/>
    </w:rPr>
  </w:style>
  <w:style w:type="paragraph" w:styleId="Revision">
    <w:name w:val="Revision"/>
    <w:hidden/>
    <w:uiPriority w:val="99"/>
    <w:unhideWhenUsed/>
    <w:rsid w:val="00DE3D31"/>
    <w:rPr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Lee, Boon</cp:lastModifiedBy>
  <cp:revision>2</cp:revision>
  <dcterms:created xsi:type="dcterms:W3CDTF">2024-09-01T21:31:00Z</dcterms:created>
  <dcterms:modified xsi:type="dcterms:W3CDTF">2024-09-01T21:31:00Z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B3072BF38A0B4722B187987B21635321_12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2024-08-28T02:26:43Z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a403da89-74a3-4ce4-965e-17b2cf4bc4e0</vt:lpwstr>
  </property>
  <property fmtid="{D5CDD505-2E9C-101B-9397-08002B2CF9AE}" pid="10" name="MSIP_Label_2bbab825-a111-45e4-86a1-18cee0005896_ContentBits">
    <vt:lpwstr>2</vt:lpwstr>
  </property>
</Properties>
</file>