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030678E2" w14:textId="4FDAB882" w:rsidR="00EA6A17" w:rsidRPr="00C008B5" w:rsidRDefault="00EA6A17" w:rsidP="00EA6A17">
      <w:pPr>
        <w:pStyle w:val="Heading2"/>
        <w:spacing w:line="480" w:lineRule="auto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  <w:r w:rsidRPr="00C008B5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Supplementary </w:t>
      </w:r>
    </w:p>
    <w:p w14:paraId="0398A8F8" w14:textId="199AE021" w:rsidR="00EA6A17" w:rsidRPr="00C008B5" w:rsidRDefault="004F069D" w:rsidP="00EA6A17">
      <w:pPr>
        <w:spacing w:line="360" w:lineRule="auto"/>
        <w:rPr>
          <w:color w:val="000000"/>
          <w:sz w:val="20"/>
          <w:szCs w:val="20"/>
          <w:lang w:val="en-US" w:eastAsia="zh-CN"/>
        </w:rPr>
      </w:pPr>
      <w:r w:rsidRPr="00C008B5">
        <w:rPr>
          <w:color w:val="000000"/>
          <w:sz w:val="20"/>
          <w:szCs w:val="20"/>
          <w:lang w:val="en-US" w:eastAsia="zh-CN"/>
        </w:rPr>
        <w:drawing>
          <wp:inline distT="0" distB="0" distL="0" distR="0" wp14:anchorId="65951C64" wp14:editId="6FE78E0D">
            <wp:extent cx="5274310" cy="3727450"/>
            <wp:effectExtent l="0" t="0" r="0" b="6350"/>
            <wp:docPr id="807118582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7118582" name="图片 807118582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E89099" w14:textId="57917DEC" w:rsidR="00EA6A17" w:rsidRPr="00C008B5" w:rsidRDefault="00EA6A17" w:rsidP="00EA6A17">
      <w:pPr>
        <w:spacing w:line="360" w:lineRule="auto"/>
        <w:rPr>
          <w:color w:val="000000"/>
          <w:sz w:val="20"/>
          <w:szCs w:val="20"/>
          <w:lang w:val="en-US" w:eastAsia="zh-CN"/>
        </w:rPr>
      </w:pPr>
      <w:r w:rsidRPr="00C008B5">
        <w:rPr>
          <w:color w:val="000000"/>
          <w:sz w:val="20"/>
          <w:szCs w:val="20"/>
          <w:lang w:val="en-US" w:eastAsia="zh-CN"/>
        </w:rPr>
        <w:t>Supplement Fig</w:t>
      </w:r>
      <w:r w:rsidRPr="00C008B5">
        <w:rPr>
          <w:rFonts w:hint="eastAsia"/>
          <w:color w:val="000000"/>
          <w:sz w:val="20"/>
          <w:szCs w:val="20"/>
          <w:lang w:val="en-US" w:eastAsia="zh-CN"/>
        </w:rPr>
        <w:t xml:space="preserve"> 1</w:t>
      </w:r>
      <w:r w:rsidRPr="00C008B5">
        <w:rPr>
          <w:color w:val="000000"/>
          <w:sz w:val="20"/>
          <w:szCs w:val="20"/>
          <w:lang w:val="en-US" w:eastAsia="zh-CN"/>
        </w:rPr>
        <w:t>. Flowchart of research design and analyzing process of this study.</w:t>
      </w:r>
    </w:p>
    <w:p w14:paraId="03002942" w14:textId="77777777" w:rsidR="00EA6A17" w:rsidRPr="00C008B5" w:rsidRDefault="00EA6A17" w:rsidP="00EA6A17">
      <w:pPr>
        <w:spacing w:line="360" w:lineRule="auto"/>
        <w:rPr>
          <w:color w:val="000000"/>
          <w:sz w:val="20"/>
          <w:szCs w:val="20"/>
          <w:lang w:val="en-US" w:eastAsia="zh-CN"/>
        </w:rPr>
      </w:pPr>
      <w:r w:rsidRPr="00C008B5">
        <w:rPr>
          <w:color w:val="000000"/>
          <w:sz w:val="20"/>
          <w:szCs w:val="20"/>
          <w:lang w:val="en-US" w:eastAsia="zh-CN"/>
        </w:rPr>
        <w:t xml:space="preserve"> </w:t>
      </w:r>
    </w:p>
    <w:p w14:paraId="3A40E81E" w14:textId="4BF0A3E1" w:rsidR="004F069D" w:rsidRPr="00C008B5" w:rsidRDefault="004F069D" w:rsidP="00EA6A17">
      <w:pPr>
        <w:spacing w:line="360" w:lineRule="auto"/>
        <w:rPr>
          <w:color w:val="000000"/>
          <w:sz w:val="20"/>
          <w:szCs w:val="20"/>
          <w:lang w:val="en-US" w:eastAsia="zh-CN"/>
        </w:rPr>
      </w:pPr>
      <w:r w:rsidRPr="00C008B5">
        <w:rPr>
          <w:color w:val="000000"/>
          <w:sz w:val="20"/>
          <w:szCs w:val="20"/>
          <w:lang w:val="en-US" w:eastAsia="zh-CN"/>
        </w:rPr>
        <w:lastRenderedPageBreak/>
        <w:drawing>
          <wp:inline distT="0" distB="0" distL="0" distR="0" wp14:anchorId="69CBCA60" wp14:editId="46421334">
            <wp:extent cx="5274310" cy="7828280"/>
            <wp:effectExtent l="0" t="0" r="0" b="0"/>
            <wp:docPr id="934809159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4809159" name="图片 934809159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828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3B7D21" w14:textId="7C2BD777" w:rsidR="00EA6A17" w:rsidRPr="00C008B5" w:rsidRDefault="00EA6A17" w:rsidP="00EA6A17">
      <w:pPr>
        <w:spacing w:line="360" w:lineRule="auto"/>
        <w:rPr>
          <w:color w:val="000000"/>
          <w:sz w:val="20"/>
          <w:szCs w:val="20"/>
          <w:lang w:val="en-US" w:eastAsia="zh-CN"/>
        </w:rPr>
      </w:pPr>
      <w:r w:rsidRPr="00C008B5">
        <w:rPr>
          <w:color w:val="000000"/>
          <w:sz w:val="20"/>
          <w:szCs w:val="20"/>
          <w:lang w:val="en-US" w:eastAsia="zh-CN"/>
        </w:rPr>
        <w:t>Supplement Fig</w:t>
      </w:r>
      <w:r w:rsidRPr="00C008B5">
        <w:rPr>
          <w:rFonts w:hint="eastAsia"/>
          <w:color w:val="000000"/>
          <w:sz w:val="20"/>
          <w:szCs w:val="20"/>
          <w:lang w:val="en-US" w:eastAsia="zh-CN"/>
        </w:rPr>
        <w:t xml:space="preserve"> 2</w:t>
      </w:r>
      <w:r w:rsidRPr="00C008B5">
        <w:rPr>
          <w:color w:val="000000"/>
          <w:sz w:val="20"/>
          <w:szCs w:val="20"/>
          <w:lang w:val="en-US" w:eastAsia="zh-CN"/>
        </w:rPr>
        <w:t>. Gene set enrichment analysis studies a</w:t>
      </w:r>
      <w:r w:rsidRPr="00C008B5">
        <w:rPr>
          <w:rFonts w:hint="eastAsia"/>
          <w:color w:val="000000"/>
          <w:sz w:val="20"/>
          <w:szCs w:val="20"/>
          <w:lang w:val="en-US" w:eastAsia="zh-CN"/>
        </w:rPr>
        <w:t>n</w:t>
      </w:r>
      <w:r w:rsidRPr="00C008B5">
        <w:rPr>
          <w:color w:val="000000"/>
          <w:sz w:val="20"/>
          <w:szCs w:val="20"/>
          <w:lang w:val="en-US" w:eastAsia="zh-CN"/>
        </w:rPr>
        <w:t xml:space="preserve">d Differences </w:t>
      </w:r>
      <w:r w:rsidRPr="00C008B5">
        <w:rPr>
          <w:rFonts w:hint="eastAsia"/>
          <w:color w:val="000000"/>
          <w:sz w:val="20"/>
          <w:szCs w:val="20"/>
          <w:lang w:val="en-US" w:eastAsia="zh-CN"/>
        </w:rPr>
        <w:t>A.</w:t>
      </w:r>
      <w:r w:rsidRPr="00C008B5">
        <w:rPr>
          <w:color w:val="000000"/>
          <w:sz w:val="20"/>
          <w:szCs w:val="20"/>
          <w:lang w:val="en-US" w:eastAsia="zh-CN"/>
        </w:rPr>
        <w:t xml:space="preserve"> GO and KEGG enrichment results for 16 pyroptosis genes (Top 5). </w:t>
      </w:r>
      <w:r w:rsidRPr="00C008B5">
        <w:rPr>
          <w:rFonts w:hint="eastAsia"/>
          <w:color w:val="000000"/>
          <w:sz w:val="20"/>
          <w:szCs w:val="20"/>
          <w:lang w:val="en-US" w:eastAsia="zh-CN"/>
        </w:rPr>
        <w:t>B</w:t>
      </w:r>
      <w:r w:rsidRPr="00C008B5">
        <w:rPr>
          <w:color w:val="000000"/>
          <w:sz w:val="20"/>
          <w:szCs w:val="20"/>
          <w:lang w:val="en-US" w:eastAsia="zh-CN"/>
        </w:rPr>
        <w:t>. PPI network for 16 genes (Score &gt; 0.4)</w:t>
      </w:r>
      <w:r w:rsidRPr="00C008B5">
        <w:rPr>
          <w:rFonts w:hint="eastAsia"/>
          <w:color w:val="000000"/>
          <w:sz w:val="20"/>
          <w:szCs w:val="20"/>
          <w:lang w:val="en-US" w:eastAsia="zh-CN"/>
        </w:rPr>
        <w:t>.</w:t>
      </w:r>
      <w:r w:rsidRPr="00C008B5">
        <w:rPr>
          <w:color w:val="000000"/>
          <w:sz w:val="20"/>
          <w:szCs w:val="20"/>
          <w:lang w:val="en-US" w:eastAsia="zh-CN"/>
        </w:rPr>
        <w:t xml:space="preserve"> </w:t>
      </w:r>
      <w:r w:rsidRPr="00C008B5">
        <w:rPr>
          <w:rFonts w:hint="eastAsia"/>
          <w:color w:val="000000"/>
          <w:sz w:val="20"/>
          <w:szCs w:val="20"/>
          <w:lang w:val="en-US" w:eastAsia="zh-CN"/>
        </w:rPr>
        <w:t>C</w:t>
      </w:r>
      <w:r w:rsidRPr="00C008B5">
        <w:rPr>
          <w:color w:val="000000"/>
          <w:sz w:val="20"/>
          <w:szCs w:val="20"/>
          <w:lang w:val="en-US" w:eastAsia="zh-CN"/>
        </w:rPr>
        <w:t xml:space="preserve">. Significantly different immune infiltrating cells in PTC vs. healthy group. D. Confirmation of the optimal number of </w:t>
      </w:r>
      <w:r w:rsidRPr="00C008B5">
        <w:rPr>
          <w:color w:val="000000"/>
          <w:sz w:val="20"/>
          <w:szCs w:val="20"/>
          <w:lang w:val="en-US" w:eastAsia="zh-CN"/>
        </w:rPr>
        <w:lastRenderedPageBreak/>
        <w:t xml:space="preserve">NMF clusters. </w:t>
      </w:r>
      <w:r w:rsidRPr="00C008B5">
        <w:rPr>
          <w:rFonts w:hint="eastAsia"/>
          <w:color w:val="000000"/>
          <w:sz w:val="20"/>
          <w:szCs w:val="20"/>
          <w:lang w:val="en-US" w:eastAsia="zh-CN"/>
        </w:rPr>
        <w:t>E</w:t>
      </w:r>
      <w:r w:rsidRPr="00C008B5">
        <w:rPr>
          <w:color w:val="000000"/>
          <w:sz w:val="20"/>
          <w:szCs w:val="20"/>
          <w:lang w:val="en-US" w:eastAsia="zh-CN"/>
        </w:rPr>
        <w:t xml:space="preserve">. Distribution of differences in human leukocyte antigen (HLA)-related gene sets among the three subgroups. </w:t>
      </w:r>
      <w:r w:rsidRPr="00C008B5">
        <w:rPr>
          <w:rFonts w:hint="eastAsia"/>
          <w:color w:val="000000"/>
          <w:sz w:val="20"/>
          <w:szCs w:val="20"/>
          <w:lang w:val="en-US" w:eastAsia="zh-CN"/>
        </w:rPr>
        <w:t>F</w:t>
      </w:r>
      <w:r w:rsidRPr="00C008B5">
        <w:rPr>
          <w:color w:val="000000"/>
          <w:sz w:val="20"/>
          <w:szCs w:val="20"/>
          <w:lang w:val="en-US" w:eastAsia="zh-CN"/>
        </w:rPr>
        <w:t>. Differences in immune checkpoints among the three subtypes.</w:t>
      </w:r>
      <w:r w:rsidR="004F069D" w:rsidRPr="00C008B5">
        <w:rPr>
          <w:color w:val="000000"/>
          <w:sz w:val="20"/>
          <w:szCs w:val="20"/>
          <w:lang w:val="en-US" w:eastAsia="zh-CN"/>
        </w:rPr>
        <w:t xml:space="preserve"> *p &lt; 0.05, **p &lt; 0.01, ***p &lt; 0.001.</w:t>
      </w:r>
    </w:p>
    <w:p w14:paraId="5D3C1EA6" w14:textId="716C6435" w:rsidR="00EA6A17" w:rsidRPr="00C008B5" w:rsidRDefault="00EA6A17" w:rsidP="00EA6A17">
      <w:pPr>
        <w:spacing w:line="360" w:lineRule="auto"/>
        <w:rPr>
          <w:color w:val="000000"/>
          <w:sz w:val="20"/>
          <w:szCs w:val="20"/>
          <w:lang w:val="en-US" w:eastAsia="zh-CN"/>
        </w:rPr>
      </w:pPr>
    </w:p>
    <w:p w14:paraId="4EEC6E6E" w14:textId="104C86FE" w:rsidR="004F069D" w:rsidRPr="00C008B5" w:rsidRDefault="004F069D" w:rsidP="00EA6A17">
      <w:pPr>
        <w:spacing w:line="360" w:lineRule="auto"/>
        <w:rPr>
          <w:color w:val="000000"/>
          <w:sz w:val="20"/>
          <w:szCs w:val="20"/>
          <w:lang w:val="en-US" w:eastAsia="zh-CN"/>
        </w:rPr>
      </w:pPr>
      <w:r w:rsidRPr="00C008B5">
        <w:rPr>
          <w:color w:val="000000"/>
          <w:sz w:val="20"/>
          <w:szCs w:val="20"/>
          <w:lang w:val="en-US" w:eastAsia="zh-CN"/>
        </w:rPr>
        <w:drawing>
          <wp:inline distT="0" distB="0" distL="0" distR="0" wp14:anchorId="62E36E73" wp14:editId="1921F1B3">
            <wp:extent cx="5274310" cy="3732530"/>
            <wp:effectExtent l="0" t="0" r="0" b="1270"/>
            <wp:docPr id="376665144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6665144" name="图片 376665144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32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70B7F8" w14:textId="2568A628" w:rsidR="00EA6A17" w:rsidRPr="00C008B5" w:rsidRDefault="00EA6A17" w:rsidP="00EA6A17">
      <w:pPr>
        <w:spacing w:line="360" w:lineRule="auto"/>
        <w:rPr>
          <w:color w:val="000000"/>
          <w:sz w:val="20"/>
          <w:szCs w:val="20"/>
          <w:lang w:val="en-US" w:eastAsia="zh-CN"/>
        </w:rPr>
      </w:pPr>
      <w:r w:rsidRPr="00C008B5">
        <w:rPr>
          <w:color w:val="000000"/>
          <w:sz w:val="20"/>
          <w:szCs w:val="20"/>
          <w:lang w:val="en-US" w:eastAsia="zh-CN"/>
        </w:rPr>
        <w:t>Supplement Fig</w:t>
      </w:r>
      <w:r w:rsidRPr="00C008B5">
        <w:rPr>
          <w:rFonts w:hint="eastAsia"/>
          <w:color w:val="000000"/>
          <w:sz w:val="20"/>
          <w:szCs w:val="20"/>
          <w:lang w:val="en-US" w:eastAsia="zh-CN"/>
        </w:rPr>
        <w:t xml:space="preserve"> </w:t>
      </w:r>
      <w:r w:rsidRPr="00C008B5">
        <w:rPr>
          <w:color w:val="000000"/>
          <w:sz w:val="20"/>
          <w:szCs w:val="20"/>
          <w:lang w:val="en-US" w:eastAsia="zh-CN"/>
        </w:rPr>
        <w:t>3.</w:t>
      </w:r>
      <w:r w:rsidRPr="00C008B5">
        <w:rPr>
          <w:rFonts w:hint="eastAsia"/>
          <w:color w:val="000000"/>
          <w:sz w:val="20"/>
          <w:szCs w:val="20"/>
          <w:lang w:val="en-US" w:eastAsia="zh-CN"/>
        </w:rPr>
        <w:t xml:space="preserve"> </w:t>
      </w:r>
      <w:r w:rsidRPr="00C008B5">
        <w:rPr>
          <w:color w:val="000000"/>
          <w:sz w:val="20"/>
          <w:szCs w:val="20"/>
          <w:lang w:val="en-US" w:eastAsia="zh-CN"/>
        </w:rPr>
        <w:t>Clinical specimen validation and in vitro experimental quantification diagram</w:t>
      </w:r>
      <w:r w:rsidRPr="00C008B5">
        <w:rPr>
          <w:rFonts w:hint="eastAsia"/>
          <w:color w:val="000000"/>
          <w:sz w:val="20"/>
          <w:szCs w:val="20"/>
          <w:lang w:val="en-US" w:eastAsia="zh-CN"/>
        </w:rPr>
        <w:t>. A, B, C, D</w:t>
      </w:r>
      <w:r w:rsidRPr="00C008B5">
        <w:rPr>
          <w:color w:val="000000"/>
          <w:sz w:val="20"/>
          <w:szCs w:val="20"/>
          <w:lang w:val="en-US" w:eastAsia="zh-CN"/>
        </w:rPr>
        <w:t xml:space="preserve">. Kaplan–Meier analysis of the significance of </w:t>
      </w:r>
      <w:r w:rsidRPr="00C008B5">
        <w:rPr>
          <w:rFonts w:hint="eastAsia"/>
          <w:color w:val="000000"/>
          <w:sz w:val="20"/>
          <w:szCs w:val="20"/>
          <w:lang w:val="en-US" w:eastAsia="zh-CN"/>
        </w:rPr>
        <w:t>CD68, CD47, CD3</w:t>
      </w:r>
      <w:r w:rsidRPr="00C008B5">
        <w:rPr>
          <w:color w:val="000000"/>
          <w:sz w:val="20"/>
          <w:szCs w:val="20"/>
          <w:lang w:val="en-US" w:eastAsia="zh-CN"/>
        </w:rPr>
        <w:t xml:space="preserve"> and </w:t>
      </w:r>
      <w:r w:rsidRPr="00C008B5">
        <w:rPr>
          <w:rFonts w:hint="eastAsia"/>
          <w:color w:val="000000"/>
          <w:sz w:val="20"/>
          <w:szCs w:val="20"/>
          <w:lang w:val="en-US" w:eastAsia="zh-CN"/>
        </w:rPr>
        <w:t xml:space="preserve">CD8 </w:t>
      </w:r>
      <w:r w:rsidRPr="00C008B5">
        <w:rPr>
          <w:color w:val="000000"/>
          <w:sz w:val="20"/>
          <w:szCs w:val="20"/>
          <w:lang w:val="en-US" w:eastAsia="zh-CN"/>
        </w:rPr>
        <w:t xml:space="preserve">simultaneous expression </w:t>
      </w:r>
      <w:r w:rsidRPr="00C008B5">
        <w:rPr>
          <w:rFonts w:hint="eastAsia"/>
          <w:color w:val="000000"/>
          <w:sz w:val="20"/>
          <w:szCs w:val="20"/>
          <w:lang w:val="en-US" w:eastAsia="zh-CN"/>
        </w:rPr>
        <w:t>and PD-1</w:t>
      </w:r>
      <w:r w:rsidRPr="00C008B5">
        <w:rPr>
          <w:color w:val="000000"/>
          <w:sz w:val="20"/>
          <w:szCs w:val="20"/>
          <w:lang w:val="en-US" w:eastAsia="zh-CN"/>
        </w:rPr>
        <w:t xml:space="preserve">level in the prognosis of patients with PTC at our center. </w:t>
      </w:r>
      <w:r w:rsidRPr="00C008B5">
        <w:rPr>
          <w:rFonts w:hint="eastAsia"/>
          <w:color w:val="000000"/>
          <w:sz w:val="20"/>
          <w:szCs w:val="20"/>
          <w:lang w:val="en-US" w:eastAsia="zh-CN"/>
        </w:rPr>
        <w:t xml:space="preserve">E. </w:t>
      </w:r>
      <w:r w:rsidRPr="00C008B5">
        <w:rPr>
          <w:color w:val="000000"/>
          <w:sz w:val="20"/>
          <w:szCs w:val="20"/>
          <w:lang w:val="en-US" w:eastAsia="zh-CN"/>
        </w:rPr>
        <w:t xml:space="preserve">Qualitative analyze of </w:t>
      </w:r>
      <w:r w:rsidRPr="00C008B5">
        <w:rPr>
          <w:rFonts w:hint="eastAsia"/>
          <w:color w:val="000000"/>
          <w:sz w:val="20"/>
          <w:szCs w:val="20"/>
          <w:lang w:val="en-US" w:eastAsia="zh-CN"/>
        </w:rPr>
        <w:t>TPC-1</w:t>
      </w:r>
      <w:r w:rsidRPr="00C008B5">
        <w:rPr>
          <w:color w:val="000000"/>
          <w:sz w:val="20"/>
          <w:szCs w:val="20"/>
          <w:lang w:val="en-US" w:eastAsia="zh-CN"/>
        </w:rPr>
        <w:t xml:space="preserve"> and </w:t>
      </w:r>
      <w:r w:rsidRPr="00C008B5">
        <w:rPr>
          <w:rFonts w:hint="eastAsia"/>
          <w:color w:val="000000"/>
          <w:sz w:val="20"/>
          <w:szCs w:val="20"/>
          <w:lang w:val="en-US" w:eastAsia="zh-CN"/>
        </w:rPr>
        <w:t>BCPAP</w:t>
      </w:r>
      <w:r w:rsidRPr="00C008B5">
        <w:rPr>
          <w:color w:val="000000"/>
          <w:sz w:val="20"/>
          <w:szCs w:val="20"/>
          <w:lang w:val="en-US" w:eastAsia="zh-CN"/>
        </w:rPr>
        <w:t xml:space="preserve"> cell clone formation at the indicated concentrations of </w:t>
      </w:r>
      <w:r w:rsidRPr="00C008B5">
        <w:rPr>
          <w:rFonts w:hint="eastAsia"/>
          <w:color w:val="000000"/>
          <w:sz w:val="20"/>
          <w:szCs w:val="20"/>
          <w:lang w:val="en-US" w:eastAsia="zh-CN"/>
        </w:rPr>
        <w:t>ML130</w:t>
      </w:r>
      <w:r w:rsidRPr="00C008B5">
        <w:rPr>
          <w:color w:val="000000"/>
          <w:sz w:val="20"/>
          <w:szCs w:val="20"/>
          <w:lang w:val="en-US" w:eastAsia="zh-CN"/>
        </w:rPr>
        <w:t>.</w:t>
      </w:r>
      <w:r w:rsidRPr="00C008B5">
        <w:rPr>
          <w:rFonts w:hint="eastAsia"/>
          <w:color w:val="000000"/>
          <w:sz w:val="20"/>
          <w:szCs w:val="20"/>
          <w:lang w:val="en-US" w:eastAsia="zh-CN"/>
        </w:rPr>
        <w:t xml:space="preserve"> F. </w:t>
      </w:r>
      <w:r w:rsidRPr="00C008B5">
        <w:rPr>
          <w:color w:val="000000"/>
          <w:sz w:val="20"/>
          <w:szCs w:val="20"/>
          <w:lang w:val="en-US" w:eastAsia="zh-CN"/>
        </w:rPr>
        <w:t xml:space="preserve">Qualitative analyze of </w:t>
      </w:r>
      <w:r w:rsidRPr="00C008B5">
        <w:rPr>
          <w:rFonts w:hint="eastAsia"/>
          <w:color w:val="000000"/>
          <w:sz w:val="20"/>
          <w:szCs w:val="20"/>
          <w:lang w:val="en-US" w:eastAsia="zh-CN"/>
        </w:rPr>
        <w:t>TPC-1</w:t>
      </w:r>
      <w:r w:rsidRPr="00C008B5">
        <w:rPr>
          <w:color w:val="000000"/>
          <w:sz w:val="20"/>
          <w:szCs w:val="20"/>
          <w:lang w:val="en-US" w:eastAsia="zh-CN"/>
        </w:rPr>
        <w:t xml:space="preserve"> and </w:t>
      </w:r>
      <w:r w:rsidRPr="00C008B5">
        <w:rPr>
          <w:rFonts w:hint="eastAsia"/>
          <w:color w:val="000000"/>
          <w:sz w:val="20"/>
          <w:szCs w:val="20"/>
          <w:lang w:val="en-US" w:eastAsia="zh-CN"/>
        </w:rPr>
        <w:t>BCPAP</w:t>
      </w:r>
      <w:r w:rsidRPr="00C008B5">
        <w:rPr>
          <w:color w:val="000000"/>
          <w:sz w:val="20"/>
          <w:szCs w:val="20"/>
          <w:lang w:val="en-US" w:eastAsia="zh-CN"/>
        </w:rPr>
        <w:t xml:space="preserve"> cell migration ability at the indicated concentrations of </w:t>
      </w:r>
      <w:r w:rsidRPr="00C008B5">
        <w:rPr>
          <w:rFonts w:hint="eastAsia"/>
          <w:color w:val="000000"/>
          <w:sz w:val="20"/>
          <w:szCs w:val="20"/>
          <w:lang w:val="en-US" w:eastAsia="zh-CN"/>
        </w:rPr>
        <w:t>ML130</w:t>
      </w:r>
      <w:r w:rsidRPr="00C008B5">
        <w:rPr>
          <w:color w:val="000000"/>
          <w:sz w:val="20"/>
          <w:szCs w:val="20"/>
          <w:lang w:val="en-US" w:eastAsia="zh-CN"/>
        </w:rPr>
        <w:t>.</w:t>
      </w:r>
      <w:r w:rsidRPr="00C008B5">
        <w:rPr>
          <w:rFonts w:hint="eastAsia"/>
          <w:color w:val="000000"/>
          <w:sz w:val="20"/>
          <w:szCs w:val="20"/>
          <w:lang w:val="en-US" w:eastAsia="zh-CN"/>
        </w:rPr>
        <w:t xml:space="preserve"> G. The cell death ratio of f</w:t>
      </w:r>
      <w:r w:rsidRPr="00C008B5">
        <w:rPr>
          <w:color w:val="000000"/>
          <w:sz w:val="20"/>
          <w:szCs w:val="20"/>
          <w:lang w:val="en-US" w:eastAsia="zh-CN"/>
        </w:rPr>
        <w:t>low assay to detect the effect of ML130 on TPC-1 and BCPAP. Data are shown as mean ± SD for</w:t>
      </w:r>
      <w:r w:rsidRPr="00C008B5">
        <w:rPr>
          <w:rFonts w:hint="eastAsia"/>
          <w:color w:val="000000"/>
          <w:sz w:val="20"/>
          <w:szCs w:val="20"/>
          <w:lang w:val="en-US" w:eastAsia="zh-CN"/>
        </w:rPr>
        <w:t xml:space="preserve"> </w:t>
      </w:r>
      <w:r w:rsidRPr="00C008B5">
        <w:rPr>
          <w:color w:val="000000"/>
          <w:sz w:val="20"/>
          <w:szCs w:val="20"/>
          <w:lang w:val="en-US" w:eastAsia="zh-CN"/>
        </w:rPr>
        <w:t>n = 3. *p &lt; 0.05, **p &lt; 0.01, ***p &lt; 0.001</w:t>
      </w:r>
      <w:r w:rsidR="003C0EA4" w:rsidRPr="00C008B5">
        <w:rPr>
          <w:color w:val="000000"/>
          <w:sz w:val="20"/>
          <w:szCs w:val="20"/>
          <w:lang w:val="en-US" w:eastAsia="zh-CN"/>
        </w:rPr>
        <w:t>, ****</w:t>
      </w:r>
      <w:r w:rsidR="003C0EA4" w:rsidRPr="00C008B5">
        <w:rPr>
          <w:i/>
          <w:iCs/>
          <w:color w:val="000000"/>
          <w:sz w:val="20"/>
          <w:szCs w:val="20"/>
          <w:lang w:val="en-US" w:eastAsia="zh-CN"/>
        </w:rPr>
        <w:t>p</w:t>
      </w:r>
      <w:r w:rsidR="003C0EA4" w:rsidRPr="00C008B5">
        <w:rPr>
          <w:color w:val="000000"/>
          <w:sz w:val="20"/>
          <w:szCs w:val="20"/>
          <w:lang w:val="en-US" w:eastAsia="zh-CN"/>
        </w:rPr>
        <w:t> &lt; 0.00</w:t>
      </w:r>
      <w:r w:rsidR="003C0EA4" w:rsidRPr="00C008B5">
        <w:rPr>
          <w:rFonts w:hint="eastAsia"/>
          <w:color w:val="000000"/>
          <w:sz w:val="20"/>
          <w:szCs w:val="20"/>
          <w:lang w:val="en-US" w:eastAsia="zh-CN"/>
        </w:rPr>
        <w:t>0</w:t>
      </w:r>
      <w:r w:rsidR="003C0EA4" w:rsidRPr="00C008B5">
        <w:rPr>
          <w:color w:val="000000"/>
          <w:sz w:val="20"/>
          <w:szCs w:val="20"/>
          <w:lang w:val="en-US" w:eastAsia="zh-CN"/>
        </w:rPr>
        <w:t>1</w:t>
      </w:r>
      <w:r w:rsidRPr="00C008B5">
        <w:rPr>
          <w:color w:val="000000"/>
          <w:sz w:val="20"/>
          <w:szCs w:val="20"/>
          <w:lang w:val="en-US" w:eastAsia="zh-CN"/>
        </w:rPr>
        <w:t>.</w:t>
      </w:r>
    </w:p>
    <w:p w14:paraId="3B92DEE8" w14:textId="77777777" w:rsidR="00BF071B" w:rsidRPr="00C008B5" w:rsidRDefault="00BF071B">
      <w:pPr>
        <w:rPr>
          <w:color w:val="000000"/>
          <w:lang w:val="en-US"/>
        </w:rPr>
      </w:pPr>
    </w:p>
    <w:sectPr w:rsidR="00BF071B" w:rsidRPr="00C008B5">
      <w:footerReference w:type="even" r:id="rId9"/>
      <w:footerReference w:type="default" r:id="rId10"/>
      <w:footerReference w:type="first" r:id="rId11"/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2BA829C5" w14:textId="77777777" w:rsidR="00BB30BC" w:rsidRDefault="00BB30BC" w:rsidP="00BB1C6E">
      <w:r>
        <w:separator/>
      </w:r>
    </w:p>
  </w:endnote>
  <w:endnote w:type="continuationSeparator" w:id="0">
    <w:p w14:paraId="47D3FC5C" w14:textId="77777777" w:rsidR="00BB30BC" w:rsidRDefault="00BB30BC" w:rsidP="00BB1C6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DengXian Light">
    <w:altName w:val="等线 Light"/>
    <w:charset w:val="86"/>
    <w:family w:val="auto"/>
    <w:pitch w:val="variable"/>
    <w:sig w:usb0="A00002BF" w:usb1="38CF7CFA" w:usb2="00000016" w:usb3="00000000" w:csb0="0004000F" w:csb1="00000000"/>
  </w:font>
  <w:font w:name="Rockwell">
    <w:panose1 w:val="02060603020205020403"/>
    <w:charset w:val="00"/>
    <w:family w:val="roman"/>
    <w:pitch w:val="variable"/>
    <w:sig w:usb0="00000007" w:usb1="00000000" w:usb2="00000000" w:usb3="00000000" w:csb0="00000003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1A2BDD8" w14:textId="10D54710" w:rsidR="00BB1C6E" w:rsidRDefault="00BB1C6E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251659264" behindDoc="0" locked="0" layoutInCell="1" allowOverlap="1" wp14:anchorId="6113DE71" wp14:editId="0FC90CB6">
              <wp:simplePos x="635" y="635"/>
              <wp:positionH relativeFrom="page">
                <wp:align>left</wp:align>
              </wp:positionH>
              <wp:positionV relativeFrom="page">
                <wp:align>bottom</wp:align>
              </wp:positionV>
              <wp:extent cx="2085975" cy="324485"/>
              <wp:effectExtent l="0" t="0" r="9525" b="0"/>
              <wp:wrapNone/>
              <wp:docPr id="1674649116" name="Text Box 2" descr="Information Classification: Gener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085975" cy="32448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65A8113A" w14:textId="7BA9D654" w:rsidR="00BB1C6E" w:rsidRPr="00BB1C6E" w:rsidRDefault="00BB1C6E" w:rsidP="00BB1C6E">
                          <w:pPr>
                            <w:rPr>
                              <w:rFonts w:ascii="Rockwell" w:eastAsia="Rockwell" w:hAnsi="Rockwell" w:cs="Rockwell"/>
                              <w:noProof/>
                              <w:color w:val="0078D7"/>
                              <w:sz w:val="18"/>
                              <w:szCs w:val="18"/>
                            </w:rPr>
                          </w:pPr>
                          <w:r w:rsidRPr="00BB1C6E">
                            <w:rPr>
                              <w:rFonts w:ascii="Rockwell" w:eastAsia="Rockwell" w:hAnsi="Rockwell" w:cs="Rockwell"/>
                              <w:noProof/>
                              <w:color w:val="0078D7"/>
                              <w:sz w:val="18"/>
                              <w:szCs w:val="18"/>
                            </w:rPr>
                            <w:t>Information Classification: General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25400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6113DE71" id="_x0000_t202" coordsize="21600,21600" o:spt="202" path="m,l,21600r21600,l21600,xe">
              <v:stroke joinstyle="miter"/>
              <v:path gradientshapeok="t" o:connecttype="rect"/>
            </v:shapetype>
            <v:shape id="Text Box 2" o:spid="_x0000_s1026" type="#_x0000_t202" alt="Information Classification: General" style="position:absolute;margin-left:0;margin-top:0;width:164.25pt;height:25.55pt;z-index:251659264;visibility:visible;mso-wrap-style:none;mso-wrap-distance-left:0;mso-wrap-distance-top:0;mso-wrap-distance-right:0;mso-wrap-distance-bottom:0;mso-position-horizontal:left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" filled="f" stroked="f">
              <v:textbox style="mso-fit-shape-to-text:t" inset="20pt,0,0,15pt">
                <w:txbxContent>
                  <w:p w14:paraId="65A8113A" w14:textId="7BA9D654" w:rsidR="00BB1C6E" w:rsidRPr="00BB1C6E" w:rsidRDefault="00BB1C6E" w:rsidP="00BB1C6E">
                    <w:pPr>
                      <w:rPr>
                        <w:rFonts w:ascii="Rockwell" w:eastAsia="Rockwell" w:hAnsi="Rockwell" w:cs="Rockwell"/>
                        <w:noProof/>
                        <w:color w:val="0078D7"/>
                        <w:sz w:val="18"/>
                        <w:szCs w:val="18"/>
                      </w:rPr>
                    </w:pPr>
                    <w:r w:rsidRPr="00BB1C6E">
                      <w:rPr>
                        <w:rFonts w:ascii="Rockwell" w:eastAsia="Rockwell" w:hAnsi="Rockwell" w:cs="Rockwell"/>
                        <w:noProof/>
                        <w:color w:val="0078D7"/>
                        <w:sz w:val="18"/>
                        <w:szCs w:val="18"/>
                      </w:rPr>
                      <w:t>Information Classification: General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C1AEAF3" w14:textId="314C57C0" w:rsidR="00BB1C6E" w:rsidRDefault="00BB1C6E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251660288" behindDoc="0" locked="0" layoutInCell="1" allowOverlap="1" wp14:anchorId="58CF2C5A" wp14:editId="20CB989B">
              <wp:simplePos x="1143000" y="9886950"/>
              <wp:positionH relativeFrom="page">
                <wp:align>left</wp:align>
              </wp:positionH>
              <wp:positionV relativeFrom="page">
                <wp:align>bottom</wp:align>
              </wp:positionV>
              <wp:extent cx="2085975" cy="324485"/>
              <wp:effectExtent l="0" t="0" r="9525" b="0"/>
              <wp:wrapNone/>
              <wp:docPr id="116339296" name="Text Box 3" descr="Information Classification: Gener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085975" cy="32448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63D0D206" w14:textId="5D160CDD" w:rsidR="00BB1C6E" w:rsidRPr="00BB1C6E" w:rsidRDefault="00BB1C6E" w:rsidP="00BB1C6E">
                          <w:pPr>
                            <w:rPr>
                              <w:rFonts w:ascii="Rockwell" w:eastAsia="Rockwell" w:hAnsi="Rockwell" w:cs="Rockwell"/>
                              <w:noProof/>
                              <w:color w:val="0078D7"/>
                              <w:sz w:val="18"/>
                              <w:szCs w:val="18"/>
                            </w:rPr>
                          </w:pPr>
                          <w:r w:rsidRPr="00BB1C6E">
                            <w:rPr>
                              <w:rFonts w:ascii="Rockwell" w:eastAsia="Rockwell" w:hAnsi="Rockwell" w:cs="Rockwell"/>
                              <w:noProof/>
                              <w:color w:val="0078D7"/>
                              <w:sz w:val="18"/>
                              <w:szCs w:val="18"/>
                            </w:rPr>
                            <w:t>Information Classification: General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25400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58CF2C5A"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7" type="#_x0000_t202" alt="Information Classification: General" style="position:absolute;margin-left:0;margin-top:0;width:164.25pt;height:25.55pt;z-index:251660288;visibility:visible;mso-wrap-style:none;mso-wrap-distance-left:0;mso-wrap-distance-top:0;mso-wrap-distance-right:0;mso-wrap-distance-bottom:0;mso-position-horizontal:left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" filled="f" stroked="f">
              <v:textbox style="mso-fit-shape-to-text:t" inset="20pt,0,0,15pt">
                <w:txbxContent>
                  <w:p w14:paraId="63D0D206" w14:textId="5D160CDD" w:rsidR="00BB1C6E" w:rsidRPr="00BB1C6E" w:rsidRDefault="00BB1C6E" w:rsidP="00BB1C6E">
                    <w:pPr>
                      <w:rPr>
                        <w:rFonts w:ascii="Rockwell" w:eastAsia="Rockwell" w:hAnsi="Rockwell" w:cs="Rockwell"/>
                        <w:noProof/>
                        <w:color w:val="0078D7"/>
                        <w:sz w:val="18"/>
                        <w:szCs w:val="18"/>
                      </w:rPr>
                    </w:pPr>
                    <w:r w:rsidRPr="00BB1C6E">
                      <w:rPr>
                        <w:rFonts w:ascii="Rockwell" w:eastAsia="Rockwell" w:hAnsi="Rockwell" w:cs="Rockwell"/>
                        <w:noProof/>
                        <w:color w:val="0078D7"/>
                        <w:sz w:val="18"/>
                        <w:szCs w:val="18"/>
                      </w:rPr>
                      <w:t>Information Classification: General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DD92154" w14:textId="79B76CAC" w:rsidR="00BB1C6E" w:rsidRDefault="00BB1C6E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251658240" behindDoc="0" locked="0" layoutInCell="1" allowOverlap="1" wp14:anchorId="0CD0F37B" wp14:editId="56B2E0C7">
              <wp:simplePos x="635" y="635"/>
              <wp:positionH relativeFrom="page">
                <wp:align>left</wp:align>
              </wp:positionH>
              <wp:positionV relativeFrom="page">
                <wp:align>bottom</wp:align>
              </wp:positionV>
              <wp:extent cx="2085975" cy="324485"/>
              <wp:effectExtent l="0" t="0" r="9525" b="0"/>
              <wp:wrapNone/>
              <wp:docPr id="64429322" name="Text Box 1" descr="Information Classification: Gener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085975" cy="32448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39E82FE0" w14:textId="1B81887B" w:rsidR="00BB1C6E" w:rsidRPr="00BB1C6E" w:rsidRDefault="00BB1C6E" w:rsidP="00BB1C6E">
                          <w:pPr>
                            <w:rPr>
                              <w:rFonts w:ascii="Rockwell" w:eastAsia="Rockwell" w:hAnsi="Rockwell" w:cs="Rockwell"/>
                              <w:noProof/>
                              <w:color w:val="0078D7"/>
                              <w:sz w:val="18"/>
                              <w:szCs w:val="18"/>
                            </w:rPr>
                          </w:pPr>
                          <w:r w:rsidRPr="00BB1C6E">
                            <w:rPr>
                              <w:rFonts w:ascii="Rockwell" w:eastAsia="Rockwell" w:hAnsi="Rockwell" w:cs="Rockwell"/>
                              <w:noProof/>
                              <w:color w:val="0078D7"/>
                              <w:sz w:val="18"/>
                              <w:szCs w:val="18"/>
                            </w:rPr>
                            <w:t>Information Classification: General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25400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0CD0F37B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8" type="#_x0000_t202" alt="Information Classification: General" style="position:absolute;margin-left:0;margin-top:0;width:164.25pt;height:25.55pt;z-index:251658240;visibility:visible;mso-wrap-style:none;mso-wrap-distance-left:0;mso-wrap-distance-top:0;mso-wrap-distance-right:0;mso-wrap-distance-bottom:0;mso-position-horizontal:left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" filled="f" stroked="f">
              <v:textbox style="mso-fit-shape-to-text:t" inset="20pt,0,0,15pt">
                <w:txbxContent>
                  <w:p w14:paraId="39E82FE0" w14:textId="1B81887B" w:rsidR="00BB1C6E" w:rsidRPr="00BB1C6E" w:rsidRDefault="00BB1C6E" w:rsidP="00BB1C6E">
                    <w:pPr>
                      <w:rPr>
                        <w:rFonts w:ascii="Rockwell" w:eastAsia="Rockwell" w:hAnsi="Rockwell" w:cs="Rockwell"/>
                        <w:noProof/>
                        <w:color w:val="0078D7"/>
                        <w:sz w:val="18"/>
                        <w:szCs w:val="18"/>
                      </w:rPr>
                    </w:pPr>
                    <w:r w:rsidRPr="00BB1C6E">
                      <w:rPr>
                        <w:rFonts w:ascii="Rockwell" w:eastAsia="Rockwell" w:hAnsi="Rockwell" w:cs="Rockwell"/>
                        <w:noProof/>
                        <w:color w:val="0078D7"/>
                        <w:sz w:val="18"/>
                        <w:szCs w:val="18"/>
                      </w:rPr>
                      <w:t>Information Classification: General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47EDC7AC" w14:textId="77777777" w:rsidR="00BB30BC" w:rsidRDefault="00BB30BC" w:rsidP="00BB1C6E">
      <w:r>
        <w:separator/>
      </w:r>
    </w:p>
  </w:footnote>
  <w:footnote w:type="continuationSeparator" w:id="0">
    <w:p w14:paraId="31780C98" w14:textId="77777777" w:rsidR="00BB30BC" w:rsidRDefault="00BB30BC" w:rsidP="00BB1C6E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99"/>
  <w:bordersDoNotSurroundHeader/>
  <w:bordersDoNotSurroundFooter/>
  <w:doNotTrackFormatting/>
  <w:defaultTabStop w:val="420"/>
  <w:drawingGridVerticalSpacing w:val="156"/>
  <w:displayHorizontalDrawingGridEvery w:val="0"/>
  <w:displayVerticalDrawingGridEvery w:val="2"/>
  <w:characterSpacingControl w:val="compressPunctuation"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A6A17"/>
    <w:rsid w:val="00013475"/>
    <w:rsid w:val="00081536"/>
    <w:rsid w:val="0009205D"/>
    <w:rsid w:val="000D7FF9"/>
    <w:rsid w:val="000F2517"/>
    <w:rsid w:val="00111F8D"/>
    <w:rsid w:val="00130BD6"/>
    <w:rsid w:val="0017179F"/>
    <w:rsid w:val="00175073"/>
    <w:rsid w:val="001D4542"/>
    <w:rsid w:val="00246D1F"/>
    <w:rsid w:val="002773FB"/>
    <w:rsid w:val="0028349A"/>
    <w:rsid w:val="002E2D88"/>
    <w:rsid w:val="002E7CB0"/>
    <w:rsid w:val="002F7E7F"/>
    <w:rsid w:val="003718B2"/>
    <w:rsid w:val="003A53D9"/>
    <w:rsid w:val="003C0EA4"/>
    <w:rsid w:val="0045451C"/>
    <w:rsid w:val="00495D3D"/>
    <w:rsid w:val="004F069D"/>
    <w:rsid w:val="004F555E"/>
    <w:rsid w:val="005560AC"/>
    <w:rsid w:val="0057728B"/>
    <w:rsid w:val="005F5A9C"/>
    <w:rsid w:val="00633D3A"/>
    <w:rsid w:val="00647C9B"/>
    <w:rsid w:val="0065171A"/>
    <w:rsid w:val="0066042C"/>
    <w:rsid w:val="0068406D"/>
    <w:rsid w:val="006C29FD"/>
    <w:rsid w:val="00703B8D"/>
    <w:rsid w:val="0072170B"/>
    <w:rsid w:val="00727354"/>
    <w:rsid w:val="0078566C"/>
    <w:rsid w:val="007940C1"/>
    <w:rsid w:val="007A48B2"/>
    <w:rsid w:val="007C3A88"/>
    <w:rsid w:val="007D058E"/>
    <w:rsid w:val="007D2F42"/>
    <w:rsid w:val="007E5FEB"/>
    <w:rsid w:val="007F07AE"/>
    <w:rsid w:val="007F34E8"/>
    <w:rsid w:val="007F6E97"/>
    <w:rsid w:val="00816137"/>
    <w:rsid w:val="008245E2"/>
    <w:rsid w:val="008968E6"/>
    <w:rsid w:val="008E442F"/>
    <w:rsid w:val="0090139D"/>
    <w:rsid w:val="00911B7C"/>
    <w:rsid w:val="0096010D"/>
    <w:rsid w:val="009910C6"/>
    <w:rsid w:val="00994BA0"/>
    <w:rsid w:val="009B493E"/>
    <w:rsid w:val="009E0676"/>
    <w:rsid w:val="00A00E4B"/>
    <w:rsid w:val="00A325CF"/>
    <w:rsid w:val="00A53187"/>
    <w:rsid w:val="00A8065B"/>
    <w:rsid w:val="00AC6300"/>
    <w:rsid w:val="00B1541C"/>
    <w:rsid w:val="00B20CA9"/>
    <w:rsid w:val="00B86427"/>
    <w:rsid w:val="00BA2A1E"/>
    <w:rsid w:val="00BA4895"/>
    <w:rsid w:val="00BB1C6E"/>
    <w:rsid w:val="00BB30BC"/>
    <w:rsid w:val="00BC1081"/>
    <w:rsid w:val="00BF071B"/>
    <w:rsid w:val="00C008B5"/>
    <w:rsid w:val="00C47990"/>
    <w:rsid w:val="00C633C8"/>
    <w:rsid w:val="00C705B2"/>
    <w:rsid w:val="00C95FC3"/>
    <w:rsid w:val="00CA2CD3"/>
    <w:rsid w:val="00CA2F14"/>
    <w:rsid w:val="00CB389B"/>
    <w:rsid w:val="00CC2ABB"/>
    <w:rsid w:val="00CE5452"/>
    <w:rsid w:val="00CE7A90"/>
    <w:rsid w:val="00D33EBA"/>
    <w:rsid w:val="00D534E8"/>
    <w:rsid w:val="00D618C5"/>
    <w:rsid w:val="00DF1598"/>
    <w:rsid w:val="00E27286"/>
    <w:rsid w:val="00E66783"/>
    <w:rsid w:val="00EA6A17"/>
    <w:rsid w:val="00EF012C"/>
    <w:rsid w:val="00F10297"/>
    <w:rsid w:val="00F868FC"/>
    <w:rsid w:val="00FA253A"/>
    <w:rsid w:val="00FB1CC3"/>
    <w:rsid w:val="00FE08B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F42A099"/>
  <w15:chartTrackingRefBased/>
  <w15:docId w15:val="{186BE420-1CEC-1D4D-8110-B3A7166E31E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kern w:val="2"/>
        <w:sz w:val="21"/>
        <w:szCs w:val="24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A6A17"/>
    <w:rPr>
      <w:rFonts w:ascii="Times New Roman" w:hAnsi="Times New Roman" w:cs="Times New Roman"/>
      <w:kern w:val="0"/>
      <w:sz w:val="24"/>
      <w:lang w:val="en-GB" w:eastAsia="en-GB"/>
    </w:rPr>
  </w:style>
  <w:style w:type="paragraph" w:styleId="Heading1">
    <w:name w:val="heading 1"/>
    <w:basedOn w:val="Normal"/>
    <w:next w:val="Normal"/>
    <w:link w:val="Heading1Char"/>
    <w:uiPriority w:val="9"/>
    <w:qFormat/>
    <w:rsid w:val="00EA6A17"/>
    <w:pPr>
      <w:keepNext/>
      <w:keepLines/>
      <w:widowControl w:val="0"/>
      <w:spacing w:before="480" w:after="80"/>
      <w:jc w:val="both"/>
      <w:outlineLvl w:val="0"/>
    </w:pPr>
    <w:rPr>
      <w:rFonts w:asciiTheme="majorHAnsi" w:eastAsiaTheme="majorEastAsia" w:hAnsiTheme="majorHAnsi" w:cstheme="majorBidi"/>
      <w:color w:val="0F4761" w:themeColor="accent1" w:themeShade="BF"/>
      <w:kern w:val="2"/>
      <w:sz w:val="48"/>
      <w:szCs w:val="48"/>
      <w:lang w:val="en-US" w:eastAsia="zh-CN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EA6A17"/>
    <w:pPr>
      <w:keepNext/>
      <w:keepLines/>
      <w:widowControl w:val="0"/>
      <w:spacing w:before="160" w:after="80"/>
      <w:jc w:val="both"/>
      <w:outlineLvl w:val="1"/>
    </w:pPr>
    <w:rPr>
      <w:rFonts w:asciiTheme="majorHAnsi" w:eastAsiaTheme="majorEastAsia" w:hAnsiTheme="majorHAnsi" w:cstheme="majorBidi"/>
      <w:color w:val="0F4761" w:themeColor="accent1" w:themeShade="BF"/>
      <w:kern w:val="2"/>
      <w:sz w:val="40"/>
      <w:szCs w:val="40"/>
      <w:lang w:val="en-US" w:eastAsia="zh-CN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EA6A17"/>
    <w:pPr>
      <w:keepNext/>
      <w:keepLines/>
      <w:widowControl w:val="0"/>
      <w:spacing w:before="160" w:after="80"/>
      <w:jc w:val="both"/>
      <w:outlineLvl w:val="2"/>
    </w:pPr>
    <w:rPr>
      <w:rFonts w:asciiTheme="majorHAnsi" w:eastAsiaTheme="majorEastAsia" w:hAnsiTheme="majorHAnsi" w:cstheme="majorBidi"/>
      <w:color w:val="0F4761" w:themeColor="accent1" w:themeShade="BF"/>
      <w:kern w:val="2"/>
      <w:sz w:val="32"/>
      <w:szCs w:val="32"/>
      <w:lang w:val="en-US" w:eastAsia="zh-CN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EA6A17"/>
    <w:pPr>
      <w:keepNext/>
      <w:keepLines/>
      <w:widowControl w:val="0"/>
      <w:spacing w:before="80" w:after="40"/>
      <w:jc w:val="both"/>
      <w:outlineLvl w:val="3"/>
    </w:pPr>
    <w:rPr>
      <w:rFonts w:asciiTheme="minorHAnsi" w:hAnsiTheme="minorHAnsi" w:cstheme="majorBidi"/>
      <w:color w:val="0F4761" w:themeColor="accent1" w:themeShade="BF"/>
      <w:kern w:val="2"/>
      <w:sz w:val="28"/>
      <w:szCs w:val="28"/>
      <w:lang w:val="en-US" w:eastAsia="zh-CN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EA6A17"/>
    <w:pPr>
      <w:keepNext/>
      <w:keepLines/>
      <w:widowControl w:val="0"/>
      <w:spacing w:before="80" w:after="40"/>
      <w:jc w:val="both"/>
      <w:outlineLvl w:val="4"/>
    </w:pPr>
    <w:rPr>
      <w:rFonts w:asciiTheme="minorHAnsi" w:hAnsiTheme="minorHAnsi" w:cstheme="majorBidi"/>
      <w:color w:val="0F4761" w:themeColor="accent1" w:themeShade="BF"/>
      <w:kern w:val="2"/>
      <w:lang w:val="en-US" w:eastAsia="zh-CN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EA6A17"/>
    <w:pPr>
      <w:keepNext/>
      <w:keepLines/>
      <w:widowControl w:val="0"/>
      <w:spacing w:before="40"/>
      <w:jc w:val="both"/>
      <w:outlineLvl w:val="5"/>
    </w:pPr>
    <w:rPr>
      <w:rFonts w:asciiTheme="minorHAnsi" w:hAnsiTheme="minorHAnsi" w:cstheme="majorBidi"/>
      <w:b/>
      <w:bCs/>
      <w:color w:val="0F4761" w:themeColor="accent1" w:themeShade="BF"/>
      <w:kern w:val="2"/>
      <w:sz w:val="21"/>
      <w:lang w:val="en-US" w:eastAsia="zh-CN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EA6A17"/>
    <w:pPr>
      <w:keepNext/>
      <w:keepLines/>
      <w:widowControl w:val="0"/>
      <w:spacing w:before="40"/>
      <w:jc w:val="both"/>
      <w:outlineLvl w:val="6"/>
    </w:pPr>
    <w:rPr>
      <w:rFonts w:asciiTheme="minorHAnsi" w:hAnsiTheme="minorHAnsi" w:cstheme="majorBidi"/>
      <w:b/>
      <w:bCs/>
      <w:color w:val="595959" w:themeColor="text1" w:themeTint="A6"/>
      <w:kern w:val="2"/>
      <w:sz w:val="21"/>
      <w:lang w:val="en-US" w:eastAsia="zh-CN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EA6A17"/>
    <w:pPr>
      <w:keepNext/>
      <w:keepLines/>
      <w:widowControl w:val="0"/>
      <w:jc w:val="both"/>
      <w:outlineLvl w:val="7"/>
    </w:pPr>
    <w:rPr>
      <w:rFonts w:asciiTheme="minorHAnsi" w:hAnsiTheme="minorHAnsi" w:cstheme="majorBidi"/>
      <w:color w:val="595959" w:themeColor="text1" w:themeTint="A6"/>
      <w:kern w:val="2"/>
      <w:sz w:val="21"/>
      <w:lang w:val="en-US" w:eastAsia="zh-CN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EA6A17"/>
    <w:pPr>
      <w:keepNext/>
      <w:keepLines/>
      <w:widowControl w:val="0"/>
      <w:jc w:val="both"/>
      <w:outlineLvl w:val="8"/>
    </w:pPr>
    <w:rPr>
      <w:rFonts w:asciiTheme="minorHAnsi" w:eastAsiaTheme="majorEastAsia" w:hAnsiTheme="minorHAnsi" w:cstheme="majorBidi"/>
      <w:color w:val="595959" w:themeColor="text1" w:themeTint="A6"/>
      <w:kern w:val="2"/>
      <w:sz w:val="21"/>
      <w:lang w:val="en-US" w:eastAsia="zh-C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EA6A17"/>
    <w:rPr>
      <w:rFonts w:asciiTheme="majorHAnsi" w:eastAsiaTheme="majorEastAsia" w:hAnsiTheme="majorHAnsi" w:cstheme="majorBidi"/>
      <w:color w:val="0F4761" w:themeColor="accent1" w:themeShade="BF"/>
      <w:sz w:val="48"/>
      <w:szCs w:val="48"/>
    </w:rPr>
  </w:style>
  <w:style w:type="character" w:customStyle="1" w:styleId="Heading2Char">
    <w:name w:val="Heading 2 Char"/>
    <w:basedOn w:val="DefaultParagraphFont"/>
    <w:link w:val="Heading2"/>
    <w:uiPriority w:val="9"/>
    <w:rsid w:val="00EA6A17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EA6A17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EA6A17"/>
    <w:rPr>
      <w:rFonts w:cstheme="majorBidi"/>
      <w:color w:val="0F4761" w:themeColor="accent1" w:themeShade="BF"/>
      <w:sz w:val="28"/>
      <w:szCs w:val="28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EA6A17"/>
    <w:rPr>
      <w:rFonts w:cstheme="majorBidi"/>
      <w:color w:val="0F4761" w:themeColor="accent1" w:themeShade="BF"/>
      <w:sz w:val="24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EA6A17"/>
    <w:rPr>
      <w:rFonts w:cstheme="majorBidi"/>
      <w:b/>
      <w:bCs/>
      <w:color w:val="0F4761" w:themeColor="accent1" w:themeShade="BF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EA6A17"/>
    <w:rPr>
      <w:rFonts w:cstheme="majorBidi"/>
      <w:b/>
      <w:bCs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EA6A17"/>
    <w:rPr>
      <w:rFonts w:cstheme="majorBidi"/>
      <w:color w:val="595959" w:themeColor="text1" w:themeTint="A6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EA6A17"/>
    <w:rPr>
      <w:rFonts w:eastAsiaTheme="majorEastAsia" w:cstheme="majorBidi"/>
      <w:color w:val="595959" w:themeColor="text1" w:themeTint="A6"/>
    </w:rPr>
  </w:style>
  <w:style w:type="paragraph" w:styleId="Title">
    <w:name w:val="Title"/>
    <w:basedOn w:val="Normal"/>
    <w:next w:val="Normal"/>
    <w:link w:val="TitleChar"/>
    <w:uiPriority w:val="10"/>
    <w:qFormat/>
    <w:rsid w:val="00EA6A17"/>
    <w:pPr>
      <w:widowControl w:val="0"/>
      <w:spacing w:after="80"/>
      <w:contextualSpacing/>
      <w:jc w:val="center"/>
    </w:pPr>
    <w:rPr>
      <w:rFonts w:asciiTheme="majorHAnsi" w:eastAsiaTheme="majorEastAsia" w:hAnsiTheme="majorHAnsi" w:cstheme="majorBidi"/>
      <w:spacing w:val="-10"/>
      <w:kern w:val="28"/>
      <w:sz w:val="56"/>
      <w:szCs w:val="56"/>
      <w:lang w:val="en-US" w:eastAsia="zh-CN"/>
    </w:rPr>
  </w:style>
  <w:style w:type="character" w:customStyle="1" w:styleId="TitleChar">
    <w:name w:val="Title Char"/>
    <w:basedOn w:val="DefaultParagraphFont"/>
    <w:link w:val="Title"/>
    <w:uiPriority w:val="10"/>
    <w:rsid w:val="00EA6A17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EA6A17"/>
    <w:pPr>
      <w:widowControl w:val="0"/>
      <w:numPr>
        <w:ilvl w:val="1"/>
      </w:numPr>
      <w:spacing w:after="160"/>
      <w:jc w:val="center"/>
    </w:pPr>
    <w:rPr>
      <w:rFonts w:asciiTheme="majorHAnsi" w:eastAsiaTheme="majorEastAsia" w:hAnsiTheme="majorHAnsi" w:cstheme="majorBidi"/>
      <w:color w:val="595959" w:themeColor="text1" w:themeTint="A6"/>
      <w:spacing w:val="15"/>
      <w:kern w:val="2"/>
      <w:sz w:val="28"/>
      <w:szCs w:val="28"/>
      <w:lang w:val="en-US" w:eastAsia="zh-CN"/>
    </w:rPr>
  </w:style>
  <w:style w:type="character" w:customStyle="1" w:styleId="SubtitleChar">
    <w:name w:val="Subtitle Char"/>
    <w:basedOn w:val="DefaultParagraphFont"/>
    <w:link w:val="Subtitle"/>
    <w:uiPriority w:val="11"/>
    <w:rsid w:val="00EA6A17"/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EA6A17"/>
    <w:pPr>
      <w:widowControl w:val="0"/>
      <w:spacing w:before="160" w:after="160"/>
      <w:jc w:val="center"/>
    </w:pPr>
    <w:rPr>
      <w:rFonts w:asciiTheme="minorHAnsi" w:hAnsiTheme="minorHAnsi" w:cstheme="minorBidi"/>
      <w:i/>
      <w:iCs/>
      <w:color w:val="404040" w:themeColor="text1" w:themeTint="BF"/>
      <w:kern w:val="2"/>
      <w:sz w:val="21"/>
      <w:lang w:val="en-US" w:eastAsia="zh-CN"/>
    </w:rPr>
  </w:style>
  <w:style w:type="character" w:customStyle="1" w:styleId="QuoteChar">
    <w:name w:val="Quote Char"/>
    <w:basedOn w:val="DefaultParagraphFont"/>
    <w:link w:val="Quote"/>
    <w:uiPriority w:val="29"/>
    <w:rsid w:val="00EA6A17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EA6A17"/>
    <w:pPr>
      <w:widowControl w:val="0"/>
      <w:ind w:left="720"/>
      <w:contextualSpacing/>
      <w:jc w:val="both"/>
    </w:pPr>
    <w:rPr>
      <w:rFonts w:asciiTheme="minorHAnsi" w:hAnsiTheme="minorHAnsi" w:cstheme="minorBidi"/>
      <w:kern w:val="2"/>
      <w:sz w:val="21"/>
      <w:lang w:val="en-US" w:eastAsia="zh-CN"/>
    </w:rPr>
  </w:style>
  <w:style w:type="character" w:styleId="IntenseEmphasis">
    <w:name w:val="Intense Emphasis"/>
    <w:basedOn w:val="DefaultParagraphFont"/>
    <w:uiPriority w:val="21"/>
    <w:qFormat/>
    <w:rsid w:val="00EA6A17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EA6A17"/>
    <w:pPr>
      <w:widowControl w:val="0"/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rFonts w:asciiTheme="minorHAnsi" w:hAnsiTheme="minorHAnsi" w:cstheme="minorBidi"/>
      <w:i/>
      <w:iCs/>
      <w:color w:val="0F4761" w:themeColor="accent1" w:themeShade="BF"/>
      <w:kern w:val="2"/>
      <w:sz w:val="21"/>
      <w:lang w:val="en-US" w:eastAsia="zh-CN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EA6A17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EA6A17"/>
    <w:rPr>
      <w:b/>
      <w:bCs/>
      <w:smallCaps/>
      <w:color w:val="0F4761" w:themeColor="accent1" w:themeShade="BF"/>
      <w:spacing w:val="5"/>
    </w:rPr>
  </w:style>
  <w:style w:type="paragraph" w:styleId="CommentText">
    <w:name w:val="annotation text"/>
    <w:basedOn w:val="Normal"/>
    <w:link w:val="CommentTextChar"/>
    <w:uiPriority w:val="99"/>
    <w:unhideWhenUsed/>
    <w:rsid w:val="00EA6A17"/>
    <w:rPr>
      <w:lang w:val="en-US"/>
    </w:rPr>
  </w:style>
  <w:style w:type="character" w:customStyle="1" w:styleId="CommentTextChar">
    <w:name w:val="Comment Text Char"/>
    <w:basedOn w:val="DefaultParagraphFont"/>
    <w:link w:val="CommentText"/>
    <w:uiPriority w:val="99"/>
    <w:rsid w:val="00EA6A17"/>
    <w:rPr>
      <w:rFonts w:ascii="Times New Roman" w:hAnsi="Times New Roman" w:cs="Times New Roman"/>
      <w:kern w:val="0"/>
      <w:sz w:val="24"/>
      <w:lang w:eastAsia="en-GB"/>
    </w:rPr>
  </w:style>
  <w:style w:type="character" w:styleId="CommentReference">
    <w:name w:val="annotation reference"/>
    <w:basedOn w:val="DefaultParagraphFont"/>
    <w:uiPriority w:val="99"/>
    <w:semiHidden/>
    <w:unhideWhenUsed/>
    <w:rsid w:val="00EA6A17"/>
    <w:rPr>
      <w:sz w:val="18"/>
      <w:szCs w:val="18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BB1C6E"/>
    <w:rPr>
      <w:b/>
      <w:bCs/>
      <w:sz w:val="20"/>
      <w:szCs w:val="20"/>
      <w:lang w:val="en-GB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BB1C6E"/>
    <w:rPr>
      <w:rFonts w:ascii="Times New Roman" w:hAnsi="Times New Roman" w:cs="Times New Roman"/>
      <w:b/>
      <w:bCs/>
      <w:kern w:val="0"/>
      <w:sz w:val="20"/>
      <w:szCs w:val="20"/>
      <w:lang w:val="en-GB" w:eastAsia="en-GB"/>
    </w:rPr>
  </w:style>
  <w:style w:type="paragraph" w:styleId="Footer">
    <w:name w:val="footer"/>
    <w:basedOn w:val="Normal"/>
    <w:link w:val="FooterChar"/>
    <w:uiPriority w:val="99"/>
    <w:unhideWhenUsed/>
    <w:rsid w:val="00BB1C6E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BB1C6E"/>
    <w:rPr>
      <w:rFonts w:ascii="Times New Roman" w:hAnsi="Times New Roman" w:cs="Times New Roman"/>
      <w:kern w:val="0"/>
      <w:sz w:val="24"/>
      <w:lang w:val="en-GB" w:eastAsia="en-GB"/>
    </w:rPr>
  </w:style>
  <w:style w:type="paragraph" w:styleId="Revision">
    <w:name w:val="Revision"/>
    <w:hidden/>
    <w:uiPriority w:val="99"/>
    <w:semiHidden/>
    <w:rsid w:val="004F069D"/>
    <w:rPr>
      <w:rFonts w:ascii="Times New Roman" w:hAnsi="Times New Roman" w:cs="Times New Roman"/>
      <w:kern w:val="0"/>
      <w:sz w:val="24"/>
      <w:lang w:val="en-GB" w:eastAsia="en-GB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tiff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2.tiff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tiff"/><Relationship Id="rId11" Type="http://schemas.openxmlformats.org/officeDocument/2006/relationships/footer" Target="footer3.xml"/><Relationship Id="rId5" Type="http://schemas.openxmlformats.org/officeDocument/2006/relationships/endnotes" Target="endnotes.xml"/><Relationship Id="rId10" Type="http://schemas.openxmlformats.org/officeDocument/2006/relationships/footer" Target="footer2.xml"/><Relationship Id="rId4" Type="http://schemas.openxmlformats.org/officeDocument/2006/relationships/footnotes" Target="footnotes.xml"/><Relationship Id="rId9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等线 Light" panose="020F0302020204030204"/>
        <a:ea typeface="黑体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宋体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3</Pages>
  <Words>193</Words>
  <Characters>1101</Characters>
  <Application>Microsoft Office Word</Application>
  <DocSecurity>0</DocSecurity>
  <Lines>9</Lines>
  <Paragraphs>2</Paragraphs>
  <ScaleCrop>false</ScaleCrop>
  <Company/>
  <LinksUpToDate>false</LinksUpToDate>
  <CharactersWithSpaces>1292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Office</dc:creator>
  <cp:keywords/>
  <dc:description/>
  <cp:lastModifiedBy>Capes, Imogen</cp:lastModifiedBy>
  <cp:revision>2</cp:revision>
  <dcterms:created xsi:type="dcterms:W3CDTF">2024-10-14T05:39:00Z</dcterms:created>
  <dcterms:modified xsi:type="dcterms:W3CDTF">2024-10-14T05:39:00Z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lassificationContentMarkingFooterShapeIds">
    <vt:lpwstr>3d71d0a,63d11e1c,6ef3260</vt:lpwstr>
  </property>
  <property fmtid="{D5CDD505-2E9C-101B-9397-08002B2CF9AE}" pid="3" name="ClassificationContentMarkingFooterFontProps">
    <vt:lpwstr>#0078d7,9,Rockwell</vt:lpwstr>
  </property>
  <property fmtid="{D5CDD505-2E9C-101B-9397-08002B2CF9AE}" pid="4" name="ClassificationContentMarkingFooterText">
    <vt:lpwstr>Information Classification: General</vt:lpwstr>
  </property>
  <property fmtid="{D5CDD505-2E9C-101B-9397-08002B2CF9AE}" pid="5" name="MSIP_Label_2bbab825-a111-45e4-86a1-18cee0005896_Enabled">
    <vt:lpwstr>true</vt:lpwstr>
  </property>
  <property fmtid="{D5CDD505-2E9C-101B-9397-08002B2CF9AE}" pid="6" name="MSIP_Label_2bbab825-a111-45e4-86a1-18cee0005896_SetDate">
    <vt:lpwstr>2024-10-10T19:05:23Z</vt:lpwstr>
  </property>
  <property fmtid="{D5CDD505-2E9C-101B-9397-08002B2CF9AE}" pid="7" name="MSIP_Label_2bbab825-a111-45e4-86a1-18cee0005896_Method">
    <vt:lpwstr>Standard</vt:lpwstr>
  </property>
  <property fmtid="{D5CDD505-2E9C-101B-9397-08002B2CF9AE}" pid="8" name="MSIP_Label_2bbab825-a111-45e4-86a1-18cee0005896_Name">
    <vt:lpwstr>2bbab825-a111-45e4-86a1-18cee0005896</vt:lpwstr>
  </property>
  <property fmtid="{D5CDD505-2E9C-101B-9397-08002B2CF9AE}" pid="9" name="MSIP_Label_2bbab825-a111-45e4-86a1-18cee0005896_SiteId">
    <vt:lpwstr>2567d566-604c-408a-8a60-55d0dc9d9d6b</vt:lpwstr>
  </property>
  <property fmtid="{D5CDD505-2E9C-101B-9397-08002B2CF9AE}" pid="10" name="MSIP_Label_2bbab825-a111-45e4-86a1-18cee0005896_ActionId">
    <vt:lpwstr>0b69241f-31c3-479e-8067-e775f2e7e0f0</vt:lpwstr>
  </property>
  <property fmtid="{D5CDD505-2E9C-101B-9397-08002B2CF9AE}" pid="11" name="MSIP_Label_2bbab825-a111-45e4-86a1-18cee0005896_ContentBits">
    <vt:lpwstr>2</vt:lpwstr>
  </property>
</Properties>
</file>