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E6B1" w14:textId="77777777" w:rsidR="00EE44FB" w:rsidRPr="00C41347" w:rsidRDefault="00351701">
      <w:pPr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  <w:t>Supplementary files</w:t>
      </w:r>
    </w:p>
    <w:p w14:paraId="2AA0479F" w14:textId="5DE6FD45" w:rsidR="00652629" w:rsidRPr="00652629" w:rsidRDefault="00C41347" w:rsidP="00C41347">
      <w:pPr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  <w:br w:type="page"/>
      </w:r>
    </w:p>
    <w:p w14:paraId="45AC712E" w14:textId="779B3685" w:rsidR="00EE44FB" w:rsidRDefault="00652629" w:rsidP="00C41347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59E8F7E6" wp14:editId="3BD88450">
            <wp:extent cx="5272405" cy="4631690"/>
            <wp:effectExtent l="0" t="0" r="4445" b="0"/>
            <wp:docPr id="17776520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63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347" w:rsidRPr="00C413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Supplementary Figure 1: </w:t>
      </w:r>
      <w:r w:rsidR="00C41347" w:rsidRPr="00C413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Radiological response, as assessed by modified Response Evaluation Criteria in Solid Tumors (mRECIST) in the total cohort (A), and according to </w:t>
      </w:r>
      <w:r w:rsidRPr="004838A3">
        <w:rPr>
          <w:rFonts w:ascii="Times New Roman" w:hAnsi="Times New Roman" w:cs="Times New Roman"/>
          <w:szCs w:val="22"/>
        </w:rPr>
        <w:t>Child-Pugh</w:t>
      </w:r>
      <w:r>
        <w:rPr>
          <w:rFonts w:ascii="Times New Roman" w:hAnsi="Times New Roman" w:cs="Times New Roman" w:hint="eastAsia"/>
          <w:szCs w:val="22"/>
        </w:rPr>
        <w:t xml:space="preserve"> (CP)</w:t>
      </w:r>
      <w:r w:rsidRPr="004838A3">
        <w:rPr>
          <w:rFonts w:ascii="Times New Roman" w:hAnsi="Times New Roman" w:cs="Times New Roman"/>
          <w:szCs w:val="22"/>
        </w:rPr>
        <w:t xml:space="preserve"> grade</w:t>
      </w:r>
      <w:r w:rsidR="00C41347" w:rsidRPr="00C413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(B), Barcelona Clinic Liver Cancer (BCLC) stage (C), and neutrophil-to-lymphocyte ratio (NLR) levels (D).</w:t>
      </w:r>
    </w:p>
    <w:p w14:paraId="037ED9F1" w14:textId="77777777" w:rsidR="00C41347" w:rsidRDefault="00C41347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347B9911" w14:textId="1C6FD859" w:rsidR="00C41347" w:rsidRDefault="00652629" w:rsidP="00C41347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6AC891F9" wp14:editId="57F3B7A1">
            <wp:extent cx="5273675" cy="2030730"/>
            <wp:effectExtent l="0" t="0" r="3175" b="7620"/>
            <wp:docPr id="3268013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8449" w14:textId="779705EC" w:rsidR="00D94A10" w:rsidRPr="00DF2194" w:rsidRDefault="00C41347" w:rsidP="00C41347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413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Supplementary Figure 2: </w:t>
      </w:r>
      <w:r w:rsidRPr="00C413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Kaplan-Meier curves describing the overall survival (OS) (A) and the progression-free survival (PFS) (B) of the efficacy of patients stratified by </w:t>
      </w:r>
      <w:r w:rsidR="00652629" w:rsidRPr="004838A3">
        <w:rPr>
          <w:rFonts w:ascii="Times New Roman" w:hAnsi="Times New Roman" w:cs="Times New Roman"/>
          <w:szCs w:val="22"/>
        </w:rPr>
        <w:t>Child-Pugh</w:t>
      </w:r>
      <w:r w:rsidR="00652629">
        <w:rPr>
          <w:rFonts w:ascii="Times New Roman" w:hAnsi="Times New Roman" w:cs="Times New Roman" w:hint="eastAsia"/>
          <w:szCs w:val="22"/>
        </w:rPr>
        <w:t xml:space="preserve"> (CP)</w:t>
      </w:r>
      <w:r w:rsidR="00652629" w:rsidRPr="004838A3">
        <w:rPr>
          <w:rFonts w:ascii="Times New Roman" w:hAnsi="Times New Roman" w:cs="Times New Roman"/>
          <w:szCs w:val="22"/>
        </w:rPr>
        <w:t xml:space="preserve"> grade</w:t>
      </w:r>
      <w:r w:rsidRPr="00C4134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77FBEA8" w14:textId="77777777" w:rsidR="00D94A10" w:rsidRDefault="00D94A10">
      <w:pPr>
        <w:widowControl/>
        <w:jc w:val="left"/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br w:type="page"/>
      </w:r>
    </w:p>
    <w:p w14:paraId="2AC22094" w14:textId="48A79C04" w:rsidR="00D94A10" w:rsidRPr="00D94A10" w:rsidRDefault="00D94A10" w:rsidP="00DF2194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</w:pPr>
      <w:r w:rsidRPr="00C4134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Supplementary </w:t>
      </w:r>
      <w:r w:rsidRPr="00D94A10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Table 1. Comparison of the present study with our latest published study</w:t>
      </w:r>
      <w:r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 xml:space="preserve"> by </w:t>
      </w:r>
      <w:r w:rsidRPr="00D94A10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Zhang et al</w:t>
      </w:r>
      <w:r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>.</w:t>
      </w:r>
    </w:p>
    <w:tbl>
      <w:tblPr>
        <w:tblW w:w="8505" w:type="dxa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010"/>
        <w:gridCol w:w="3402"/>
      </w:tblGrid>
      <w:tr w:rsidR="00D94A10" w:rsidRPr="00D94A10" w14:paraId="5E8BCBE0" w14:textId="77777777" w:rsidTr="00560122">
        <w:trPr>
          <w:trHeight w:val="1248"/>
        </w:trPr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6896AB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366091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Characteristics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B691435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The present study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9391949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The study conducted by Zhang et al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D94A10" w:rsidRPr="00D94A10" w14:paraId="418D5981" w14:textId="77777777" w:rsidTr="00560122">
        <w:trPr>
          <w:trHeight w:val="1248"/>
        </w:trPr>
        <w:tc>
          <w:tcPr>
            <w:tcW w:w="2093" w:type="dxa"/>
            <w:tcBorders>
              <w:top w:val="single" w:sz="8" w:space="0" w:color="auto"/>
              <w:left w:val="nil"/>
              <w:right w:val="nil"/>
            </w:tcBorders>
          </w:tcPr>
          <w:p w14:paraId="34193FB8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66091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Study design</w:t>
            </w:r>
          </w:p>
        </w:tc>
        <w:tc>
          <w:tcPr>
            <w:tcW w:w="3010" w:type="dxa"/>
            <w:tcBorders>
              <w:top w:val="single" w:sz="8" w:space="0" w:color="auto"/>
              <w:right w:val="nil"/>
            </w:tcBorders>
          </w:tcPr>
          <w:p w14:paraId="47AE4C89" w14:textId="77777777" w:rsidR="00D94A10" w:rsidRPr="00D94A10" w:rsidRDefault="00D94A10" w:rsidP="0056012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Retrospective, multi-centers (1. The First Affiliated Hospital With Nanjing Medical University; 2. Jinling Hospital, Affiliated Hospital of Medical School, Nanjing University; 3. The Affiliated Hospital of Xuzhou Medical University; 4 The Affiliated Cancer Hospital of Nanjing Medical University)</w:t>
            </w:r>
          </w:p>
        </w:tc>
        <w:tc>
          <w:tcPr>
            <w:tcW w:w="3402" w:type="dxa"/>
            <w:tcBorders>
              <w:top w:val="single" w:sz="8" w:space="0" w:color="auto"/>
              <w:right w:val="nil"/>
            </w:tcBorders>
          </w:tcPr>
          <w:p w14:paraId="04BB03AF" w14:textId="77777777" w:rsidR="00D94A10" w:rsidRPr="00D94A10" w:rsidRDefault="00D94A10" w:rsidP="0056012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Retrospective, multi-centers (1. The First Affiliated Hospital With Nanjing Medical University; 2. Jinling Hospital, Affiliated</w:t>
            </w:r>
          </w:p>
          <w:p w14:paraId="1588F0DF" w14:textId="77777777" w:rsidR="00D94A10" w:rsidRPr="00D94A10" w:rsidRDefault="00D94A10" w:rsidP="00560122"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Hospital of Medical School, Nanjing University;3. The Second Hospital of Nanjing, Nanjing University of Chinese Medicine; 4. School of Medicine, Sir Run Run Shaw Hospital, Zhejiang University)</w:t>
            </w:r>
          </w:p>
        </w:tc>
      </w:tr>
      <w:tr w:rsidR="00D94A10" w:rsidRPr="00D94A10" w14:paraId="13C15912" w14:textId="77777777" w:rsidTr="00560122">
        <w:trPr>
          <w:trHeight w:val="1248"/>
        </w:trPr>
        <w:tc>
          <w:tcPr>
            <w:tcW w:w="2093" w:type="dxa"/>
          </w:tcPr>
          <w:p w14:paraId="66AF7012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66091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Population</w:t>
            </w:r>
          </w:p>
        </w:tc>
        <w:tc>
          <w:tcPr>
            <w:tcW w:w="3010" w:type="dxa"/>
          </w:tcPr>
          <w:p w14:paraId="736B43F1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>BCLC B and C stages [35 BCLC B stage, 57 BCLC C stage]</w:t>
            </w:r>
          </w:p>
        </w:tc>
        <w:tc>
          <w:tcPr>
            <w:tcW w:w="3402" w:type="dxa"/>
          </w:tcPr>
          <w:p w14:paraId="751A79D8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BCLC C stage (all </w:t>
            </w: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  <w14:ligatures w14:val="standardContextual"/>
              </w:rPr>
              <w:t>patients with PVTT)</w:t>
            </w:r>
          </w:p>
        </w:tc>
      </w:tr>
      <w:tr w:rsidR="00D94A10" w:rsidRPr="00D94A10" w14:paraId="55E274A1" w14:textId="77777777" w:rsidTr="00560122">
        <w:trPr>
          <w:trHeight w:val="1248"/>
        </w:trPr>
        <w:tc>
          <w:tcPr>
            <w:tcW w:w="2093" w:type="dxa"/>
          </w:tcPr>
          <w:p w14:paraId="7B82B5EB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Number of cases</w:t>
            </w:r>
          </w:p>
        </w:tc>
        <w:tc>
          <w:tcPr>
            <w:tcW w:w="3010" w:type="dxa"/>
          </w:tcPr>
          <w:p w14:paraId="6089E2EB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3402" w:type="dxa"/>
          </w:tcPr>
          <w:p w14:paraId="24D3369A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184</w:t>
            </w:r>
          </w:p>
        </w:tc>
      </w:tr>
      <w:tr w:rsidR="00D94A10" w:rsidRPr="00D94A10" w14:paraId="1A0257C7" w14:textId="77777777" w:rsidTr="00560122">
        <w:trPr>
          <w:trHeight w:val="1248"/>
        </w:trPr>
        <w:tc>
          <w:tcPr>
            <w:tcW w:w="2093" w:type="dxa"/>
          </w:tcPr>
          <w:p w14:paraId="6BA137A7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Enrolled range</w:t>
            </w:r>
          </w:p>
        </w:tc>
        <w:tc>
          <w:tcPr>
            <w:tcW w:w="3010" w:type="dxa"/>
          </w:tcPr>
          <w:p w14:paraId="22E0E27A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>August 2021 and September 2023</w:t>
            </w:r>
          </w:p>
        </w:tc>
        <w:tc>
          <w:tcPr>
            <w:tcW w:w="3402" w:type="dxa"/>
          </w:tcPr>
          <w:p w14:paraId="285D2FDF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>January 2019 and January 2022</w:t>
            </w:r>
          </w:p>
        </w:tc>
      </w:tr>
      <w:tr w:rsidR="00D94A10" w:rsidRPr="00D94A10" w14:paraId="1F35E64F" w14:textId="77777777" w:rsidTr="00560122">
        <w:trPr>
          <w:trHeight w:val="1248"/>
        </w:trPr>
        <w:tc>
          <w:tcPr>
            <w:tcW w:w="2093" w:type="dxa"/>
          </w:tcPr>
          <w:p w14:paraId="66EE37FF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Intervention</w:t>
            </w:r>
          </w:p>
        </w:tc>
        <w:tc>
          <w:tcPr>
            <w:tcW w:w="3010" w:type="dxa"/>
          </w:tcPr>
          <w:p w14:paraId="5BE70F25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>TACE + atezolizumab + Bevacizumab</w:t>
            </w:r>
          </w:p>
        </w:tc>
        <w:tc>
          <w:tcPr>
            <w:tcW w:w="3402" w:type="dxa"/>
          </w:tcPr>
          <w:p w14:paraId="4A3CF2A8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TACE + ICIs (camrelizumab or sintilimab or atezolizumab) + TKIs (</w:t>
            </w: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  <w14:ligatures w14:val="standardContextual"/>
              </w:rPr>
              <w:t>(lenvatinib or sorafenib</w:t>
            </w: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</w:tr>
      <w:tr w:rsidR="00D94A10" w:rsidRPr="00D94A10" w14:paraId="1C110ECE" w14:textId="77777777" w:rsidTr="00560122">
        <w:trPr>
          <w:trHeight w:val="1248"/>
        </w:trPr>
        <w:tc>
          <w:tcPr>
            <w:tcW w:w="2093" w:type="dxa"/>
          </w:tcPr>
          <w:p w14:paraId="71D11EEA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66091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>Comparison</w:t>
            </w:r>
          </w:p>
        </w:tc>
        <w:tc>
          <w:tcPr>
            <w:tcW w:w="3010" w:type="dxa"/>
          </w:tcPr>
          <w:p w14:paraId="7E9BFC60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Single arm</w:t>
            </w:r>
          </w:p>
        </w:tc>
        <w:tc>
          <w:tcPr>
            <w:tcW w:w="3402" w:type="dxa"/>
          </w:tcPr>
          <w:p w14:paraId="412DFB5E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TACE-ICI-TKIs vs.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ICI-TKIs</w:t>
            </w:r>
          </w:p>
        </w:tc>
      </w:tr>
      <w:tr w:rsidR="00D94A10" w:rsidRPr="00D94A10" w14:paraId="6C30AE8B" w14:textId="77777777" w:rsidTr="00560122">
        <w:trPr>
          <w:trHeight w:val="1248"/>
        </w:trPr>
        <w:tc>
          <w:tcPr>
            <w:tcW w:w="2093" w:type="dxa"/>
          </w:tcPr>
          <w:p w14:paraId="5571BD84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Outcomes </w:t>
            </w:r>
          </w:p>
        </w:tc>
        <w:tc>
          <w:tcPr>
            <w:tcW w:w="3010" w:type="dxa"/>
          </w:tcPr>
          <w:p w14:paraId="07805224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Tumor response, </w:t>
            </w: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Time to response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Progression-free survival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Overall survival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, and </w:t>
            </w: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Adverse events</w:t>
            </w:r>
          </w:p>
        </w:tc>
        <w:tc>
          <w:tcPr>
            <w:tcW w:w="3402" w:type="dxa"/>
          </w:tcPr>
          <w:p w14:paraId="60DBD2BE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Tumor response, </w:t>
            </w: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Progression-free survival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Overall survival</w:t>
            </w:r>
            <w:r w:rsidRPr="00D94A10">
              <w:rPr>
                <w:rFonts w:ascii="Times New Roman" w:hAnsi="Times New Roman" w:cs="Times New Roman"/>
                <w:sz w:val="22"/>
                <w:szCs w:val="22"/>
              </w:rPr>
              <w:t xml:space="preserve">, and </w:t>
            </w: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Adverse events</w:t>
            </w:r>
          </w:p>
        </w:tc>
      </w:tr>
      <w:tr w:rsidR="00D94A10" w:rsidRPr="00D94A10" w14:paraId="3E14A8FD" w14:textId="77777777" w:rsidTr="00560122">
        <w:trPr>
          <w:trHeight w:val="1248"/>
        </w:trPr>
        <w:tc>
          <w:tcPr>
            <w:tcW w:w="2093" w:type="dxa"/>
            <w:tcBorders>
              <w:bottom w:val="single" w:sz="4" w:space="0" w:color="000000"/>
            </w:tcBorders>
          </w:tcPr>
          <w:p w14:paraId="22A4FD70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Follow up times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14:paraId="2E9B7DBE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14.1 </w:t>
            </w: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months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1E33A383" w14:textId="77777777" w:rsidR="00D94A10" w:rsidRPr="00D94A10" w:rsidRDefault="00D94A10" w:rsidP="0056012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D94A1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19.0 </w:t>
            </w:r>
            <w:r w:rsidRPr="00D94A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months</w:t>
            </w:r>
          </w:p>
        </w:tc>
      </w:tr>
    </w:tbl>
    <w:p w14:paraId="39A3C7EE" w14:textId="680CF944" w:rsidR="00D94A10" w:rsidRPr="00DF2194" w:rsidRDefault="00DF2194" w:rsidP="00DF2194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kern w:val="0"/>
        </w:rPr>
        <w:t xml:space="preserve">Note: </w:t>
      </w:r>
      <w:r w:rsidR="00351701">
        <w:rPr>
          <w:rFonts w:ascii="Times New Roman" w:hAnsi="Times New Roman" w:cs="Times New Roman"/>
          <w:kern w:val="0"/>
        </w:rPr>
        <w:t>Data from</w:t>
      </w:r>
      <w:r>
        <w:rPr>
          <w:rFonts w:ascii="Times New Roman" w:hAnsi="Times New Roman" w:cs="Times New Roman"/>
          <w:kern w:val="0"/>
        </w:rPr>
        <w:t xml:space="preserve"> </w:t>
      </w:r>
      <w:r w:rsidRPr="00DF2194">
        <w:rPr>
          <w:rFonts w:ascii="Times New Roman" w:hAnsi="Times New Roman" w:cs="Times New Roman"/>
          <w:kern w:val="0"/>
        </w:rPr>
        <w:t xml:space="preserve">Zhang JX, Cheng Y, Wei J, et al. </w:t>
      </w:r>
      <w:proofErr w:type="spellStart"/>
      <w:r w:rsidRPr="00DF2194">
        <w:rPr>
          <w:rFonts w:ascii="Times New Roman" w:hAnsi="Times New Roman" w:cs="Times New Roman"/>
          <w:kern w:val="0"/>
        </w:rPr>
        <w:t>Transarterial</w:t>
      </w:r>
      <w:proofErr w:type="spellEnd"/>
      <w:r w:rsidRPr="00DF2194">
        <w:rPr>
          <w:rFonts w:ascii="Times New Roman" w:hAnsi="Times New Roman" w:cs="Times New Roman"/>
          <w:kern w:val="0"/>
        </w:rPr>
        <w:t xml:space="preserve"> Chemoembolization Combined with Tyrosine Kinase Inhibitors Plus Immune Checkpoint Inhibitors Versus Tyrosine Kinase Inhibitors Plus Immune Checkpoint Inhibitors in Unresectable Hepatocellular Carcinoma with First- or Lower-Order Portal Vein Tumor Thrombosis. </w:t>
      </w:r>
      <w:r w:rsidRPr="00351701">
        <w:rPr>
          <w:rFonts w:ascii="Times New Roman" w:hAnsi="Times New Roman" w:cs="Times New Roman"/>
          <w:i/>
          <w:iCs/>
          <w:kern w:val="0"/>
        </w:rPr>
        <w:t xml:space="preserve">Cardiovasc </w:t>
      </w:r>
      <w:proofErr w:type="spellStart"/>
      <w:r w:rsidRPr="00351701">
        <w:rPr>
          <w:rFonts w:ascii="Times New Roman" w:hAnsi="Times New Roman" w:cs="Times New Roman"/>
          <w:i/>
          <w:iCs/>
          <w:kern w:val="0"/>
        </w:rPr>
        <w:t>Intervent</w:t>
      </w:r>
      <w:proofErr w:type="spellEnd"/>
      <w:r w:rsidRPr="00351701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351701">
        <w:rPr>
          <w:rFonts w:ascii="Times New Roman" w:hAnsi="Times New Roman" w:cs="Times New Roman"/>
          <w:i/>
          <w:iCs/>
          <w:kern w:val="0"/>
        </w:rPr>
        <w:t>Radiol</w:t>
      </w:r>
      <w:proofErr w:type="spellEnd"/>
      <w:r w:rsidRPr="00DF2194">
        <w:rPr>
          <w:rFonts w:ascii="Times New Roman" w:hAnsi="Times New Roman" w:cs="Times New Roman"/>
          <w:kern w:val="0"/>
        </w:rPr>
        <w:t xml:space="preserve">. 2024;47(6):751-761. </w:t>
      </w:r>
      <w:proofErr w:type="spellStart"/>
      <w:r w:rsidRPr="00DF2194">
        <w:rPr>
          <w:rFonts w:ascii="Times New Roman" w:hAnsi="Times New Roman" w:cs="Times New Roman"/>
          <w:kern w:val="0"/>
        </w:rPr>
        <w:t>doi</w:t>
      </w:r>
      <w:proofErr w:type="spellEnd"/>
      <w:r w:rsidRPr="00DF2194">
        <w:rPr>
          <w:rFonts w:ascii="Times New Roman" w:hAnsi="Times New Roman" w:cs="Times New Roman"/>
          <w:kern w:val="0"/>
        </w:rPr>
        <w:t>: 10.1007/s00270-024-03724-x.</w:t>
      </w:r>
    </w:p>
    <w:p w14:paraId="1BFCFEA2" w14:textId="219591C8" w:rsidR="00D94A10" w:rsidRPr="00D94A10" w:rsidRDefault="00D94A10" w:rsidP="00DF2194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00D94A10" w:rsidRPr="00D94A10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C833B" w14:textId="77777777" w:rsidR="00BF70ED" w:rsidRDefault="00BF70ED">
      <w:r>
        <w:separator/>
      </w:r>
    </w:p>
  </w:endnote>
  <w:endnote w:type="continuationSeparator" w:id="0">
    <w:p w14:paraId="401737E1" w14:textId="77777777" w:rsidR="00BF70ED" w:rsidRDefault="00BF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14186" w14:textId="2FAC2D9E" w:rsidR="00EE44FB" w:rsidRDefault="00686560">
    <w:pPr>
      <w:pStyle w:val="Footer"/>
      <w:framePr w:wrap="auto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5ED7FE" wp14:editId="6A3C2D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12813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3CE7E" w14:textId="0A056C60" w:rsidR="00686560" w:rsidRPr="00686560" w:rsidRDefault="00686560" w:rsidP="006865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65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ED7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1B3CE7E" w14:textId="0A056C60" w:rsidR="00686560" w:rsidRPr="00686560" w:rsidRDefault="00686560" w:rsidP="006865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65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706304142"/>
    </w:sdtPr>
    <w:sdtEndPr>
      <w:rPr>
        <w:rStyle w:val="PageNumber"/>
      </w:rPr>
    </w:sdtEndPr>
    <w:sdtContent>
      <w:p w14:paraId="6595FF2F" w14:textId="77777777" w:rsidR="00EE44FB" w:rsidRDefault="00351701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FBA61E" w14:textId="77777777" w:rsidR="00EE44FB" w:rsidRDefault="00EE44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6207D" w14:textId="4B439D03" w:rsidR="00EE44FB" w:rsidRDefault="00686560">
    <w:pPr>
      <w:pStyle w:val="Footer"/>
      <w:framePr w:wrap="auto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EB6942" wp14:editId="043069F3">
              <wp:simplePos x="63531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46929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AAD8F" w14:textId="2DE14534" w:rsidR="00686560" w:rsidRPr="00686560" w:rsidRDefault="00686560" w:rsidP="006865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65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B69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FAAD8F" w14:textId="2DE14534" w:rsidR="00686560" w:rsidRPr="00686560" w:rsidRDefault="00686560" w:rsidP="006865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65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476067535"/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sdtContent>
    </w:sdt>
  </w:p>
  <w:p w14:paraId="4089152E" w14:textId="77777777" w:rsidR="00EE44FB" w:rsidRDefault="00EE44F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91797" w14:textId="6EFCF1A6" w:rsidR="00686560" w:rsidRDefault="006865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CF5706" wp14:editId="0DE5FF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398929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93C12" w14:textId="05125B3B" w:rsidR="00686560" w:rsidRPr="00686560" w:rsidRDefault="00686560" w:rsidP="006865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65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F57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C93C12" w14:textId="05125B3B" w:rsidR="00686560" w:rsidRPr="00686560" w:rsidRDefault="00686560" w:rsidP="006865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65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3BEEB" w14:textId="77777777" w:rsidR="00BF70ED" w:rsidRDefault="00BF70ED">
      <w:r>
        <w:separator/>
      </w:r>
    </w:p>
  </w:footnote>
  <w:footnote w:type="continuationSeparator" w:id="0">
    <w:p w14:paraId="641EAAD4" w14:textId="77777777" w:rsidR="00BF70ED" w:rsidRDefault="00BF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93435"/>
    <w:multiLevelType w:val="hybridMultilevel"/>
    <w:tmpl w:val="61567914"/>
    <w:lvl w:ilvl="0" w:tplc="80769D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08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3OWUxMmI4ZGU2NmFmYWZmNzkwMGZiZmQxMGU3M2MifQ=="/>
  </w:docVars>
  <w:rsids>
    <w:rsidRoot w:val="00605FA9"/>
    <w:rsid w:val="000329EE"/>
    <w:rsid w:val="00040F77"/>
    <w:rsid w:val="000746F7"/>
    <w:rsid w:val="00176BB6"/>
    <w:rsid w:val="001B2F70"/>
    <w:rsid w:val="002921EE"/>
    <w:rsid w:val="002B5240"/>
    <w:rsid w:val="002F61B6"/>
    <w:rsid w:val="003035FF"/>
    <w:rsid w:val="00351701"/>
    <w:rsid w:val="003C5991"/>
    <w:rsid w:val="004C1144"/>
    <w:rsid w:val="004E428F"/>
    <w:rsid w:val="0056231F"/>
    <w:rsid w:val="005B72B2"/>
    <w:rsid w:val="00605FA9"/>
    <w:rsid w:val="00607313"/>
    <w:rsid w:val="00652629"/>
    <w:rsid w:val="00686560"/>
    <w:rsid w:val="006F009B"/>
    <w:rsid w:val="008B6DC8"/>
    <w:rsid w:val="009176C5"/>
    <w:rsid w:val="009723FA"/>
    <w:rsid w:val="00AB543E"/>
    <w:rsid w:val="00AE4129"/>
    <w:rsid w:val="00B2419C"/>
    <w:rsid w:val="00B74371"/>
    <w:rsid w:val="00BD5FFA"/>
    <w:rsid w:val="00BD6DC5"/>
    <w:rsid w:val="00BF70ED"/>
    <w:rsid w:val="00C27683"/>
    <w:rsid w:val="00C340BC"/>
    <w:rsid w:val="00C41347"/>
    <w:rsid w:val="00C77365"/>
    <w:rsid w:val="00CF4FCB"/>
    <w:rsid w:val="00D363AD"/>
    <w:rsid w:val="00D65263"/>
    <w:rsid w:val="00D94A10"/>
    <w:rsid w:val="00DF2194"/>
    <w:rsid w:val="00E36C43"/>
    <w:rsid w:val="00EC4691"/>
    <w:rsid w:val="00EE44FB"/>
    <w:rsid w:val="00F44FD6"/>
    <w:rsid w:val="00F846DE"/>
    <w:rsid w:val="00F95C01"/>
    <w:rsid w:val="07EE6DE3"/>
    <w:rsid w:val="0958103A"/>
    <w:rsid w:val="508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05EA4"/>
  <w15:docId w15:val="{FD0EED8F-8990-7A48-8B88-960CD36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autoRedefine/>
    <w:uiPriority w:val="99"/>
    <w:semiHidden/>
    <w:unhideWhenUsed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94A10"/>
  </w:style>
  <w:style w:type="paragraph" w:styleId="Header">
    <w:name w:val="header"/>
    <w:basedOn w:val="Normal"/>
    <w:link w:val="HeaderChar"/>
    <w:uiPriority w:val="99"/>
    <w:unhideWhenUsed/>
    <w:rsid w:val="00F846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46DE"/>
    <w:rPr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652629"/>
    <w:rPr>
      <w:kern w:val="2"/>
      <w:sz w:val="21"/>
      <w:szCs w:val="24"/>
    </w:rPr>
  </w:style>
  <w:style w:type="paragraph" w:styleId="ListParagraph">
    <w:name w:val="List Paragraph"/>
    <w:basedOn w:val="Normal"/>
    <w:uiPriority w:val="99"/>
    <w:unhideWhenUsed/>
    <w:rsid w:val="00DF219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686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560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560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 Qingquan</dc:creator>
  <cp:lastModifiedBy>Lee, Boon</cp:lastModifiedBy>
  <cp:revision>2</cp:revision>
  <dcterms:created xsi:type="dcterms:W3CDTF">2024-10-15T23:45:00Z</dcterms:created>
  <dcterms:modified xsi:type="dcterms:W3CDTF">2024-10-15T23:45:00Z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BCFA2C35931F4EB8A833B622061D5416_12</vt:lpwstr>
  </property>
  <property fmtid="{D5CDD505-2E9C-101B-9397-08002B2CF9AE}" pid="4" name="ClassificationContentMarkingFooterShapeIds">
    <vt:lpwstr>4fdd24dc,6a2c3254,616f6f3c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2024-09-10T03:09:34Z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ef6b196f-8883-4674-b1ba-f9c37bbef72e</vt:lpwstr>
  </property>
  <property fmtid="{D5CDD505-2E9C-101B-9397-08002B2CF9AE}" pid="13" name="MSIP_Label_2bbab825-a111-45e4-86a1-18cee0005896_ContentBits">
    <vt:lpwstr>2</vt:lpwstr>
  </property>
</Properties>
</file>