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56369" w:rsidR="00056369" w:rsidP="00056369" w:rsidRDefault="00056369" w14:paraId="6571A051" w14:textId="77777777">
      <w:pPr>
        <w:keepNext/>
        <w:keepLines/>
        <w:spacing w:before="240" w:after="0" w:line="480" w:lineRule="auto"/>
        <w:outlineLvl w:val="0"/>
        <w:rPr>
          <w:rFonts w:ascii="Arial" w:hAnsi="Arial" w:eastAsia="MS PGothic" w:cs="Arial"/>
          <w:b/>
          <w:bCs/>
          <w:color w:val="000000"/>
          <w:sz w:val="32"/>
          <w:szCs w:val="32"/>
          <w:lang w:val="en-US"/>
        </w:rPr>
      </w:pPr>
      <w:r w:rsidRPr="00056369">
        <w:rPr>
          <w:rFonts w:ascii="Arial" w:hAnsi="Arial" w:eastAsia="MS PGothic" w:cs="Arial"/>
          <w:b/>
          <w:bCs/>
          <w:color w:val="000000"/>
          <w:sz w:val="32"/>
          <w:szCs w:val="32"/>
          <w:lang w:val="en-US"/>
        </w:rPr>
        <w:t>Supplement</w:t>
      </w:r>
    </w:p>
    <w:p w:rsidRPr="00056369" w:rsidR="00056369" w:rsidP="00056369" w:rsidRDefault="00056369" w14:paraId="53203970" w14:textId="77777777">
      <w:pPr>
        <w:rPr>
          <w:rFonts w:ascii="Arial" w:hAnsi="Arial" w:eastAsia="MS PGothic" w:cs="Arial"/>
        </w:rPr>
      </w:pPr>
    </w:p>
    <w:p w:rsidRPr="00056369" w:rsidR="00056369" w:rsidP="00056369" w:rsidRDefault="00056369" w14:paraId="16485AC0" w14:textId="77777777">
      <w:pPr>
        <w:spacing w:line="480" w:lineRule="auto"/>
        <w:rPr>
          <w:rFonts w:ascii="Arial" w:hAnsi="Arial" w:eastAsia="MS PGothic" w:cs="Arial"/>
          <w:sz w:val="20"/>
          <w:szCs w:val="20"/>
          <w:u w:val="single"/>
        </w:rPr>
      </w:pPr>
      <w:r w:rsidRPr="00056369">
        <w:rPr>
          <w:rFonts w:ascii="Arial" w:hAnsi="Arial" w:eastAsia="MS PGothic" w:cs="Arial"/>
          <w:sz w:val="20"/>
          <w:szCs w:val="20"/>
          <w:u w:val="single"/>
        </w:rPr>
        <w:t>International Classification of Diseases, Tenth Revision code for conditions incompatible with a COPD diagnosis</w:t>
      </w:r>
    </w:p>
    <w:p w:rsidRPr="00056369" w:rsidR="00056369" w:rsidP="00056369" w:rsidRDefault="00056369" w14:paraId="70CE4227" w14:textId="77777777">
      <w:pPr>
        <w:spacing w:line="480" w:lineRule="auto"/>
        <w:rPr>
          <w:rFonts w:ascii="Arial" w:hAnsi="Arial" w:eastAsia="MS PGothic" w:cs="Arial"/>
          <w:sz w:val="20"/>
          <w:szCs w:val="20"/>
        </w:rPr>
      </w:pPr>
      <w:r w:rsidRPr="00056369">
        <w:rPr>
          <w:rFonts w:ascii="Arial" w:hAnsi="Arial" w:eastAsia="MS PGothic" w:cs="Arial"/>
          <w:sz w:val="20"/>
          <w:szCs w:val="20"/>
        </w:rPr>
        <w:t>Medical conditions incompatible with a COPD diagnosis included any conditions that are related to lung or bronchial developmental anomalies, degenerative processes (cystic fibrosis, pulmonary fibrosis), pulmonary resection, or other significant respiratory disorders other than COPD that can interfere with clinical COPD diagnosis or substantially change the natural history of the disease.</w:t>
      </w:r>
    </w:p>
    <w:p w:rsidRPr="00056369" w:rsidR="00056369" w:rsidP="00056369" w:rsidRDefault="00056369" w14:paraId="33CCBA2B" w14:textId="77777777">
      <w:pPr>
        <w:rPr>
          <w:rFonts w:ascii="Arial" w:hAnsi="Arial" w:eastAsia="MS PGothic" w:cs="Arial"/>
          <w:b/>
          <w:bCs/>
        </w:rPr>
      </w:pPr>
      <w:r w:rsidRPr="00056369">
        <w:rPr>
          <w:rFonts w:ascii="Arial" w:hAnsi="Arial" w:eastAsia="MS PGothic" w:cs="Arial"/>
          <w:b/>
          <w:bCs/>
        </w:rPr>
        <w:br w:type="page"/>
      </w:r>
    </w:p>
    <w:p w:rsidRPr="00056369" w:rsidR="00056369" w:rsidP="00056369" w:rsidRDefault="00056369" w14:paraId="500EE1F5" w14:textId="77777777">
      <w:pPr>
        <w:rPr>
          <w:rFonts w:ascii="Arial" w:hAnsi="Arial" w:eastAsia="MS PGothic" w:cs="Arial"/>
          <w:sz w:val="20"/>
          <w:szCs w:val="20"/>
        </w:rPr>
      </w:pPr>
      <w:r w:rsidRPr="00056369">
        <w:rPr>
          <w:rFonts w:ascii="Arial" w:hAnsi="Arial" w:eastAsia="MS PGothic" w:cs="Arial"/>
          <w:b/>
          <w:sz w:val="20"/>
          <w:szCs w:val="20"/>
        </w:rPr>
        <w:t>Supplementary Figure 1</w:t>
      </w:r>
      <w:r w:rsidRPr="00056369">
        <w:rPr>
          <w:rFonts w:ascii="Arial" w:hAnsi="Arial" w:eastAsia="MS PGothic" w:cs="Arial"/>
          <w:sz w:val="20"/>
          <w:szCs w:val="20"/>
        </w:rPr>
        <w:t xml:space="preserve">: PDC calculation by treatment type. </w:t>
      </w:r>
    </w:p>
    <w:p w:rsidRPr="00056369" w:rsidR="00056369" w:rsidP="00056369" w:rsidRDefault="004A27D5" w14:paraId="65FF41C7" w14:textId="6E339E17">
      <w:pPr>
        <w:rPr>
          <w:rFonts w:ascii="Arial" w:hAnsi="Arial" w:eastAsia="MS PGothic" w:cs="Arial"/>
        </w:rPr>
      </w:pPr>
      <w:r>
        <w:rPr>
          <w:rFonts w:ascii="Arial" w:hAnsi="Arial" w:eastAsia="MS PGothic" w:cs="Arial"/>
          <w:noProof/>
        </w:rPr>
        <w:drawing>
          <wp:inline distT="0" distB="0" distL="0" distR="0" wp14:anchorId="4D44B830" wp14:editId="5458EC82">
            <wp:extent cx="4985385" cy="8406130"/>
            <wp:effectExtent l="0" t="0" r="5715" b="0"/>
            <wp:docPr id="1297377359" name="Picture 1"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77359" name="Picture 1" descr="A diagram of a graph&#10;&#10;Description automatically generated with medium confidence"/>
                    <pic:cNvPicPr/>
                  </pic:nvPicPr>
                  <pic:blipFill rotWithShape="1">
                    <a:blip r:embed="rId7">
                      <a:extLst>
                        <a:ext uri="{28A0092B-C50C-407E-A947-70E740481C1C}">
                          <a14:useLocalDpi xmlns:a14="http://schemas.microsoft.com/office/drawing/2010/main" val="0"/>
                        </a:ext>
                      </a:extLst>
                    </a:blip>
                    <a:srcRect t="5158"/>
                    <a:stretch/>
                  </pic:blipFill>
                  <pic:spPr bwMode="auto">
                    <a:xfrm>
                      <a:off x="0" y="0"/>
                      <a:ext cx="4985385" cy="8406130"/>
                    </a:xfrm>
                    <a:prstGeom prst="rect">
                      <a:avLst/>
                    </a:prstGeom>
                    <a:ln>
                      <a:noFill/>
                    </a:ln>
                    <a:extLst>
                      <a:ext uri="{53640926-AAD7-44D8-BBD7-CCE9431645EC}">
                        <a14:shadowObscured xmlns:a14="http://schemas.microsoft.com/office/drawing/2010/main"/>
                      </a:ext>
                    </a:extLst>
                  </pic:spPr>
                </pic:pic>
              </a:graphicData>
            </a:graphic>
          </wp:inline>
        </w:drawing>
      </w:r>
    </w:p>
    <w:p w:rsidRPr="00056369" w:rsidR="00056369" w:rsidP="00056369" w:rsidRDefault="00056369" w14:paraId="0C8B5DF7" w14:textId="77777777">
      <w:pPr>
        <w:spacing w:line="480" w:lineRule="auto"/>
        <w:rPr>
          <w:rFonts w:ascii="Arial" w:hAnsi="Arial" w:eastAsia="MS PGothic" w:cs="Arial"/>
          <w:sz w:val="20"/>
          <w:szCs w:val="20"/>
        </w:rPr>
      </w:pPr>
      <w:r w:rsidRPr="00056369">
        <w:rPr>
          <w:rFonts w:ascii="Arial" w:hAnsi="Arial" w:eastAsia="MS PGothic" w:cs="Arial"/>
          <w:b/>
          <w:sz w:val="20"/>
          <w:szCs w:val="20"/>
        </w:rPr>
        <w:t>Abbreviations:</w:t>
      </w:r>
      <w:r w:rsidRPr="00056369">
        <w:rPr>
          <w:rFonts w:ascii="Arial" w:hAnsi="Arial" w:eastAsia="MS PGothic" w:cs="Arial"/>
          <w:sz w:val="20"/>
          <w:szCs w:val="20"/>
        </w:rPr>
        <w:t xml:space="preserve"> FF/UMEC/VI, fluticasone furoate/umeclidinium/vilanterol; ICS, inhaled corticosteroids; LABA, long-acting β2</w:t>
      </w:r>
      <w:r w:rsidRPr="00056369">
        <w:rPr>
          <w:rFonts w:ascii="Arial" w:hAnsi="Arial" w:eastAsia="MS PGothic" w:cs="Arial"/>
          <w:bCs/>
          <w:sz w:val="20"/>
          <w:szCs w:val="20"/>
        </w:rPr>
        <w:t xml:space="preserve"> </w:t>
      </w:r>
      <w:r w:rsidRPr="00056369">
        <w:rPr>
          <w:rFonts w:ascii="Arial" w:hAnsi="Arial" w:eastAsia="MS PGothic" w:cs="Arial"/>
          <w:sz w:val="20"/>
          <w:szCs w:val="20"/>
        </w:rPr>
        <w:t>agonist; LAMA, long-acting muscarinic antagonist; MITT, multiple-inhaler triple therapy; PDC, proportion of days covered; SITT, single-inhaler triple therapy.</w:t>
      </w:r>
      <w:r w:rsidRPr="00056369">
        <w:rPr>
          <w:rFonts w:ascii="Arial" w:hAnsi="Arial" w:eastAsia="MS PGothic" w:cs="Arial"/>
          <w:i/>
          <w:iCs/>
        </w:rPr>
        <w:br w:type="page"/>
      </w:r>
    </w:p>
    <w:p w:rsidRPr="00056369" w:rsidR="00056369" w:rsidP="00056369" w:rsidRDefault="00056369" w14:paraId="59A08B12" w14:textId="77777777">
      <w:pPr>
        <w:spacing w:after="0" w:line="480" w:lineRule="auto"/>
        <w:rPr>
          <w:rFonts w:ascii="Arial" w:hAnsi="Arial" w:eastAsia="MS PGothic" w:cs="Arial"/>
          <w:sz w:val="20"/>
          <w:szCs w:val="20"/>
        </w:rPr>
      </w:pPr>
      <w:r w:rsidRPr="00056369">
        <w:rPr>
          <w:rFonts w:ascii="Arial" w:hAnsi="Arial" w:eastAsia="MS PGothic" w:cs="Arial"/>
          <w:b/>
          <w:sz w:val="20"/>
          <w:szCs w:val="20"/>
        </w:rPr>
        <w:t>Supplementary Figure 2:</w:t>
      </w:r>
      <w:r w:rsidRPr="00056369">
        <w:rPr>
          <w:rFonts w:ascii="Arial" w:hAnsi="Arial" w:eastAsia="MS PGothic" w:cs="Arial"/>
          <w:sz w:val="20"/>
          <w:szCs w:val="20"/>
        </w:rPr>
        <w:t xml:space="preserve"> Patient attrition.</w:t>
      </w:r>
    </w:p>
    <w:p w:rsidRPr="00056369" w:rsidR="00056369" w:rsidP="00056369" w:rsidRDefault="00680C61" w14:paraId="7F04102C" w14:textId="0BA08D95">
      <w:pPr>
        <w:spacing w:before="100" w:beforeAutospacing="1" w:after="0" w:afterAutospacing="1" w:line="360" w:lineRule="auto"/>
        <w:rPr>
          <w:rFonts w:ascii="Arial" w:hAnsi="Arial" w:eastAsia="Times New Roman" w:cs="Arial"/>
          <w:lang w:eastAsia="en-GB"/>
        </w:rPr>
      </w:pPr>
      <w:r>
        <w:rPr>
          <w:rFonts w:ascii="Arial" w:hAnsi="Arial" w:eastAsia="Times New Roman" w:cs="Arial"/>
          <w:noProof/>
          <w:lang w:eastAsia="en-GB"/>
        </w:rPr>
        <w:drawing>
          <wp:inline distT="0" distB="0" distL="0" distR="0" wp14:anchorId="296431EC" wp14:editId="36F178B9">
            <wp:extent cx="4985385" cy="6724650"/>
            <wp:effectExtent l="0" t="0" r="5715" b="0"/>
            <wp:docPr id="443031438" name="Picture 1" descr="A diagram of a patient'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31438" name="Picture 1" descr="A diagram of a patient's flow&#10;&#10;Description automatically generated"/>
                    <pic:cNvPicPr/>
                  </pic:nvPicPr>
                  <pic:blipFill rotWithShape="1">
                    <a:blip r:embed="rId8">
                      <a:extLst>
                        <a:ext uri="{28A0092B-C50C-407E-A947-70E740481C1C}">
                          <a14:useLocalDpi xmlns:a14="http://schemas.microsoft.com/office/drawing/2010/main" val="0"/>
                        </a:ext>
                      </a:extLst>
                    </a:blip>
                    <a:srcRect t="3868" b="20261"/>
                    <a:stretch/>
                  </pic:blipFill>
                  <pic:spPr bwMode="auto">
                    <a:xfrm>
                      <a:off x="0" y="0"/>
                      <a:ext cx="4985385" cy="6724650"/>
                    </a:xfrm>
                    <a:prstGeom prst="rect">
                      <a:avLst/>
                    </a:prstGeom>
                    <a:ln>
                      <a:noFill/>
                    </a:ln>
                    <a:extLst>
                      <a:ext uri="{53640926-AAD7-44D8-BBD7-CCE9431645EC}">
                        <a14:shadowObscured xmlns:a14="http://schemas.microsoft.com/office/drawing/2010/main"/>
                      </a:ext>
                    </a:extLst>
                  </pic:spPr>
                </pic:pic>
              </a:graphicData>
            </a:graphic>
          </wp:inline>
        </w:drawing>
      </w:r>
    </w:p>
    <w:p w:rsidR="00056369" w:rsidP="00056369" w:rsidRDefault="00056369" w14:paraId="44B08CC7" w14:textId="4767E629">
      <w:pPr>
        <w:spacing w:line="480" w:lineRule="auto"/>
        <w:rPr>
          <w:rFonts w:ascii="Arial" w:hAnsi="Arial" w:eastAsia="MS PGothic" w:cs="Arial"/>
        </w:rPr>
        <w:sectPr w:rsidR="00056369" w:rsidSect="00077D16">
          <w:pgSz w:w="11906" w:h="16838" w:orient="portrait"/>
          <w:pgMar w:top="1440" w:right="1440" w:bottom="1440" w:left="1440" w:header="708" w:footer="708" w:gutter="0"/>
          <w:cols w:space="708"/>
          <w:docGrid w:linePitch="360"/>
        </w:sectPr>
      </w:pPr>
      <w:r w:rsidRPr="24224CFD" w:rsidR="00056369">
        <w:rPr>
          <w:rFonts w:ascii="Arial" w:hAnsi="Arial" w:eastAsia="MS PGothic" w:cs="Arial"/>
          <w:b w:val="1"/>
          <w:bCs w:val="1"/>
          <w:sz w:val="20"/>
          <w:szCs w:val="20"/>
        </w:rPr>
        <w:t>Abbreviations:</w:t>
      </w:r>
      <w:r w:rsidRPr="24224CFD" w:rsidR="00056369">
        <w:rPr>
          <w:rFonts w:ascii="Arial" w:hAnsi="Arial" w:eastAsia="MS PGothic" w:cs="Arial"/>
          <w:sz w:val="20"/>
          <w:szCs w:val="20"/>
        </w:rPr>
        <w:t xml:space="preserve"> COPD, chronic obstructive pulmonary disease; FF/UMEC/VI, fluticasone furoate/umeclidinium/vilanterol; ICD</w:t>
      </w:r>
      <w:r w:rsidRPr="24224CFD" w:rsidR="00056369">
        <w:rPr>
          <w:rFonts w:ascii="Arial" w:hAnsi="Arial" w:eastAsia="MS PGothic" w:cs="Arial"/>
          <w:sz w:val="20"/>
          <w:szCs w:val="20"/>
        </w:rPr>
        <w:t>-10</w:t>
      </w:r>
      <w:r w:rsidRPr="24224CFD" w:rsidR="00056369">
        <w:rPr>
          <w:rFonts w:ascii="Arial" w:hAnsi="Arial" w:eastAsia="MS PGothic" w:cs="Arial"/>
          <w:sz w:val="20"/>
          <w:szCs w:val="20"/>
        </w:rPr>
        <w:t>, International Classification of Diseases</w:t>
      </w:r>
      <w:r w:rsidRPr="24224CFD" w:rsidR="00056369">
        <w:rPr>
          <w:rFonts w:ascii="Arial" w:hAnsi="Arial" w:eastAsia="MS PGothic" w:cs="Arial"/>
          <w:sz w:val="20"/>
          <w:szCs w:val="20"/>
        </w:rPr>
        <w:t xml:space="preserve">, </w:t>
      </w:r>
      <w:r w:rsidRPr="24224CFD" w:rsidR="00056369">
        <w:rPr>
          <w:rFonts w:ascii="Arial" w:hAnsi="Arial" w:eastAsia="MS PGothic" w:cs="Arial"/>
          <w:sz w:val="20"/>
          <w:szCs w:val="20"/>
        </w:rPr>
        <w:t>Tenth Revision; MITT, multiple-inhaler triple therapy; SITT, single-inhaler triple therapy</w:t>
      </w:r>
      <w:r w:rsidRPr="24224CFD" w:rsidR="7DB70B99">
        <w:rPr>
          <w:rFonts w:ascii="Arial" w:hAnsi="Arial" w:eastAsia="MS PGothic" w:cs="Arial"/>
          <w:sz w:val="20"/>
          <w:szCs w:val="20"/>
        </w:rPr>
        <w:t>.</w:t>
      </w:r>
      <w:r w:rsidRPr="24224CFD">
        <w:rPr>
          <w:rFonts w:ascii="Arial" w:hAnsi="Arial" w:eastAsia="MS PGothic" w:cs="Arial"/>
        </w:rPr>
        <w:br w:type="page"/>
      </w:r>
      <w:bookmarkStart w:name="_Hlk157699589" w:id="0"/>
    </w:p>
    <w:p w:rsidRPr="00056369" w:rsidR="00056369" w:rsidP="00056369" w:rsidRDefault="00056369" w14:paraId="59ED51A2" w14:textId="4CE8355C">
      <w:pPr>
        <w:spacing w:line="480" w:lineRule="auto"/>
        <w:rPr>
          <w:rFonts w:ascii="Arial" w:hAnsi="Arial" w:eastAsia="MS PGothic" w:cs="Arial"/>
          <w:sz w:val="20"/>
          <w:szCs w:val="20"/>
        </w:rPr>
      </w:pPr>
      <w:r w:rsidRPr="00056369">
        <w:rPr>
          <w:rFonts w:ascii="Arial" w:hAnsi="Arial" w:eastAsia="MS PGothic" w:cs="Arial"/>
          <w:b/>
          <w:sz w:val="20"/>
          <w:szCs w:val="20"/>
        </w:rPr>
        <w:t>Supplementary Figure 3:</w:t>
      </w:r>
      <w:r w:rsidRPr="00056369">
        <w:rPr>
          <w:rFonts w:ascii="Arial" w:hAnsi="Arial" w:eastAsia="MS PGothic" w:cs="Arial"/>
          <w:sz w:val="20"/>
          <w:szCs w:val="20"/>
        </w:rPr>
        <w:t xml:space="preserve"> Proportion of patients with ≥1 overall, moderate, and severe COPD exacerbation in the 6 months pre- and post-switch from MITT to FF/UMEC/VI (N=1,225); 30-day permissible</w:t>
      </w:r>
      <w:r w:rsidRPr="00056369" w:rsidDel="00375DCB">
        <w:rPr>
          <w:rFonts w:ascii="Arial" w:hAnsi="Arial" w:eastAsia="MS PGothic" w:cs="Arial"/>
          <w:sz w:val="20"/>
          <w:szCs w:val="20"/>
        </w:rPr>
        <w:t xml:space="preserve"> </w:t>
      </w:r>
      <w:r w:rsidRPr="00056369">
        <w:rPr>
          <w:rFonts w:ascii="Arial" w:hAnsi="Arial" w:eastAsia="MS PGothic" w:cs="Arial"/>
          <w:sz w:val="20"/>
          <w:szCs w:val="20"/>
        </w:rPr>
        <w:t>gap (sensitivity analysis).</w:t>
      </w:r>
    </w:p>
    <w:bookmarkEnd w:id="0"/>
    <w:p w:rsidRPr="00056369" w:rsidR="00056369" w:rsidP="00056369" w:rsidRDefault="00192FA6" w14:paraId="3A320937" w14:textId="61388473">
      <w:pPr>
        <w:rPr>
          <w:rFonts w:ascii="Arial" w:hAnsi="Arial" w:eastAsia="Times New Roman" w:cs="Arial"/>
          <w:bCs/>
          <w:lang w:eastAsia="en-GB"/>
        </w:rPr>
      </w:pPr>
      <w:r>
        <w:rPr>
          <w:rFonts w:ascii="Arial" w:hAnsi="Arial" w:eastAsia="Times New Roman" w:cs="Arial"/>
          <w:bCs/>
          <w:noProof/>
          <w:lang w:eastAsia="en-GB"/>
        </w:rPr>
        <w:drawing>
          <wp:inline distT="0" distB="0" distL="0" distR="0" wp14:anchorId="503E27D0" wp14:editId="24F6EEE3">
            <wp:extent cx="8862291" cy="3182471"/>
            <wp:effectExtent l="0" t="0" r="0" b="0"/>
            <wp:docPr id="1398053508" name="Picture 2" descr="A diagram of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53508" name="Picture 2" descr="A diagram of different colored squares&#10;&#10;Description automatically generated"/>
                    <pic:cNvPicPr/>
                  </pic:nvPicPr>
                  <pic:blipFill rotWithShape="1">
                    <a:blip r:embed="rId9">
                      <a:extLst>
                        <a:ext uri="{28A0092B-C50C-407E-A947-70E740481C1C}">
                          <a14:useLocalDpi xmlns:a14="http://schemas.microsoft.com/office/drawing/2010/main" val="0"/>
                        </a:ext>
                      </a:extLst>
                    </a:blip>
                    <a:srcRect t="23376" b="12779"/>
                    <a:stretch/>
                  </pic:blipFill>
                  <pic:spPr bwMode="auto">
                    <a:xfrm>
                      <a:off x="0" y="0"/>
                      <a:ext cx="8863330" cy="3182844"/>
                    </a:xfrm>
                    <a:prstGeom prst="rect">
                      <a:avLst/>
                    </a:prstGeom>
                    <a:ln>
                      <a:noFill/>
                    </a:ln>
                    <a:extLst>
                      <a:ext uri="{53640926-AAD7-44D8-BBD7-CCE9431645EC}">
                        <a14:shadowObscured xmlns:a14="http://schemas.microsoft.com/office/drawing/2010/main"/>
                      </a:ext>
                    </a:extLst>
                  </pic:spPr>
                </pic:pic>
              </a:graphicData>
            </a:graphic>
          </wp:inline>
        </w:drawing>
      </w:r>
    </w:p>
    <w:p w:rsidRPr="00056369" w:rsidR="00056369" w:rsidP="00056369" w:rsidRDefault="00056369" w14:paraId="2C984B4A" w14:textId="77777777">
      <w:pPr>
        <w:spacing w:line="480" w:lineRule="auto"/>
        <w:rPr>
          <w:rFonts w:ascii="Arial" w:hAnsi="Arial" w:eastAsia="Times New Roman" w:cs="Arial"/>
          <w:sz w:val="20"/>
          <w:szCs w:val="20"/>
          <w:lang w:eastAsia="en-GB"/>
        </w:rPr>
      </w:pPr>
      <w:r w:rsidRPr="00056369">
        <w:rPr>
          <w:rFonts w:ascii="Arial" w:hAnsi="Arial" w:eastAsia="Times New Roman" w:cs="Arial"/>
          <w:b/>
          <w:sz w:val="20"/>
          <w:szCs w:val="20"/>
          <w:lang w:eastAsia="en-GB"/>
        </w:rPr>
        <w:t>Abbreviations:</w:t>
      </w:r>
      <w:r w:rsidRPr="00056369">
        <w:rPr>
          <w:rFonts w:ascii="Arial" w:hAnsi="Arial" w:eastAsia="Times New Roman" w:cs="Arial"/>
          <w:sz w:val="20"/>
          <w:szCs w:val="20"/>
          <w:lang w:eastAsia="en-GB"/>
        </w:rPr>
        <w:t xml:space="preserve"> COPD, chronic obstructive pulmonary disease; FF/UMEC/VI, fluticasone furoate/umeclidinium/vilanterol; MITT, multiple-inhaler triple therapy. </w:t>
      </w:r>
    </w:p>
    <w:p w:rsidRPr="00056369" w:rsidR="00056369" w:rsidP="00056369" w:rsidRDefault="00056369" w14:paraId="698D229B" w14:textId="77777777">
      <w:pPr>
        <w:rPr>
          <w:rFonts w:ascii="Arial" w:hAnsi="Arial" w:eastAsia="MS PGothic" w:cs="Arial"/>
          <w:b/>
          <w:bCs/>
          <w:color w:val="000000"/>
          <w:sz w:val="28"/>
          <w:szCs w:val="28"/>
          <w:lang w:val="en-US"/>
        </w:rPr>
      </w:pPr>
      <w:bookmarkStart w:name="_Hlk157699847" w:id="1"/>
      <w:r w:rsidRPr="00056369">
        <w:rPr>
          <w:rFonts w:ascii="Arial" w:hAnsi="Arial" w:eastAsia="MS PGothic" w:cs="Arial"/>
          <w:b/>
          <w:bCs/>
          <w:color w:val="000000"/>
          <w:sz w:val="28"/>
          <w:szCs w:val="28"/>
          <w:lang w:val="en-US"/>
        </w:rPr>
        <w:br w:type="page"/>
      </w:r>
    </w:p>
    <w:p w:rsidRPr="00056369" w:rsidR="00056369" w:rsidP="00056369" w:rsidRDefault="00056369" w14:paraId="66759482" w14:textId="77777777">
      <w:pPr>
        <w:spacing w:line="480" w:lineRule="auto"/>
        <w:rPr>
          <w:rFonts w:ascii="Arial" w:hAnsi="Arial" w:eastAsia="Times New Roman" w:cs="Arial"/>
          <w:sz w:val="20"/>
          <w:szCs w:val="20"/>
          <w:lang w:eastAsia="en-GB"/>
        </w:rPr>
      </w:pPr>
      <w:r w:rsidRPr="00056369">
        <w:rPr>
          <w:rFonts w:ascii="Arial" w:hAnsi="Arial" w:eastAsia="MS PGothic" w:cs="Arial"/>
          <w:b/>
          <w:bCs/>
          <w:iCs/>
          <w:color w:val="000000"/>
          <w:sz w:val="20"/>
          <w:szCs w:val="20"/>
          <w:lang w:val="en-US"/>
        </w:rPr>
        <w:t>Supplementary Figure 4:</w:t>
      </w:r>
      <w:r w:rsidRPr="00056369">
        <w:rPr>
          <w:rFonts w:ascii="Arial" w:hAnsi="Arial" w:eastAsia="MS PGothic" w:cs="Arial"/>
          <w:sz w:val="20"/>
          <w:szCs w:val="20"/>
        </w:rPr>
        <w:t xml:space="preserve"> Proportion of patients with ≥1 overall, moderate, and severe COPD exacerbation in the 6 months pre- and post-switch from MITT to FF/UMEC /VI (N=1,332); 60-day permissible</w:t>
      </w:r>
      <w:r w:rsidRPr="00056369" w:rsidDel="00375DCB">
        <w:rPr>
          <w:rFonts w:ascii="Arial" w:hAnsi="Arial" w:eastAsia="MS PGothic" w:cs="Arial"/>
          <w:sz w:val="20"/>
          <w:szCs w:val="20"/>
        </w:rPr>
        <w:t xml:space="preserve"> </w:t>
      </w:r>
      <w:r w:rsidRPr="00056369">
        <w:rPr>
          <w:rFonts w:ascii="Arial" w:hAnsi="Arial" w:eastAsia="MS PGothic" w:cs="Arial"/>
          <w:sz w:val="20"/>
          <w:szCs w:val="20"/>
        </w:rPr>
        <w:t xml:space="preserve">gap (sensitivity analysis). </w:t>
      </w:r>
      <w:bookmarkEnd w:id="1"/>
    </w:p>
    <w:p w:rsidRPr="00056369" w:rsidR="00056369" w:rsidP="00056369" w:rsidRDefault="00CA3703" w14:paraId="47CF3743" w14:textId="2F051090">
      <w:pPr>
        <w:rPr>
          <w:rFonts w:ascii="Arial" w:hAnsi="Arial" w:eastAsia="Times New Roman" w:cs="Arial"/>
          <w:bCs/>
          <w:lang w:eastAsia="en-GB"/>
        </w:rPr>
      </w:pPr>
      <w:r>
        <w:rPr>
          <w:rFonts w:ascii="Arial" w:hAnsi="Arial" w:eastAsia="Times New Roman" w:cs="Arial"/>
          <w:bCs/>
          <w:noProof/>
          <w:lang w:eastAsia="en-GB"/>
        </w:rPr>
        <w:drawing>
          <wp:inline distT="0" distB="0" distL="0" distR="0" wp14:anchorId="7059317C" wp14:editId="6AA55D79">
            <wp:extent cx="8862351" cy="3179805"/>
            <wp:effectExtent l="0" t="0" r="0" b="1905"/>
            <wp:docPr id="941163404" name="Picture 3" descr="A diagram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63404" name="Picture 3" descr="A diagram of a number of people&#10;&#10;Description automatically generated with medium confidence"/>
                    <pic:cNvPicPr/>
                  </pic:nvPicPr>
                  <pic:blipFill rotWithShape="1">
                    <a:blip r:embed="rId10">
                      <a:extLst>
                        <a:ext uri="{28A0092B-C50C-407E-A947-70E740481C1C}">
                          <a14:useLocalDpi xmlns:a14="http://schemas.microsoft.com/office/drawing/2010/main" val="0"/>
                        </a:ext>
                      </a:extLst>
                    </a:blip>
                    <a:srcRect t="28257" b="7954"/>
                    <a:stretch/>
                  </pic:blipFill>
                  <pic:spPr bwMode="auto">
                    <a:xfrm>
                      <a:off x="0" y="0"/>
                      <a:ext cx="8863330" cy="3180156"/>
                    </a:xfrm>
                    <a:prstGeom prst="rect">
                      <a:avLst/>
                    </a:prstGeom>
                    <a:ln>
                      <a:noFill/>
                    </a:ln>
                    <a:extLst>
                      <a:ext uri="{53640926-AAD7-44D8-BBD7-CCE9431645EC}">
                        <a14:shadowObscured xmlns:a14="http://schemas.microsoft.com/office/drawing/2010/main"/>
                      </a:ext>
                    </a:extLst>
                  </pic:spPr>
                </pic:pic>
              </a:graphicData>
            </a:graphic>
          </wp:inline>
        </w:drawing>
      </w:r>
    </w:p>
    <w:p w:rsidRPr="00056369" w:rsidR="00056369" w:rsidP="00056369" w:rsidRDefault="00056369" w14:paraId="7387DEBA" w14:textId="77777777">
      <w:pPr>
        <w:spacing w:line="480" w:lineRule="auto"/>
        <w:rPr>
          <w:rFonts w:ascii="Arial" w:hAnsi="Arial" w:eastAsia="Times New Roman" w:cs="Arial"/>
          <w:sz w:val="20"/>
          <w:szCs w:val="20"/>
          <w:lang w:eastAsia="en-GB"/>
        </w:rPr>
      </w:pPr>
      <w:r w:rsidRPr="00056369">
        <w:rPr>
          <w:rFonts w:ascii="Arial" w:hAnsi="Arial" w:eastAsia="Times New Roman" w:cs="Arial"/>
          <w:b/>
          <w:sz w:val="20"/>
          <w:szCs w:val="20"/>
          <w:lang w:eastAsia="en-GB"/>
        </w:rPr>
        <w:t>Abbreviations:</w:t>
      </w:r>
      <w:r w:rsidRPr="00056369">
        <w:rPr>
          <w:rFonts w:ascii="Arial" w:hAnsi="Arial" w:eastAsia="Times New Roman" w:cs="Arial"/>
          <w:sz w:val="20"/>
          <w:szCs w:val="20"/>
          <w:lang w:eastAsia="en-GB"/>
        </w:rPr>
        <w:t xml:space="preserve"> COPD, chronic obstructive pulmonary disease; FF/UMEC/VI, fluticasone furoate/umeclidinium/vilanterol; MITT, multiple-inhaler triple therapy.</w:t>
      </w:r>
    </w:p>
    <w:p w:rsidRPr="00056369" w:rsidR="00056369" w:rsidP="00056369" w:rsidRDefault="00056369" w14:paraId="3E787A29" w14:textId="77777777">
      <w:pPr>
        <w:rPr>
          <w:rFonts w:ascii="Arial" w:hAnsi="Arial" w:eastAsia="MS PGothic" w:cs="Arial"/>
          <w:b/>
          <w:bCs/>
          <w:color w:val="000000"/>
          <w:sz w:val="20"/>
          <w:szCs w:val="20"/>
          <w:lang w:val="en-US"/>
        </w:rPr>
      </w:pPr>
      <w:r w:rsidRPr="00056369">
        <w:rPr>
          <w:rFonts w:ascii="Arial" w:hAnsi="Arial" w:eastAsia="MS PGothic" w:cs="Arial"/>
          <w:b/>
          <w:bCs/>
          <w:color w:val="000000"/>
          <w:sz w:val="20"/>
          <w:szCs w:val="20"/>
          <w:lang w:val="en-US"/>
        </w:rPr>
        <w:br w:type="page"/>
      </w:r>
    </w:p>
    <w:p w:rsidRPr="00056369" w:rsidR="00056369" w:rsidP="00056369" w:rsidRDefault="00056369" w14:paraId="2EF342A6" w14:textId="77777777">
      <w:pPr>
        <w:spacing w:line="480" w:lineRule="auto"/>
        <w:rPr>
          <w:rFonts w:ascii="Arial" w:hAnsi="Arial" w:eastAsia="Times New Roman" w:cs="Arial"/>
          <w:sz w:val="20"/>
          <w:szCs w:val="20"/>
          <w:lang w:eastAsia="en-GB"/>
        </w:rPr>
      </w:pPr>
      <w:r w:rsidRPr="00056369">
        <w:rPr>
          <w:rFonts w:ascii="Arial" w:hAnsi="Arial" w:eastAsia="MS PGothic" w:cs="Arial"/>
          <w:b/>
          <w:bCs/>
          <w:iCs/>
          <w:color w:val="000000"/>
          <w:sz w:val="20"/>
          <w:szCs w:val="20"/>
          <w:lang w:val="en-US"/>
        </w:rPr>
        <w:t>Supplementary Figure 5:</w:t>
      </w:r>
      <w:r w:rsidRPr="00056369">
        <w:rPr>
          <w:rFonts w:ascii="Arial" w:hAnsi="Arial" w:eastAsia="MS PGothic" w:cs="Arial"/>
          <w:sz w:val="20"/>
          <w:szCs w:val="20"/>
        </w:rPr>
        <w:t xml:space="preserve"> Proportion of patients with ≥1 overall, moderate, and severe COPD exacerbation in the 6 months pre- and post-switch from MITT to FF/UMEC /VI (N=1,369); 90-day permissible</w:t>
      </w:r>
      <w:r w:rsidRPr="00056369" w:rsidDel="00375DCB">
        <w:rPr>
          <w:rFonts w:ascii="Arial" w:hAnsi="Arial" w:eastAsia="MS PGothic" w:cs="Arial"/>
          <w:sz w:val="20"/>
          <w:szCs w:val="20"/>
        </w:rPr>
        <w:t xml:space="preserve"> </w:t>
      </w:r>
      <w:r w:rsidRPr="00056369">
        <w:rPr>
          <w:rFonts w:ascii="Arial" w:hAnsi="Arial" w:eastAsia="MS PGothic" w:cs="Arial"/>
          <w:sz w:val="20"/>
          <w:szCs w:val="20"/>
        </w:rPr>
        <w:t xml:space="preserve">gap (sensitivity analysis). </w:t>
      </w:r>
    </w:p>
    <w:p w:rsidRPr="00056369" w:rsidR="00056369" w:rsidP="00056369" w:rsidRDefault="00CA3703" w14:paraId="4207F90A" w14:textId="06D3DDC8">
      <w:pPr>
        <w:rPr>
          <w:rFonts w:ascii="Arial" w:hAnsi="Arial" w:eastAsia="Times New Roman" w:cs="Arial"/>
          <w:sz w:val="20"/>
          <w:szCs w:val="20"/>
          <w:lang w:eastAsia="en-GB"/>
        </w:rPr>
      </w:pPr>
      <w:r>
        <w:rPr>
          <w:rFonts w:ascii="Arial" w:hAnsi="Arial" w:eastAsia="Times New Roman" w:cs="Arial"/>
          <w:noProof/>
          <w:sz w:val="20"/>
          <w:szCs w:val="20"/>
          <w:lang w:eastAsia="en-GB"/>
        </w:rPr>
        <w:drawing>
          <wp:inline distT="0" distB="0" distL="0" distR="0" wp14:anchorId="1DC0FEF1" wp14:editId="09E14851">
            <wp:extent cx="8862738" cy="3031524"/>
            <wp:effectExtent l="0" t="0" r="0" b="0"/>
            <wp:docPr id="440441751" name="Picture 4" descr="A graph showing the number of individu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41751" name="Picture 4" descr="A graph showing the number of individuals&#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t="32717" b="6470"/>
                    <a:stretch/>
                  </pic:blipFill>
                  <pic:spPr bwMode="auto">
                    <a:xfrm>
                      <a:off x="0" y="0"/>
                      <a:ext cx="8863330" cy="3031726"/>
                    </a:xfrm>
                    <a:prstGeom prst="rect">
                      <a:avLst/>
                    </a:prstGeom>
                    <a:ln>
                      <a:noFill/>
                    </a:ln>
                    <a:extLst>
                      <a:ext uri="{53640926-AAD7-44D8-BBD7-CCE9431645EC}">
                        <a14:shadowObscured xmlns:a14="http://schemas.microsoft.com/office/drawing/2010/main"/>
                      </a:ext>
                    </a:extLst>
                  </pic:spPr>
                </pic:pic>
              </a:graphicData>
            </a:graphic>
          </wp:inline>
        </w:drawing>
      </w:r>
    </w:p>
    <w:p w:rsidRPr="00056369" w:rsidR="00056369" w:rsidP="00056369" w:rsidRDefault="00056369" w14:paraId="46E9C927" w14:textId="77777777">
      <w:pPr>
        <w:spacing w:line="480" w:lineRule="auto"/>
        <w:rPr>
          <w:rFonts w:ascii="Arial" w:hAnsi="Arial" w:eastAsia="Times New Roman" w:cs="Arial"/>
          <w:sz w:val="20"/>
          <w:szCs w:val="20"/>
          <w:lang w:eastAsia="en-GB"/>
        </w:rPr>
      </w:pPr>
      <w:r w:rsidRPr="00056369">
        <w:rPr>
          <w:rFonts w:ascii="Arial" w:hAnsi="Arial" w:eastAsia="Times New Roman" w:cs="Arial"/>
          <w:b/>
          <w:sz w:val="20"/>
          <w:szCs w:val="20"/>
          <w:lang w:eastAsia="en-GB"/>
        </w:rPr>
        <w:t>Abbreviations:</w:t>
      </w:r>
      <w:r w:rsidRPr="00056369">
        <w:rPr>
          <w:rFonts w:ascii="Arial" w:hAnsi="Arial" w:eastAsia="Times New Roman" w:cs="Arial"/>
          <w:sz w:val="20"/>
          <w:szCs w:val="20"/>
          <w:lang w:eastAsia="en-GB"/>
        </w:rPr>
        <w:t xml:space="preserve"> COPD, chronic obstructive pulmonary disease; FF/UMEC/VI, fluticasone furoate/umeclidinium/vilanterol; MITT, multiple-inhaler triple therapy.</w:t>
      </w:r>
    </w:p>
    <w:p w:rsidRPr="00056369" w:rsidR="00056369" w:rsidP="00056369" w:rsidRDefault="00056369" w14:paraId="11D6B2D0" w14:textId="77777777">
      <w:pPr>
        <w:rPr>
          <w:rFonts w:ascii="Arial" w:hAnsi="Arial" w:eastAsia="Times New Roman" w:cs="Arial"/>
          <w:sz w:val="20"/>
          <w:szCs w:val="20"/>
          <w:lang w:eastAsia="en-GB"/>
        </w:rPr>
      </w:pPr>
    </w:p>
    <w:p w:rsidRPr="00056369" w:rsidR="00056369" w:rsidP="00056369" w:rsidRDefault="00056369" w14:paraId="7496A0A3" w14:textId="77777777">
      <w:pPr>
        <w:rPr>
          <w:rFonts w:ascii="Arial" w:hAnsi="Arial" w:eastAsia="MS PGothic" w:cs="Arial"/>
          <w:b/>
          <w:bCs/>
          <w:color w:val="000000"/>
          <w:sz w:val="20"/>
          <w:szCs w:val="20"/>
          <w:lang w:val="en-US"/>
        </w:rPr>
      </w:pPr>
      <w:r w:rsidRPr="00056369">
        <w:rPr>
          <w:rFonts w:ascii="Arial" w:hAnsi="Arial" w:eastAsia="MS PGothic" w:cs="Arial"/>
          <w:b/>
          <w:bCs/>
          <w:color w:val="000000"/>
          <w:sz w:val="20"/>
          <w:szCs w:val="20"/>
          <w:lang w:val="en-US"/>
        </w:rPr>
        <w:br w:type="page"/>
      </w:r>
    </w:p>
    <w:p w:rsidRPr="00056369" w:rsidR="00056369" w:rsidP="00056369" w:rsidRDefault="00056369" w14:paraId="519D8D91" w14:textId="77777777">
      <w:pPr>
        <w:spacing w:line="480" w:lineRule="auto"/>
        <w:rPr>
          <w:rFonts w:ascii="Arial" w:hAnsi="Arial" w:eastAsia="Times New Roman" w:cs="Arial"/>
          <w:sz w:val="20"/>
          <w:szCs w:val="20"/>
          <w:lang w:eastAsia="en-GB"/>
        </w:rPr>
      </w:pPr>
      <w:r w:rsidRPr="00056369">
        <w:rPr>
          <w:rFonts w:ascii="Arial" w:hAnsi="Arial" w:eastAsia="MS PGothic" w:cs="Arial"/>
          <w:b/>
          <w:bCs/>
          <w:iCs/>
          <w:color w:val="000000"/>
          <w:sz w:val="20"/>
          <w:szCs w:val="20"/>
          <w:lang w:val="en-US"/>
        </w:rPr>
        <w:t>Supplementary Figure 6:</w:t>
      </w:r>
      <w:r w:rsidRPr="00056369">
        <w:rPr>
          <w:rFonts w:ascii="Arial" w:hAnsi="Arial" w:eastAsia="MS PGothic" w:cs="Arial"/>
          <w:sz w:val="20"/>
          <w:szCs w:val="20"/>
        </w:rPr>
        <w:t xml:space="preserve"> Proportion of patients with ≥1 overall, moderate, and severe COPD exacerbation in the 6 months pre- and post-switch from MITT to FF/UMEC/VI (N=2,365); 28 days prior to the treatment switch removed (sensitivity analysis). </w:t>
      </w:r>
    </w:p>
    <w:p w:rsidRPr="00056369" w:rsidR="00056369" w:rsidP="00056369" w:rsidRDefault="002F1D67" w14:paraId="244CD35C" w14:textId="35F37393">
      <w:pPr>
        <w:rPr>
          <w:rFonts w:ascii="Arial" w:hAnsi="Arial" w:eastAsia="Times New Roman" w:cs="Arial"/>
          <w:sz w:val="20"/>
          <w:szCs w:val="20"/>
          <w:lang w:eastAsia="en-GB"/>
        </w:rPr>
      </w:pPr>
      <w:r>
        <w:rPr>
          <w:rFonts w:ascii="Arial" w:hAnsi="Arial" w:eastAsia="Times New Roman" w:cs="Arial"/>
          <w:noProof/>
          <w:sz w:val="20"/>
          <w:szCs w:val="20"/>
          <w:lang w:eastAsia="en-GB"/>
        </w:rPr>
        <w:drawing>
          <wp:inline distT="0" distB="0" distL="0" distR="0" wp14:anchorId="57A5991B" wp14:editId="4B6BFCD0">
            <wp:extent cx="8862606" cy="3171567"/>
            <wp:effectExtent l="0" t="0" r="0" b="0"/>
            <wp:docPr id="122634685" name="Picture 5" descr="A graph showing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4685" name="Picture 5" descr="A graph showing different colored squares&#10;&#10;Description automatically generated with medium confidence"/>
                    <pic:cNvPicPr/>
                  </pic:nvPicPr>
                  <pic:blipFill rotWithShape="1">
                    <a:blip r:embed="rId12">
                      <a:extLst>
                        <a:ext uri="{28A0092B-C50C-407E-A947-70E740481C1C}">
                          <a14:useLocalDpi xmlns:a14="http://schemas.microsoft.com/office/drawing/2010/main" val="0"/>
                        </a:ext>
                      </a:extLst>
                    </a:blip>
                    <a:srcRect t="15532" b="20845"/>
                    <a:stretch/>
                  </pic:blipFill>
                  <pic:spPr bwMode="auto">
                    <a:xfrm>
                      <a:off x="0" y="0"/>
                      <a:ext cx="8863330" cy="3171826"/>
                    </a:xfrm>
                    <a:prstGeom prst="rect">
                      <a:avLst/>
                    </a:prstGeom>
                    <a:ln>
                      <a:noFill/>
                    </a:ln>
                    <a:extLst>
                      <a:ext uri="{53640926-AAD7-44D8-BBD7-CCE9431645EC}">
                        <a14:shadowObscured xmlns:a14="http://schemas.microsoft.com/office/drawing/2010/main"/>
                      </a:ext>
                    </a:extLst>
                  </pic:spPr>
                </pic:pic>
              </a:graphicData>
            </a:graphic>
          </wp:inline>
        </w:drawing>
      </w:r>
    </w:p>
    <w:p w:rsidRPr="00056369" w:rsidR="00056369" w:rsidP="00056369" w:rsidRDefault="00056369" w14:paraId="3255488A" w14:textId="77777777">
      <w:pPr>
        <w:spacing w:line="480" w:lineRule="auto"/>
        <w:rPr>
          <w:rFonts w:ascii="Arial" w:hAnsi="Arial" w:eastAsia="Times New Roman" w:cs="Arial"/>
          <w:sz w:val="20"/>
          <w:szCs w:val="20"/>
          <w:lang w:eastAsia="en-GB"/>
        </w:rPr>
      </w:pPr>
      <w:r w:rsidRPr="00056369">
        <w:rPr>
          <w:rFonts w:ascii="Arial" w:hAnsi="Arial" w:eastAsia="Times New Roman" w:cs="Arial"/>
          <w:b/>
          <w:sz w:val="20"/>
          <w:szCs w:val="20"/>
          <w:lang w:eastAsia="en-GB"/>
        </w:rPr>
        <w:t>Abbreviations:</w:t>
      </w:r>
      <w:r w:rsidRPr="00056369">
        <w:rPr>
          <w:rFonts w:ascii="Arial" w:hAnsi="Arial" w:eastAsia="Times New Roman" w:cs="Arial"/>
          <w:sz w:val="20"/>
          <w:szCs w:val="20"/>
          <w:lang w:eastAsia="en-GB"/>
        </w:rPr>
        <w:t xml:space="preserve"> COPD, chronic obstructive pulmonary disease; FF/UMEC/VI, fluticasone furoate/umeclidinium/vilanterol; MITT, multiple-inhaler triple therapy.</w:t>
      </w:r>
    </w:p>
    <w:p w:rsidRPr="00056369" w:rsidR="00056369" w:rsidP="00056369" w:rsidRDefault="00056369" w14:paraId="0CCCA0FD" w14:textId="77777777">
      <w:pPr>
        <w:rPr>
          <w:rFonts w:ascii="Arial" w:hAnsi="Arial" w:eastAsia="MS PGothic" w:cs="Arial"/>
          <w:b/>
          <w:bCs/>
          <w:color w:val="000000"/>
          <w:sz w:val="20"/>
          <w:szCs w:val="20"/>
        </w:rPr>
      </w:pPr>
      <w:bookmarkStart w:name="_Hlk157700745" w:id="2"/>
      <w:r w:rsidRPr="00056369">
        <w:rPr>
          <w:rFonts w:ascii="Arial" w:hAnsi="Arial" w:eastAsia="MS PGothic" w:cs="Arial"/>
          <w:i/>
          <w:iCs/>
          <w:sz w:val="20"/>
          <w:szCs w:val="20"/>
        </w:rPr>
        <w:br w:type="page"/>
      </w:r>
    </w:p>
    <w:p w:rsidR="00056369" w:rsidP="00056369" w:rsidRDefault="00056369" w14:paraId="2148CEFF" w14:textId="23F3C88A">
      <w:pPr>
        <w:spacing w:line="480" w:lineRule="auto"/>
        <w:rPr>
          <w:rFonts w:ascii="Arial" w:hAnsi="Arial" w:eastAsia="MS PGothic" w:cs="Arial"/>
          <w:noProof/>
          <w:sz w:val="20"/>
          <w:szCs w:val="20"/>
        </w:rPr>
      </w:pPr>
      <w:r w:rsidRPr="00056369">
        <w:rPr>
          <w:rFonts w:ascii="Arial" w:hAnsi="Arial" w:eastAsia="MS PGothic" w:cs="Arial"/>
          <w:b/>
          <w:sz w:val="20"/>
          <w:szCs w:val="20"/>
        </w:rPr>
        <w:t>Supplementary Figure 7:</w:t>
      </w:r>
      <w:r w:rsidRPr="00056369">
        <w:rPr>
          <w:rFonts w:ascii="Arial" w:hAnsi="Arial" w:eastAsia="MS PGothic" w:cs="Arial"/>
          <w:sz w:val="20"/>
          <w:szCs w:val="20"/>
        </w:rPr>
        <w:t xml:space="preserve"> COPD exacerbation rate in the 6 months pre- and post-switch from MITT to FF/UMEC/VI; 30-day permissible</w:t>
      </w:r>
      <w:r w:rsidRPr="00056369" w:rsidDel="00375DCB">
        <w:rPr>
          <w:rFonts w:ascii="Arial" w:hAnsi="Arial" w:eastAsia="MS PGothic" w:cs="Arial"/>
          <w:sz w:val="20"/>
          <w:szCs w:val="20"/>
        </w:rPr>
        <w:t xml:space="preserve"> </w:t>
      </w:r>
      <w:r w:rsidRPr="00056369">
        <w:rPr>
          <w:rFonts w:ascii="Arial" w:hAnsi="Arial" w:eastAsia="MS PGothic" w:cs="Arial"/>
          <w:sz w:val="20"/>
          <w:szCs w:val="20"/>
        </w:rPr>
        <w:t>gap (sensitivity analysis).</w:t>
      </w:r>
      <w:bookmarkEnd w:id="2"/>
    </w:p>
    <w:p w:rsidRPr="00056369" w:rsidR="00B0781F" w:rsidP="00056369" w:rsidRDefault="002F1D67" w14:paraId="5CD93C5F" w14:textId="1302E6FF">
      <w:pPr>
        <w:spacing w:line="480" w:lineRule="auto"/>
        <w:rPr>
          <w:rFonts w:ascii="Arial" w:hAnsi="Arial" w:eastAsia="MS PGothic" w:cs="Arial"/>
          <w:sz w:val="20"/>
          <w:szCs w:val="20"/>
        </w:rPr>
      </w:pPr>
      <w:r>
        <w:rPr>
          <w:rFonts w:ascii="Arial" w:hAnsi="Arial" w:eastAsia="MS PGothic" w:cs="Arial"/>
          <w:noProof/>
          <w:sz w:val="20"/>
          <w:szCs w:val="20"/>
        </w:rPr>
        <w:drawing>
          <wp:inline distT="0" distB="0" distL="0" distR="0" wp14:anchorId="716480F4" wp14:editId="08B154C7">
            <wp:extent cx="8861200" cy="3492843"/>
            <wp:effectExtent l="0" t="0" r="0" b="0"/>
            <wp:docPr id="466336085" name="Picture 6"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36085" name="Picture 6" descr="A close-up of a graph&#10;&#10;Description automatically generated"/>
                    <pic:cNvPicPr/>
                  </pic:nvPicPr>
                  <pic:blipFill rotWithShape="1">
                    <a:blip r:embed="rId13">
                      <a:extLst>
                        <a:ext uri="{28A0092B-C50C-407E-A947-70E740481C1C}">
                          <a14:useLocalDpi xmlns:a14="http://schemas.microsoft.com/office/drawing/2010/main" val="0"/>
                        </a:ext>
                      </a:extLst>
                    </a:blip>
                    <a:srcRect t="16358" b="13563"/>
                    <a:stretch/>
                  </pic:blipFill>
                  <pic:spPr bwMode="auto">
                    <a:xfrm>
                      <a:off x="0" y="0"/>
                      <a:ext cx="8863330" cy="3493682"/>
                    </a:xfrm>
                    <a:prstGeom prst="rect">
                      <a:avLst/>
                    </a:prstGeom>
                    <a:ln>
                      <a:noFill/>
                    </a:ln>
                    <a:extLst>
                      <a:ext uri="{53640926-AAD7-44D8-BBD7-CCE9431645EC}">
                        <a14:shadowObscured xmlns:a14="http://schemas.microsoft.com/office/drawing/2010/main"/>
                      </a:ext>
                    </a:extLst>
                  </pic:spPr>
                </pic:pic>
              </a:graphicData>
            </a:graphic>
          </wp:inline>
        </w:drawing>
      </w:r>
    </w:p>
    <w:p w:rsidRPr="00056369" w:rsidR="00056369" w:rsidP="00056369" w:rsidRDefault="00056369" w14:paraId="0139D240" w14:textId="77777777">
      <w:pPr>
        <w:spacing w:before="100" w:beforeAutospacing="1" w:after="0" w:line="480" w:lineRule="auto"/>
        <w:rPr>
          <w:rFonts w:ascii="Arial" w:hAnsi="Arial" w:eastAsia="Times New Roman" w:cs="Arial"/>
          <w:sz w:val="20"/>
          <w:szCs w:val="20"/>
          <w:lang w:eastAsia="en-GB"/>
        </w:rPr>
      </w:pPr>
      <w:bookmarkStart w:name="_Hlk157762210" w:id="3"/>
      <w:r w:rsidRPr="00056369">
        <w:rPr>
          <w:rFonts w:ascii="Arial" w:hAnsi="Arial" w:eastAsia="Times New Roman" w:cs="Arial"/>
          <w:b/>
          <w:sz w:val="20"/>
          <w:szCs w:val="20"/>
          <w:lang w:eastAsia="en-GB"/>
        </w:rPr>
        <w:t>Notes:</w:t>
      </w:r>
      <w:r w:rsidRPr="00056369">
        <w:rPr>
          <w:rFonts w:ascii="Arial" w:hAnsi="Arial" w:eastAsia="Times New Roman" w:cs="Arial"/>
          <w:sz w:val="20"/>
          <w:szCs w:val="20"/>
          <w:lang w:eastAsia="en-GB"/>
        </w:rPr>
        <w:t xml:space="preserve"> Rate ratio &lt;1 indicates lower risk post-switch</w:t>
      </w:r>
      <w:r w:rsidRPr="00056369">
        <w:rPr>
          <w:rFonts w:ascii="Arial" w:hAnsi="Arial" w:eastAsia="Times New Roman" w:cs="Arial"/>
          <w:bCs/>
          <w:sz w:val="20"/>
          <w:szCs w:val="20"/>
          <w:lang w:eastAsia="en-GB"/>
        </w:rPr>
        <w:t>.</w:t>
      </w:r>
    </w:p>
    <w:p w:rsidRPr="00056369" w:rsidR="00056369" w:rsidP="00056369" w:rsidRDefault="00056369" w14:paraId="22438AEA" w14:textId="77777777">
      <w:pPr>
        <w:spacing w:line="480" w:lineRule="auto"/>
        <w:rPr>
          <w:rFonts w:ascii="Arial" w:hAnsi="Arial" w:eastAsia="Times New Roman" w:cs="Arial"/>
          <w:sz w:val="20"/>
          <w:szCs w:val="20"/>
          <w:lang w:eastAsia="en-GB"/>
        </w:rPr>
      </w:pPr>
      <w:r w:rsidRPr="00056369">
        <w:rPr>
          <w:rFonts w:ascii="Arial" w:hAnsi="Arial" w:eastAsia="Times New Roman" w:cs="Arial"/>
          <w:b/>
          <w:sz w:val="20"/>
          <w:szCs w:val="20"/>
          <w:lang w:eastAsia="en-GB"/>
        </w:rPr>
        <w:t>Abbreviations:</w:t>
      </w:r>
      <w:r w:rsidRPr="00056369">
        <w:rPr>
          <w:rFonts w:ascii="Arial" w:hAnsi="Arial" w:eastAsia="Times New Roman" w:cs="Arial"/>
          <w:sz w:val="20"/>
          <w:szCs w:val="20"/>
          <w:lang w:eastAsia="en-GB"/>
        </w:rPr>
        <w:t xml:space="preserve"> CI, confidence interval; COPD, chronic obstructive pulmonary disease; FF/UMEC/VI, fluticasone furoate/umeclidinium/vilanterol; MITT, multiple-inhaler triple therapy.</w:t>
      </w:r>
    </w:p>
    <w:bookmarkEnd w:id="3"/>
    <w:p w:rsidRPr="00056369" w:rsidR="00056369" w:rsidP="00056369" w:rsidRDefault="00056369" w14:paraId="4C6F80BD" w14:textId="77777777">
      <w:pPr>
        <w:rPr>
          <w:rFonts w:ascii="Arial" w:hAnsi="Arial" w:eastAsia="Times New Roman" w:cs="Arial"/>
          <w:b/>
          <w:color w:val="000000"/>
          <w:sz w:val="20"/>
          <w:szCs w:val="20"/>
          <w:lang w:eastAsia="en-GB"/>
        </w:rPr>
      </w:pPr>
      <w:r w:rsidRPr="00056369">
        <w:rPr>
          <w:rFonts w:ascii="Arial" w:hAnsi="Arial" w:eastAsia="Times New Roman" w:cs="Arial"/>
          <w:bCs/>
          <w:i/>
          <w:iCs/>
          <w:sz w:val="20"/>
          <w:szCs w:val="20"/>
          <w:lang w:eastAsia="en-GB"/>
        </w:rPr>
        <w:br w:type="page"/>
      </w:r>
    </w:p>
    <w:p w:rsidRPr="00056369" w:rsidR="00056369" w:rsidP="00056369" w:rsidRDefault="00056369" w14:paraId="6CAAA4D1" w14:textId="77777777">
      <w:pPr>
        <w:spacing w:line="480" w:lineRule="auto"/>
        <w:rPr>
          <w:rFonts w:ascii="Arial" w:hAnsi="Arial" w:eastAsia="MS PGothic" w:cs="Arial"/>
          <w:sz w:val="20"/>
          <w:szCs w:val="20"/>
        </w:rPr>
      </w:pPr>
      <w:bookmarkStart w:name="_Hlk157700816" w:id="4"/>
      <w:r w:rsidRPr="00056369">
        <w:rPr>
          <w:rFonts w:ascii="Arial" w:hAnsi="Arial" w:eastAsia="MS PGothic" w:cs="Arial"/>
          <w:b/>
          <w:sz w:val="20"/>
          <w:szCs w:val="20"/>
        </w:rPr>
        <w:t>Supplementary Figure 8:</w:t>
      </w:r>
      <w:r w:rsidRPr="00056369">
        <w:rPr>
          <w:rFonts w:ascii="Arial" w:hAnsi="Arial" w:eastAsia="MS PGothic" w:cs="Arial"/>
          <w:sz w:val="20"/>
          <w:szCs w:val="20"/>
        </w:rPr>
        <w:t xml:space="preserve"> COPD exacerbation rate in the 6 months pre- and post-switch from MITT to FF/UMEC/VI; 60-day permissible</w:t>
      </w:r>
      <w:r w:rsidRPr="00056369" w:rsidDel="00375DCB">
        <w:rPr>
          <w:rFonts w:ascii="Arial" w:hAnsi="Arial" w:eastAsia="MS PGothic" w:cs="Arial"/>
          <w:sz w:val="20"/>
          <w:szCs w:val="20"/>
        </w:rPr>
        <w:t xml:space="preserve"> </w:t>
      </w:r>
      <w:r w:rsidRPr="00056369">
        <w:rPr>
          <w:rFonts w:ascii="Arial" w:hAnsi="Arial" w:eastAsia="MS PGothic" w:cs="Arial"/>
          <w:sz w:val="20"/>
          <w:szCs w:val="20"/>
        </w:rPr>
        <w:t>gap (sensitivity analysis).</w:t>
      </w:r>
    </w:p>
    <w:bookmarkEnd w:id="4"/>
    <w:p w:rsidRPr="00056369" w:rsidR="00056369" w:rsidP="00056369" w:rsidRDefault="00160239" w14:paraId="6981D977" w14:textId="7D47E0EC">
      <w:pPr>
        <w:rPr>
          <w:rFonts w:ascii="Arial" w:hAnsi="Arial" w:eastAsia="Times New Roman" w:cs="Arial"/>
          <w:sz w:val="20"/>
          <w:szCs w:val="20"/>
          <w:lang w:eastAsia="en-GB"/>
        </w:rPr>
      </w:pPr>
      <w:r>
        <w:rPr>
          <w:rFonts w:ascii="Arial" w:hAnsi="Arial" w:eastAsia="Times New Roman" w:cs="Arial"/>
          <w:noProof/>
          <w:sz w:val="20"/>
          <w:szCs w:val="20"/>
          <w:lang w:eastAsia="en-GB"/>
        </w:rPr>
        <w:drawing>
          <wp:inline distT="0" distB="0" distL="0" distR="0" wp14:anchorId="498CBFF6" wp14:editId="3F5C264A">
            <wp:extent cx="8862145" cy="3426940"/>
            <wp:effectExtent l="0" t="0" r="0" b="2540"/>
            <wp:docPr id="1398403312"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03312" name="Picture 7" descr="A screenshot of a computer&#10;&#10;Description automatically generated"/>
                    <pic:cNvPicPr/>
                  </pic:nvPicPr>
                  <pic:blipFill rotWithShape="1">
                    <a:blip r:embed="rId14">
                      <a:extLst>
                        <a:ext uri="{28A0092B-C50C-407E-A947-70E740481C1C}">
                          <a14:useLocalDpi xmlns:a14="http://schemas.microsoft.com/office/drawing/2010/main" val="0"/>
                        </a:ext>
                      </a:extLst>
                    </a:blip>
                    <a:srcRect t="17515" b="13735"/>
                    <a:stretch/>
                  </pic:blipFill>
                  <pic:spPr bwMode="auto">
                    <a:xfrm>
                      <a:off x="0" y="0"/>
                      <a:ext cx="8863330" cy="3427398"/>
                    </a:xfrm>
                    <a:prstGeom prst="rect">
                      <a:avLst/>
                    </a:prstGeom>
                    <a:ln>
                      <a:noFill/>
                    </a:ln>
                    <a:extLst>
                      <a:ext uri="{53640926-AAD7-44D8-BBD7-CCE9431645EC}">
                        <a14:shadowObscured xmlns:a14="http://schemas.microsoft.com/office/drawing/2010/main"/>
                      </a:ext>
                    </a:extLst>
                  </pic:spPr>
                </pic:pic>
              </a:graphicData>
            </a:graphic>
          </wp:inline>
        </w:drawing>
      </w:r>
    </w:p>
    <w:p w:rsidRPr="00056369" w:rsidR="00056369" w:rsidP="00056369" w:rsidRDefault="00056369" w14:paraId="358087AB" w14:textId="77777777">
      <w:pPr>
        <w:spacing w:after="0" w:line="240" w:lineRule="auto"/>
        <w:rPr>
          <w:rFonts w:ascii="Times New Roman" w:hAnsi="Times New Roman" w:eastAsia="Times New Roman" w:cs="Times New Roman"/>
          <w:sz w:val="20"/>
          <w:szCs w:val="20"/>
          <w:lang w:eastAsia="en-GB"/>
        </w:rPr>
      </w:pPr>
    </w:p>
    <w:p w:rsidRPr="00056369" w:rsidR="00056369" w:rsidP="00056369" w:rsidRDefault="00056369" w14:paraId="1EE17201" w14:textId="77777777">
      <w:pPr>
        <w:spacing w:before="100" w:beforeAutospacing="1" w:after="0" w:line="480" w:lineRule="auto"/>
        <w:rPr>
          <w:rFonts w:ascii="Arial" w:hAnsi="Arial" w:eastAsia="Times New Roman" w:cs="Arial"/>
          <w:sz w:val="20"/>
          <w:szCs w:val="20"/>
          <w:lang w:eastAsia="en-GB"/>
        </w:rPr>
      </w:pPr>
      <w:r w:rsidRPr="00056369">
        <w:rPr>
          <w:rFonts w:ascii="Arial" w:hAnsi="Arial" w:eastAsia="Times New Roman" w:cs="Arial"/>
          <w:b/>
          <w:sz w:val="20"/>
          <w:szCs w:val="20"/>
          <w:lang w:eastAsia="en-GB"/>
        </w:rPr>
        <w:t>Notes:</w:t>
      </w:r>
      <w:r w:rsidRPr="00056369">
        <w:rPr>
          <w:rFonts w:ascii="Arial" w:hAnsi="Arial" w:eastAsia="Times New Roman" w:cs="Arial"/>
          <w:sz w:val="20"/>
          <w:szCs w:val="20"/>
          <w:lang w:eastAsia="en-GB"/>
        </w:rPr>
        <w:t xml:space="preserve"> Rate ratio &lt;1 indicates lower risk post-switch</w:t>
      </w:r>
      <w:r w:rsidRPr="00056369">
        <w:rPr>
          <w:rFonts w:ascii="Arial" w:hAnsi="Arial" w:eastAsia="Times New Roman" w:cs="Arial"/>
          <w:bCs/>
          <w:sz w:val="20"/>
          <w:szCs w:val="20"/>
          <w:lang w:eastAsia="en-GB"/>
        </w:rPr>
        <w:t>.</w:t>
      </w:r>
    </w:p>
    <w:p w:rsidRPr="00056369" w:rsidR="00056369" w:rsidP="00964837" w:rsidRDefault="00056369" w14:paraId="7CCBC11A" w14:textId="63FCC045">
      <w:pPr>
        <w:spacing w:line="480" w:lineRule="auto"/>
        <w:rPr>
          <w:rFonts w:ascii="Arial" w:hAnsi="Arial" w:eastAsia="Times New Roman" w:cs="Arial"/>
          <w:sz w:val="20"/>
          <w:szCs w:val="20"/>
          <w:lang w:eastAsia="en-GB"/>
        </w:rPr>
      </w:pPr>
      <w:r w:rsidRPr="00056369">
        <w:rPr>
          <w:rFonts w:ascii="Arial" w:hAnsi="Arial" w:eastAsia="Times New Roman" w:cs="Arial"/>
          <w:b/>
          <w:sz w:val="20"/>
          <w:szCs w:val="20"/>
          <w:lang w:eastAsia="en-GB"/>
        </w:rPr>
        <w:t>Abbreviations:</w:t>
      </w:r>
      <w:r w:rsidRPr="00056369">
        <w:rPr>
          <w:rFonts w:ascii="Arial" w:hAnsi="Arial" w:eastAsia="Times New Roman" w:cs="Arial"/>
          <w:sz w:val="20"/>
          <w:szCs w:val="20"/>
          <w:lang w:eastAsia="en-GB"/>
        </w:rPr>
        <w:t xml:space="preserve"> CI, confidence interval; COPD, chronic obstructive pulmonary disease; FF/UMEC/VI, fluticasone furoate/umeclidinium/vilanterol; MITT, multiple-inhaler triple therapy.</w:t>
      </w:r>
      <w:r w:rsidRPr="00056369">
        <w:rPr>
          <w:rFonts w:ascii="Arial" w:hAnsi="Arial" w:eastAsia="MS PGothic" w:cs="Arial"/>
          <w:i/>
          <w:iCs/>
        </w:rPr>
        <w:br w:type="page"/>
      </w:r>
    </w:p>
    <w:p w:rsidRPr="00056369" w:rsidR="00056369" w:rsidP="00056369" w:rsidRDefault="00056369" w14:paraId="2FBBFD2E" w14:textId="77777777">
      <w:pPr>
        <w:spacing w:line="480" w:lineRule="auto"/>
        <w:rPr>
          <w:rFonts w:ascii="Arial" w:hAnsi="Arial" w:eastAsia="MS PGothic" w:cs="Arial"/>
          <w:sz w:val="20"/>
          <w:szCs w:val="20"/>
        </w:rPr>
      </w:pPr>
      <w:r w:rsidRPr="00056369">
        <w:rPr>
          <w:rFonts w:ascii="Arial" w:hAnsi="Arial" w:eastAsia="MS PGothic" w:cs="Arial"/>
          <w:b/>
          <w:sz w:val="20"/>
          <w:szCs w:val="20"/>
        </w:rPr>
        <w:t>Supplementary Figure 9:</w:t>
      </w:r>
      <w:r w:rsidRPr="00056369">
        <w:rPr>
          <w:rFonts w:ascii="Arial" w:hAnsi="Arial" w:eastAsia="MS PGothic" w:cs="Arial"/>
          <w:sz w:val="20"/>
          <w:szCs w:val="20"/>
        </w:rPr>
        <w:t xml:space="preserve"> COPD exacerbation rate in the 6 months pre- and post-switch from MITT to FF/UMEC/VI; 90-day permissible</w:t>
      </w:r>
      <w:r w:rsidRPr="00056369" w:rsidDel="00375DCB">
        <w:rPr>
          <w:rFonts w:ascii="Arial" w:hAnsi="Arial" w:eastAsia="MS PGothic" w:cs="Arial"/>
          <w:sz w:val="20"/>
          <w:szCs w:val="20"/>
        </w:rPr>
        <w:t xml:space="preserve"> </w:t>
      </w:r>
      <w:r w:rsidRPr="00056369">
        <w:rPr>
          <w:rFonts w:ascii="Arial" w:hAnsi="Arial" w:eastAsia="MS PGothic" w:cs="Arial"/>
          <w:sz w:val="20"/>
          <w:szCs w:val="20"/>
        </w:rPr>
        <w:t>gap (sensitivity analysis)</w:t>
      </w:r>
      <w:r w:rsidRPr="00056369">
        <w:rPr>
          <w:rFonts w:ascii="Arial" w:hAnsi="Arial" w:eastAsia="MS PGothic" w:cs="Arial"/>
          <w:i/>
          <w:iCs/>
          <w:noProof/>
          <w:sz w:val="20"/>
          <w:szCs w:val="20"/>
        </w:rPr>
        <w:t>.</w:t>
      </w:r>
      <w:r w:rsidRPr="00056369">
        <w:rPr>
          <w:rFonts w:ascii="Arial" w:hAnsi="Arial" w:eastAsia="MS PGothic" w:cs="Arial"/>
          <w:sz w:val="20"/>
          <w:szCs w:val="20"/>
        </w:rPr>
        <w:tab/>
      </w:r>
    </w:p>
    <w:p w:rsidRPr="00056369" w:rsidR="00056369" w:rsidP="00056369" w:rsidRDefault="002869CF" w14:paraId="59EC9591" w14:textId="7DC9230E">
      <w:pPr>
        <w:spacing w:after="0" w:line="240" w:lineRule="auto"/>
        <w:rPr>
          <w:rFonts w:ascii="Times New Roman" w:hAnsi="Times New Roman" w:eastAsia="Times New Roman" w:cs="Times New Roman"/>
          <w:sz w:val="20"/>
          <w:szCs w:val="20"/>
          <w:lang w:eastAsia="en-GB"/>
        </w:rPr>
      </w:pPr>
      <w:r>
        <w:rPr>
          <w:rFonts w:ascii="Times New Roman" w:hAnsi="Times New Roman" w:eastAsia="Times New Roman" w:cs="Times New Roman"/>
          <w:noProof/>
          <w:sz w:val="20"/>
          <w:szCs w:val="20"/>
          <w:lang w:eastAsia="en-GB"/>
        </w:rPr>
        <w:drawing>
          <wp:inline distT="0" distB="0" distL="0" distR="0" wp14:anchorId="2852CBDF" wp14:editId="29AC5CDE">
            <wp:extent cx="8862186" cy="3377513"/>
            <wp:effectExtent l="0" t="0" r="0" b="0"/>
            <wp:docPr id="778824768"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24768" name="Picture 8" descr="A screenshot of a computer&#10;&#10;Description automatically generated"/>
                    <pic:cNvPicPr/>
                  </pic:nvPicPr>
                  <pic:blipFill rotWithShape="1">
                    <a:blip r:embed="rId15">
                      <a:extLst>
                        <a:ext uri="{28A0092B-C50C-407E-A947-70E740481C1C}">
                          <a14:useLocalDpi xmlns:a14="http://schemas.microsoft.com/office/drawing/2010/main" val="0"/>
                        </a:ext>
                      </a:extLst>
                    </a:blip>
                    <a:srcRect t="17349" b="14894"/>
                    <a:stretch/>
                  </pic:blipFill>
                  <pic:spPr bwMode="auto">
                    <a:xfrm>
                      <a:off x="0" y="0"/>
                      <a:ext cx="8863330" cy="3377949"/>
                    </a:xfrm>
                    <a:prstGeom prst="rect">
                      <a:avLst/>
                    </a:prstGeom>
                    <a:ln>
                      <a:noFill/>
                    </a:ln>
                    <a:extLst>
                      <a:ext uri="{53640926-AAD7-44D8-BBD7-CCE9431645EC}">
                        <a14:shadowObscured xmlns:a14="http://schemas.microsoft.com/office/drawing/2010/main"/>
                      </a:ext>
                    </a:extLst>
                  </pic:spPr>
                </pic:pic>
              </a:graphicData>
            </a:graphic>
          </wp:inline>
        </w:drawing>
      </w:r>
    </w:p>
    <w:p w:rsidRPr="00056369" w:rsidR="00056369" w:rsidP="00056369" w:rsidRDefault="00056369" w14:paraId="6432BCEE" w14:textId="77777777">
      <w:pPr>
        <w:spacing w:before="100" w:beforeAutospacing="1" w:after="0" w:line="480" w:lineRule="auto"/>
        <w:rPr>
          <w:rFonts w:ascii="Arial" w:hAnsi="Arial" w:eastAsia="Times New Roman" w:cs="Arial"/>
          <w:b/>
          <w:sz w:val="20"/>
          <w:szCs w:val="20"/>
          <w:lang w:eastAsia="en-GB"/>
        </w:rPr>
      </w:pPr>
      <w:r w:rsidRPr="00056369">
        <w:rPr>
          <w:rFonts w:ascii="Arial" w:hAnsi="Arial" w:eastAsia="Times New Roman" w:cs="Arial"/>
          <w:b/>
          <w:sz w:val="20"/>
          <w:szCs w:val="20"/>
          <w:lang w:eastAsia="en-GB"/>
        </w:rPr>
        <w:t>Notes:</w:t>
      </w:r>
      <w:r w:rsidRPr="00056369">
        <w:rPr>
          <w:rFonts w:ascii="Arial" w:hAnsi="Arial" w:eastAsia="Times New Roman" w:cs="Arial"/>
          <w:sz w:val="20"/>
          <w:szCs w:val="20"/>
          <w:lang w:eastAsia="en-GB"/>
        </w:rPr>
        <w:t xml:space="preserve"> Rate ratio &lt;1 indicates lower risk post-switch</w:t>
      </w:r>
      <w:r w:rsidRPr="00056369">
        <w:rPr>
          <w:rFonts w:ascii="Arial" w:hAnsi="Arial" w:eastAsia="Times New Roman" w:cs="Arial"/>
          <w:bCs/>
          <w:sz w:val="20"/>
          <w:szCs w:val="20"/>
          <w:lang w:eastAsia="en-GB"/>
        </w:rPr>
        <w:t>.</w:t>
      </w:r>
    </w:p>
    <w:p w:rsidRPr="00056369" w:rsidR="00056369" w:rsidP="00056369" w:rsidRDefault="00056369" w14:paraId="0986EDD3" w14:textId="77777777">
      <w:pPr>
        <w:spacing w:line="480" w:lineRule="auto"/>
        <w:rPr>
          <w:rFonts w:ascii="Arial" w:hAnsi="Arial" w:eastAsia="Times New Roman" w:cs="Arial"/>
          <w:sz w:val="20"/>
          <w:szCs w:val="20"/>
          <w:lang w:eastAsia="en-GB"/>
        </w:rPr>
      </w:pPr>
      <w:r w:rsidRPr="00056369">
        <w:rPr>
          <w:rFonts w:ascii="Arial" w:hAnsi="Arial" w:eastAsia="Times New Roman" w:cs="Arial"/>
          <w:b/>
          <w:sz w:val="20"/>
          <w:szCs w:val="20"/>
          <w:lang w:eastAsia="en-GB"/>
        </w:rPr>
        <w:t>Abbreviations:</w:t>
      </w:r>
      <w:r w:rsidRPr="00056369">
        <w:rPr>
          <w:rFonts w:ascii="Arial" w:hAnsi="Arial" w:eastAsia="Times New Roman" w:cs="Arial"/>
          <w:sz w:val="20"/>
          <w:szCs w:val="20"/>
          <w:lang w:eastAsia="en-GB"/>
        </w:rPr>
        <w:t xml:space="preserve"> CI, confidence interval; COPD, chronic obstructive pulmonary disease; FF/UMEC/VI, fluticasone furoate/umeclidinium/vilanterol; MITT, multiple-inhaler triple therapy.</w:t>
      </w:r>
    </w:p>
    <w:p w:rsidRPr="00056369" w:rsidR="00056369" w:rsidP="00056369" w:rsidRDefault="00056369" w14:paraId="185E78B1" w14:textId="77777777">
      <w:pPr>
        <w:rPr>
          <w:rFonts w:ascii="Arial" w:hAnsi="Arial" w:eastAsia="MS PGothic" w:cs="Arial"/>
          <w:b/>
          <w:bCs/>
          <w:color w:val="000000"/>
        </w:rPr>
      </w:pPr>
      <w:r w:rsidRPr="00056369">
        <w:rPr>
          <w:rFonts w:ascii="Arial" w:hAnsi="Arial" w:eastAsia="MS PGothic" w:cs="Arial"/>
          <w:i/>
          <w:iCs/>
          <w:sz w:val="20"/>
          <w:szCs w:val="20"/>
        </w:rPr>
        <w:br w:type="page"/>
      </w:r>
    </w:p>
    <w:p w:rsidR="00056369" w:rsidP="00056369" w:rsidRDefault="00056369" w14:paraId="7B48EB40" w14:textId="3C488E5C">
      <w:pPr>
        <w:spacing w:line="480" w:lineRule="auto"/>
        <w:rPr>
          <w:rFonts w:ascii="Arial" w:hAnsi="Arial" w:eastAsia="MS PGothic" w:cs="Arial"/>
          <w:noProof/>
          <w:sz w:val="20"/>
          <w:szCs w:val="20"/>
        </w:rPr>
      </w:pPr>
      <w:r w:rsidRPr="00056369">
        <w:rPr>
          <w:rFonts w:ascii="Arial" w:hAnsi="Arial" w:eastAsia="MS PGothic" w:cs="Arial"/>
          <w:b/>
          <w:sz w:val="20"/>
          <w:szCs w:val="20"/>
        </w:rPr>
        <w:t>Supplementary Figure 10:</w:t>
      </w:r>
      <w:r w:rsidRPr="00056369">
        <w:rPr>
          <w:rFonts w:ascii="Arial" w:hAnsi="Arial" w:eastAsia="MS PGothic" w:cs="Arial"/>
          <w:sz w:val="20"/>
          <w:szCs w:val="20"/>
        </w:rPr>
        <w:t xml:space="preserve"> COPD exacerbation rate in the 6 months pre- and post-switch from MITT to FF/UMEC/VI; 28 days prior to the treatment switch removed (sensitivity analysis)</w:t>
      </w:r>
      <w:r w:rsidRPr="00056369">
        <w:rPr>
          <w:rFonts w:ascii="Arial" w:hAnsi="Arial" w:eastAsia="MS PGothic" w:cs="Arial"/>
          <w:i/>
          <w:iCs/>
          <w:noProof/>
          <w:sz w:val="20"/>
          <w:szCs w:val="20"/>
        </w:rPr>
        <w:t>.</w:t>
      </w:r>
      <w:r w:rsidRPr="00056369">
        <w:rPr>
          <w:rFonts w:ascii="Arial" w:hAnsi="Arial" w:eastAsia="MS PGothic" w:cs="Arial"/>
          <w:sz w:val="20"/>
          <w:szCs w:val="20"/>
        </w:rPr>
        <w:tab/>
      </w:r>
    </w:p>
    <w:p w:rsidRPr="00056369" w:rsidR="00964837" w:rsidP="00056369" w:rsidRDefault="005A44B9" w14:paraId="40368BD7" w14:textId="2E4910E3">
      <w:pPr>
        <w:spacing w:line="480" w:lineRule="auto"/>
        <w:rPr>
          <w:rFonts w:ascii="Arial" w:hAnsi="Arial" w:eastAsia="MS PGothic" w:cs="Arial"/>
          <w:sz w:val="20"/>
          <w:szCs w:val="20"/>
        </w:rPr>
      </w:pPr>
      <w:r>
        <w:rPr>
          <w:rFonts w:ascii="Arial" w:hAnsi="Arial" w:eastAsia="MS PGothic" w:cs="Arial"/>
          <w:noProof/>
          <w:sz w:val="20"/>
          <w:szCs w:val="20"/>
        </w:rPr>
        <w:drawing>
          <wp:inline distT="0" distB="0" distL="0" distR="0" wp14:anchorId="44198F49" wp14:editId="665D5639">
            <wp:extent cx="8862340" cy="3492843"/>
            <wp:effectExtent l="0" t="0" r="0" b="0"/>
            <wp:docPr id="147661275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12752" name="Picture 12" descr="A screenshot of a computer&#10;&#10;Description automatically generated"/>
                    <pic:cNvPicPr/>
                  </pic:nvPicPr>
                  <pic:blipFill rotWithShape="1">
                    <a:blip r:embed="rId16">
                      <a:extLst>
                        <a:ext uri="{28A0092B-C50C-407E-A947-70E740481C1C}">
                          <a14:useLocalDpi xmlns:a14="http://schemas.microsoft.com/office/drawing/2010/main" val="0"/>
                        </a:ext>
                      </a:extLst>
                    </a:blip>
                    <a:srcRect t="16689" b="13241"/>
                    <a:stretch/>
                  </pic:blipFill>
                  <pic:spPr bwMode="auto">
                    <a:xfrm>
                      <a:off x="0" y="0"/>
                      <a:ext cx="8863330" cy="3493233"/>
                    </a:xfrm>
                    <a:prstGeom prst="rect">
                      <a:avLst/>
                    </a:prstGeom>
                    <a:ln>
                      <a:noFill/>
                    </a:ln>
                    <a:extLst>
                      <a:ext uri="{53640926-AAD7-44D8-BBD7-CCE9431645EC}">
                        <a14:shadowObscured xmlns:a14="http://schemas.microsoft.com/office/drawing/2010/main"/>
                      </a:ext>
                    </a:extLst>
                  </pic:spPr>
                </pic:pic>
              </a:graphicData>
            </a:graphic>
          </wp:inline>
        </w:drawing>
      </w:r>
    </w:p>
    <w:p w:rsidRPr="00056369" w:rsidR="00056369" w:rsidP="00056369" w:rsidRDefault="00056369" w14:paraId="3775E4FF" w14:textId="77777777">
      <w:pPr>
        <w:spacing w:before="100" w:beforeAutospacing="1" w:after="0" w:line="480" w:lineRule="auto"/>
        <w:rPr>
          <w:rFonts w:ascii="Arial" w:hAnsi="Arial" w:eastAsia="Times New Roman" w:cs="Arial"/>
          <w:sz w:val="20"/>
          <w:szCs w:val="20"/>
          <w:lang w:eastAsia="en-GB"/>
        </w:rPr>
      </w:pPr>
      <w:r w:rsidRPr="00056369">
        <w:rPr>
          <w:rFonts w:ascii="Arial" w:hAnsi="Arial" w:eastAsia="Times New Roman" w:cs="Arial"/>
          <w:b/>
          <w:sz w:val="20"/>
          <w:szCs w:val="20"/>
          <w:lang w:eastAsia="en-GB"/>
        </w:rPr>
        <w:t>Notes:</w:t>
      </w:r>
      <w:r w:rsidRPr="00056369">
        <w:rPr>
          <w:rFonts w:ascii="Arial" w:hAnsi="Arial" w:eastAsia="Times New Roman" w:cs="Arial"/>
          <w:sz w:val="20"/>
          <w:szCs w:val="20"/>
          <w:lang w:eastAsia="en-GB"/>
        </w:rPr>
        <w:t xml:space="preserve"> Rate ratio &lt;1 indicates lower risk post-switch</w:t>
      </w:r>
      <w:r w:rsidRPr="00056369">
        <w:rPr>
          <w:rFonts w:ascii="Arial" w:hAnsi="Arial" w:eastAsia="Times New Roman" w:cs="Arial"/>
          <w:bCs/>
          <w:sz w:val="20"/>
          <w:szCs w:val="20"/>
          <w:lang w:eastAsia="en-GB"/>
        </w:rPr>
        <w:t>.</w:t>
      </w:r>
    </w:p>
    <w:p w:rsidRPr="00056369" w:rsidR="00056369" w:rsidP="00056369" w:rsidRDefault="00056369" w14:paraId="40DED018" w14:textId="4671EE5C">
      <w:pPr>
        <w:rPr>
          <w:rFonts w:ascii="Arial" w:hAnsi="Arial" w:eastAsia="Times New Roman" w:cs="Arial"/>
          <w:sz w:val="20"/>
          <w:szCs w:val="20"/>
          <w:lang w:eastAsia="en-GB"/>
        </w:rPr>
      </w:pPr>
      <w:r w:rsidRPr="00056369">
        <w:rPr>
          <w:rFonts w:ascii="Arial" w:hAnsi="Arial" w:eastAsia="Times New Roman" w:cs="Arial"/>
          <w:b/>
          <w:sz w:val="20"/>
          <w:szCs w:val="20"/>
          <w:lang w:eastAsia="en-GB"/>
        </w:rPr>
        <w:t>Abbreviations:</w:t>
      </w:r>
      <w:r w:rsidRPr="00056369">
        <w:rPr>
          <w:rFonts w:ascii="Arial" w:hAnsi="Arial" w:eastAsia="Times New Roman" w:cs="Arial"/>
          <w:sz w:val="20"/>
          <w:szCs w:val="20"/>
          <w:lang w:eastAsia="en-GB"/>
        </w:rPr>
        <w:t xml:space="preserve"> CI, confidence interval; COPD, chronic obstructive pulmonary disease; FF/UMEC/VI, fluticasone furoate/umeclidinium/vilanterol; MITT, multiple-inhaler triple therapy</w:t>
      </w:r>
      <w:r w:rsidR="00964837">
        <w:rPr>
          <w:rFonts w:ascii="Arial" w:hAnsi="Arial" w:eastAsia="Times New Roman" w:cs="Arial"/>
          <w:sz w:val="20"/>
          <w:szCs w:val="20"/>
          <w:lang w:eastAsia="en-GB"/>
        </w:rPr>
        <w:t>.</w:t>
      </w:r>
    </w:p>
    <w:p w:rsidRPr="00964837" w:rsidR="00964837" w:rsidP="00056369" w:rsidRDefault="00056369" w14:paraId="17A8CCA8" w14:textId="41C015FC">
      <w:pPr>
        <w:rPr>
          <w:rFonts w:ascii="Arial" w:hAnsi="Arial" w:eastAsia="Times New Roman" w:cs="Arial"/>
          <w:sz w:val="20"/>
          <w:szCs w:val="20"/>
          <w:lang w:eastAsia="en-GB"/>
        </w:rPr>
        <w:sectPr w:rsidRPr="00964837" w:rsidR="00964837" w:rsidSect="00077D16">
          <w:pgSz w:w="16838" w:h="11906" w:orient="landscape"/>
          <w:pgMar w:top="1440" w:right="1440" w:bottom="1440" w:left="1440" w:header="708" w:footer="708" w:gutter="0"/>
          <w:cols w:space="708"/>
          <w:docGrid w:linePitch="360"/>
        </w:sectPr>
      </w:pPr>
      <w:r w:rsidRPr="00056369">
        <w:rPr>
          <w:rFonts w:ascii="Arial" w:hAnsi="Arial" w:eastAsia="Times New Roman" w:cs="Arial"/>
          <w:sz w:val="20"/>
          <w:szCs w:val="20"/>
          <w:lang w:eastAsia="en-GB"/>
        </w:rPr>
        <w:br w:type="page"/>
      </w:r>
    </w:p>
    <w:p w:rsidRPr="00056369" w:rsidR="00056369" w:rsidP="00964837" w:rsidRDefault="00056369" w14:paraId="01B98068" w14:textId="730E03A2">
      <w:pPr>
        <w:spacing w:line="480" w:lineRule="auto"/>
        <w:rPr>
          <w:rFonts w:ascii="Arial" w:hAnsi="Arial" w:eastAsia="MS PGothic" w:cs="Arial"/>
          <w:b/>
          <w:bCs/>
          <w:i/>
          <w:sz w:val="20"/>
          <w:szCs w:val="20"/>
        </w:rPr>
      </w:pPr>
      <w:r w:rsidRPr="00056369">
        <w:rPr>
          <w:rFonts w:ascii="Arial" w:hAnsi="Arial" w:eastAsia="MS PGothic" w:cs="Arial"/>
          <w:b/>
          <w:sz w:val="20"/>
          <w:szCs w:val="20"/>
        </w:rPr>
        <w:t>Supplementary Table 1</w:t>
      </w:r>
      <w:r w:rsidRPr="00056369">
        <w:rPr>
          <w:rFonts w:ascii="Arial" w:hAnsi="Arial" w:eastAsia="MS PGothic" w:cs="Arial"/>
          <w:i/>
          <w:sz w:val="20"/>
          <w:szCs w:val="20"/>
        </w:rPr>
        <w:t xml:space="preserve"> </w:t>
      </w:r>
      <w:r w:rsidRPr="00056369">
        <w:rPr>
          <w:rFonts w:ascii="Arial" w:hAnsi="Arial" w:eastAsia="MS PGothic" w:cs="Arial"/>
          <w:sz w:val="20"/>
          <w:szCs w:val="20"/>
        </w:rPr>
        <w:t>Number and incidence rates of COPD exacerbations in the 6 months pre- and post-switch from MITT to FF/UMEC/VI: total population (N=2365) and patients with ≥1 exacerbation while receiving MITT (n=264)</w:t>
      </w:r>
      <w:r w:rsidR="00964837">
        <w:rPr>
          <w:rFonts w:ascii="Arial" w:hAnsi="Arial" w:eastAsia="MS PGothic" w:cs="Arial"/>
          <w:sz w:val="20"/>
          <w:szCs w:val="20"/>
        </w:rPr>
        <w:t>.</w:t>
      </w:r>
    </w:p>
    <w:tbl>
      <w:tblPr>
        <w:tblStyle w:val="TableGrid"/>
        <w:tblW w:w="9067" w:type="dxa"/>
        <w:tblLook w:val="04A0" w:firstRow="1" w:lastRow="0" w:firstColumn="1" w:lastColumn="0" w:noHBand="0" w:noVBand="1"/>
      </w:tblPr>
      <w:tblGrid>
        <w:gridCol w:w="5382"/>
        <w:gridCol w:w="1842"/>
        <w:gridCol w:w="1843"/>
      </w:tblGrid>
      <w:tr w:rsidRPr="00056369" w:rsidR="00056369" w:rsidTr="00C424A9" w14:paraId="4402C685" w14:textId="77777777">
        <w:trPr>
          <w:trHeight w:val="481"/>
        </w:trPr>
        <w:tc>
          <w:tcPr>
            <w:tcW w:w="5382" w:type="dxa"/>
            <w:vAlign w:val="center"/>
          </w:tcPr>
          <w:p w:rsidRPr="00056369" w:rsidR="00056369" w:rsidP="00056369" w:rsidRDefault="00056369" w14:paraId="447FCAD5" w14:textId="77777777">
            <w:pPr>
              <w:spacing w:before="100" w:beforeAutospacing="1" w:after="120" w:line="276" w:lineRule="auto"/>
              <w:contextualSpacing/>
              <w:jc w:val="center"/>
              <w:rPr>
                <w:rFonts w:ascii="Arial" w:hAnsi="Arial" w:cs="Arial"/>
                <w:b/>
                <w:sz w:val="20"/>
                <w:szCs w:val="20"/>
              </w:rPr>
            </w:pPr>
          </w:p>
        </w:tc>
        <w:tc>
          <w:tcPr>
            <w:tcW w:w="1842" w:type="dxa"/>
            <w:vAlign w:val="center"/>
          </w:tcPr>
          <w:p w:rsidRPr="00056369" w:rsidR="00056369" w:rsidP="00056369" w:rsidRDefault="00056369" w14:paraId="759517EF" w14:textId="77777777">
            <w:pPr>
              <w:spacing w:before="100" w:beforeAutospacing="1" w:after="120" w:line="276" w:lineRule="auto"/>
              <w:contextualSpacing/>
              <w:jc w:val="center"/>
              <w:rPr>
                <w:rFonts w:ascii="Arial" w:hAnsi="Arial" w:cs="Arial"/>
                <w:b/>
                <w:sz w:val="20"/>
                <w:szCs w:val="20"/>
              </w:rPr>
            </w:pPr>
            <w:r w:rsidRPr="00056369">
              <w:rPr>
                <w:rFonts w:ascii="Arial" w:hAnsi="Arial" w:cs="Arial"/>
                <w:b/>
                <w:sz w:val="20"/>
                <w:szCs w:val="20"/>
              </w:rPr>
              <w:t xml:space="preserve">6 months </w:t>
            </w:r>
            <w:r w:rsidRPr="00056369">
              <w:rPr>
                <w:rFonts w:ascii="Arial" w:hAnsi="Arial" w:cs="Arial"/>
                <w:b/>
                <w:sz w:val="20"/>
                <w:szCs w:val="20"/>
              </w:rPr>
              <w:br/>
            </w:r>
            <w:r w:rsidRPr="00056369">
              <w:rPr>
                <w:rFonts w:ascii="Arial" w:hAnsi="Arial" w:cs="Arial"/>
                <w:b/>
                <w:sz w:val="20"/>
                <w:szCs w:val="20"/>
              </w:rPr>
              <w:t>pre-switch</w:t>
            </w:r>
          </w:p>
        </w:tc>
        <w:tc>
          <w:tcPr>
            <w:tcW w:w="1843" w:type="dxa"/>
            <w:vAlign w:val="center"/>
          </w:tcPr>
          <w:p w:rsidRPr="00056369" w:rsidR="00056369" w:rsidP="00056369" w:rsidRDefault="00056369" w14:paraId="73C41266" w14:textId="77777777">
            <w:pPr>
              <w:spacing w:before="100" w:beforeAutospacing="1" w:after="120" w:line="276" w:lineRule="auto"/>
              <w:contextualSpacing/>
              <w:jc w:val="center"/>
              <w:rPr>
                <w:rFonts w:ascii="Arial" w:hAnsi="Arial" w:cs="Arial"/>
                <w:b/>
                <w:sz w:val="20"/>
                <w:szCs w:val="20"/>
              </w:rPr>
            </w:pPr>
            <w:r w:rsidRPr="00056369">
              <w:rPr>
                <w:rFonts w:ascii="Arial" w:hAnsi="Arial" w:cs="Arial"/>
                <w:b/>
                <w:sz w:val="20"/>
                <w:szCs w:val="20"/>
              </w:rPr>
              <w:t xml:space="preserve">6 months </w:t>
            </w:r>
            <w:r w:rsidRPr="00056369">
              <w:rPr>
                <w:rFonts w:ascii="Arial" w:hAnsi="Arial" w:cs="Arial"/>
                <w:b/>
                <w:sz w:val="20"/>
                <w:szCs w:val="20"/>
              </w:rPr>
              <w:br/>
            </w:r>
            <w:r w:rsidRPr="00056369">
              <w:rPr>
                <w:rFonts w:ascii="Arial" w:hAnsi="Arial" w:cs="Arial"/>
                <w:b/>
                <w:sz w:val="20"/>
                <w:szCs w:val="20"/>
              </w:rPr>
              <w:t>post-switch</w:t>
            </w:r>
          </w:p>
        </w:tc>
      </w:tr>
      <w:tr w:rsidRPr="00056369" w:rsidR="00056369" w:rsidTr="00C424A9" w14:paraId="7F82B426" w14:textId="77777777">
        <w:tc>
          <w:tcPr>
            <w:tcW w:w="9067" w:type="dxa"/>
            <w:gridSpan w:val="3"/>
          </w:tcPr>
          <w:p w:rsidRPr="00056369" w:rsidR="00056369" w:rsidP="00056369" w:rsidRDefault="00056369" w14:paraId="3986B2B6" w14:textId="4F5857F1">
            <w:pPr>
              <w:spacing w:before="100" w:beforeAutospacing="1" w:after="120" w:line="276" w:lineRule="auto"/>
              <w:contextualSpacing/>
              <w:rPr>
                <w:rFonts w:ascii="Arial" w:hAnsi="Arial" w:cs="Arial"/>
                <w:b/>
                <w:sz w:val="20"/>
                <w:szCs w:val="20"/>
              </w:rPr>
            </w:pPr>
            <w:r w:rsidRPr="00056369">
              <w:rPr>
                <w:rFonts w:ascii="Arial" w:hAnsi="Arial" w:cs="Arial"/>
                <w:b/>
                <w:sz w:val="20"/>
                <w:szCs w:val="20"/>
              </w:rPr>
              <w:t>Total population (N=2365)</w:t>
            </w:r>
          </w:p>
        </w:tc>
      </w:tr>
      <w:tr w:rsidRPr="00056369" w:rsidR="00056369" w:rsidTr="00C424A9" w14:paraId="6FCF00E7" w14:textId="77777777">
        <w:tc>
          <w:tcPr>
            <w:tcW w:w="5382" w:type="dxa"/>
          </w:tcPr>
          <w:p w:rsidRPr="00056369" w:rsidR="00056369" w:rsidP="00056369" w:rsidRDefault="00056369" w14:paraId="5446134F" w14:textId="77777777">
            <w:pPr>
              <w:tabs>
                <w:tab w:val="left" w:pos="270"/>
              </w:tabs>
              <w:spacing w:before="100" w:beforeAutospacing="1" w:after="120" w:line="276" w:lineRule="auto"/>
              <w:contextualSpacing/>
              <w:rPr>
                <w:rFonts w:ascii="Arial" w:hAnsi="Arial" w:cs="Arial"/>
                <w:b/>
                <w:sz w:val="20"/>
                <w:szCs w:val="20"/>
              </w:rPr>
            </w:pPr>
            <w:r w:rsidRPr="00056369">
              <w:rPr>
                <w:rFonts w:ascii="Arial" w:hAnsi="Arial" w:cs="Arial"/>
                <w:sz w:val="20"/>
                <w:szCs w:val="20"/>
              </w:rPr>
              <w:t>Overall (moderate-to-severe) exacerbations</w:t>
            </w:r>
          </w:p>
          <w:p w:rsidRPr="00056369" w:rsidR="00056369" w:rsidP="00056369" w:rsidRDefault="00056369" w14:paraId="1F5FA122"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b/>
                <w:sz w:val="20"/>
                <w:szCs w:val="20"/>
              </w:rPr>
              <w:tab/>
            </w:r>
            <w:r w:rsidRPr="00056369">
              <w:rPr>
                <w:rFonts w:ascii="Arial" w:hAnsi="Arial" w:cs="Arial"/>
                <w:sz w:val="20"/>
                <w:szCs w:val="20"/>
              </w:rPr>
              <w:t>Number of events</w:t>
            </w:r>
          </w:p>
          <w:p w:rsidRPr="00056369" w:rsidR="00056369" w:rsidP="00056369" w:rsidRDefault="00056369" w14:paraId="32B54A41"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Time at risk, days</w:t>
            </w:r>
          </w:p>
          <w:p w:rsidRPr="00056369" w:rsidR="00056369" w:rsidP="00056369" w:rsidRDefault="00056369" w14:paraId="6FEE5C3A"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Incidence rate (PPPY)</w:t>
            </w:r>
          </w:p>
        </w:tc>
        <w:tc>
          <w:tcPr>
            <w:tcW w:w="1842" w:type="dxa"/>
          </w:tcPr>
          <w:p w:rsidRPr="00056369" w:rsidR="00056369" w:rsidP="00056369" w:rsidRDefault="00056369" w14:paraId="26551B40" w14:textId="77777777">
            <w:pPr>
              <w:spacing w:before="100" w:beforeAutospacing="1" w:after="120" w:line="276" w:lineRule="auto"/>
              <w:contextualSpacing/>
              <w:jc w:val="center"/>
              <w:rPr>
                <w:rFonts w:ascii="Arial" w:hAnsi="Arial" w:cs="Arial"/>
                <w:sz w:val="20"/>
                <w:szCs w:val="20"/>
              </w:rPr>
            </w:pPr>
          </w:p>
          <w:p w:rsidRPr="00056369" w:rsidR="00056369" w:rsidP="00056369" w:rsidRDefault="00056369" w14:paraId="2A033B98"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359</w:t>
            </w:r>
          </w:p>
          <w:p w:rsidRPr="00056369" w:rsidR="00056369" w:rsidP="00056369" w:rsidRDefault="00056369" w14:paraId="59120BC9"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425,700</w:t>
            </w:r>
          </w:p>
          <w:p w:rsidRPr="00056369" w:rsidR="00056369" w:rsidP="00056369" w:rsidRDefault="00056369" w14:paraId="245B087F"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0.0008</w:t>
            </w:r>
          </w:p>
        </w:tc>
        <w:tc>
          <w:tcPr>
            <w:tcW w:w="1843" w:type="dxa"/>
          </w:tcPr>
          <w:p w:rsidRPr="00056369" w:rsidR="00056369" w:rsidP="00056369" w:rsidRDefault="00056369" w14:paraId="5361A7E2" w14:textId="77777777">
            <w:pPr>
              <w:spacing w:before="100" w:beforeAutospacing="1" w:after="120" w:line="276" w:lineRule="auto"/>
              <w:contextualSpacing/>
              <w:jc w:val="center"/>
              <w:rPr>
                <w:rFonts w:ascii="Arial" w:hAnsi="Arial" w:cs="Arial"/>
                <w:sz w:val="20"/>
                <w:szCs w:val="20"/>
              </w:rPr>
            </w:pPr>
          </w:p>
          <w:p w:rsidRPr="00056369" w:rsidR="00056369" w:rsidP="00056369" w:rsidRDefault="00056369" w14:paraId="64726855"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308</w:t>
            </w:r>
          </w:p>
          <w:p w:rsidRPr="00056369" w:rsidR="00056369" w:rsidP="00056369" w:rsidRDefault="00056369" w14:paraId="14197FEA"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425,700</w:t>
            </w:r>
          </w:p>
          <w:p w:rsidRPr="00056369" w:rsidR="00056369" w:rsidP="00056369" w:rsidRDefault="00056369" w14:paraId="314CF13A"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0.0007</w:t>
            </w:r>
          </w:p>
        </w:tc>
      </w:tr>
      <w:tr w:rsidRPr="00056369" w:rsidR="00056369" w:rsidTr="00C424A9" w14:paraId="4E335B94" w14:textId="77777777">
        <w:tc>
          <w:tcPr>
            <w:tcW w:w="5382" w:type="dxa"/>
          </w:tcPr>
          <w:p w:rsidRPr="00056369" w:rsidR="00056369" w:rsidP="00056369" w:rsidRDefault="00056369" w14:paraId="73629F04"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Moderate COPD exacerbations</w:t>
            </w:r>
          </w:p>
          <w:p w:rsidRPr="00056369" w:rsidR="00056369" w:rsidP="00056369" w:rsidRDefault="00056369" w14:paraId="297B5B75"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Number of events</w:t>
            </w:r>
          </w:p>
          <w:p w:rsidRPr="00056369" w:rsidR="00056369" w:rsidP="00056369" w:rsidRDefault="00056369" w14:paraId="7C706CD8"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Time at risk, days</w:t>
            </w:r>
          </w:p>
          <w:p w:rsidRPr="00056369" w:rsidR="00056369" w:rsidP="00056369" w:rsidRDefault="00056369" w14:paraId="000C9668"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Incidence rate (PPPY)</w:t>
            </w:r>
          </w:p>
        </w:tc>
        <w:tc>
          <w:tcPr>
            <w:tcW w:w="1842" w:type="dxa"/>
          </w:tcPr>
          <w:p w:rsidRPr="00056369" w:rsidR="00056369" w:rsidP="00056369" w:rsidRDefault="00056369" w14:paraId="7DF2B1AD" w14:textId="77777777">
            <w:pPr>
              <w:spacing w:before="100" w:beforeAutospacing="1" w:after="120" w:line="276" w:lineRule="auto"/>
              <w:contextualSpacing/>
              <w:jc w:val="center"/>
              <w:rPr>
                <w:rFonts w:ascii="Arial" w:hAnsi="Arial" w:cs="Arial"/>
                <w:b/>
                <w:sz w:val="20"/>
                <w:szCs w:val="20"/>
              </w:rPr>
            </w:pPr>
          </w:p>
          <w:p w:rsidRPr="00056369" w:rsidR="00056369" w:rsidP="00056369" w:rsidRDefault="00056369" w14:paraId="629725E5"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241</w:t>
            </w:r>
          </w:p>
          <w:p w:rsidRPr="00056369" w:rsidR="00056369" w:rsidP="00056369" w:rsidRDefault="00056369" w14:paraId="5B95A6F8"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425,700</w:t>
            </w:r>
          </w:p>
          <w:p w:rsidRPr="00056369" w:rsidR="00056369" w:rsidP="00056369" w:rsidRDefault="00056369" w14:paraId="17335DB3"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0.0006</w:t>
            </w:r>
          </w:p>
        </w:tc>
        <w:tc>
          <w:tcPr>
            <w:tcW w:w="1843" w:type="dxa"/>
          </w:tcPr>
          <w:p w:rsidRPr="00056369" w:rsidR="00056369" w:rsidP="00056369" w:rsidRDefault="00056369" w14:paraId="289E5B32" w14:textId="77777777">
            <w:pPr>
              <w:spacing w:before="100" w:beforeAutospacing="1" w:after="120" w:line="276" w:lineRule="auto"/>
              <w:contextualSpacing/>
              <w:jc w:val="center"/>
              <w:rPr>
                <w:rFonts w:ascii="Arial" w:hAnsi="Arial" w:cs="Arial"/>
                <w:b/>
                <w:sz w:val="20"/>
                <w:szCs w:val="20"/>
              </w:rPr>
            </w:pPr>
          </w:p>
          <w:p w:rsidRPr="00056369" w:rsidR="00056369" w:rsidP="00056369" w:rsidRDefault="00056369" w14:paraId="5E1D455C"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228</w:t>
            </w:r>
          </w:p>
          <w:p w:rsidRPr="00056369" w:rsidR="00056369" w:rsidP="00056369" w:rsidRDefault="00056369" w14:paraId="23FABD1B"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425,700</w:t>
            </w:r>
          </w:p>
          <w:p w:rsidRPr="00056369" w:rsidR="00056369" w:rsidP="00056369" w:rsidRDefault="00056369" w14:paraId="653570C0"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0.0005</w:t>
            </w:r>
          </w:p>
        </w:tc>
      </w:tr>
      <w:tr w:rsidRPr="00056369" w:rsidR="00056369" w:rsidTr="00C424A9" w14:paraId="7B5F73AC" w14:textId="77777777">
        <w:tc>
          <w:tcPr>
            <w:tcW w:w="5382" w:type="dxa"/>
          </w:tcPr>
          <w:p w:rsidRPr="00056369" w:rsidR="00056369" w:rsidP="00056369" w:rsidRDefault="00056369" w14:paraId="234D10D6"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Severe COPD exacerbations</w:t>
            </w:r>
          </w:p>
          <w:p w:rsidRPr="00056369" w:rsidR="00056369" w:rsidP="00056369" w:rsidRDefault="00056369" w14:paraId="5E8BB3F0"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Number of events</w:t>
            </w:r>
          </w:p>
          <w:p w:rsidRPr="00056369" w:rsidR="00056369" w:rsidP="00056369" w:rsidRDefault="00056369" w14:paraId="3082E1FE"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Time at risk, days</w:t>
            </w:r>
          </w:p>
          <w:p w:rsidRPr="00056369" w:rsidR="00056369" w:rsidP="00056369" w:rsidRDefault="00056369" w14:paraId="2824A504"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Incidence rate (PPPY)</w:t>
            </w:r>
          </w:p>
        </w:tc>
        <w:tc>
          <w:tcPr>
            <w:tcW w:w="1842" w:type="dxa"/>
          </w:tcPr>
          <w:p w:rsidRPr="00056369" w:rsidR="00056369" w:rsidP="00056369" w:rsidRDefault="00056369" w14:paraId="20DB58D5" w14:textId="77777777">
            <w:pPr>
              <w:spacing w:before="100" w:beforeAutospacing="1" w:after="120" w:line="276" w:lineRule="auto"/>
              <w:contextualSpacing/>
              <w:jc w:val="center"/>
              <w:rPr>
                <w:rFonts w:ascii="Arial" w:hAnsi="Arial" w:cs="Arial"/>
                <w:sz w:val="20"/>
                <w:szCs w:val="20"/>
              </w:rPr>
            </w:pPr>
          </w:p>
          <w:p w:rsidRPr="00056369" w:rsidR="00056369" w:rsidP="00056369" w:rsidRDefault="00056369" w14:paraId="19EB96B5"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118</w:t>
            </w:r>
          </w:p>
          <w:p w:rsidRPr="00056369" w:rsidR="00056369" w:rsidP="00056369" w:rsidRDefault="00056369" w14:paraId="7E01617C"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425,700</w:t>
            </w:r>
          </w:p>
          <w:p w:rsidRPr="00056369" w:rsidR="00056369" w:rsidP="00056369" w:rsidRDefault="00056369" w14:paraId="1605DA0B"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0.0003</w:t>
            </w:r>
          </w:p>
        </w:tc>
        <w:tc>
          <w:tcPr>
            <w:tcW w:w="1843" w:type="dxa"/>
          </w:tcPr>
          <w:p w:rsidRPr="00056369" w:rsidR="00056369" w:rsidP="00056369" w:rsidRDefault="00056369" w14:paraId="798AA58B" w14:textId="77777777">
            <w:pPr>
              <w:spacing w:before="100" w:beforeAutospacing="1" w:after="120" w:line="276" w:lineRule="auto"/>
              <w:contextualSpacing/>
              <w:jc w:val="center"/>
              <w:rPr>
                <w:rFonts w:ascii="Arial" w:hAnsi="Arial" w:cs="Arial"/>
                <w:sz w:val="20"/>
                <w:szCs w:val="20"/>
              </w:rPr>
            </w:pPr>
          </w:p>
          <w:p w:rsidRPr="00056369" w:rsidR="00056369" w:rsidP="00056369" w:rsidRDefault="00056369" w14:paraId="56FDC59F"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80</w:t>
            </w:r>
          </w:p>
          <w:p w:rsidRPr="00056369" w:rsidR="00056369" w:rsidP="00056369" w:rsidRDefault="00056369" w14:paraId="609355FA"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425,700</w:t>
            </w:r>
          </w:p>
          <w:p w:rsidRPr="00056369" w:rsidR="00056369" w:rsidP="00056369" w:rsidRDefault="00056369" w14:paraId="0F564345"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0.0002</w:t>
            </w:r>
          </w:p>
        </w:tc>
      </w:tr>
      <w:tr w:rsidRPr="00056369" w:rsidR="00056369" w:rsidTr="00C424A9" w14:paraId="5B00DB8D" w14:textId="77777777">
        <w:tc>
          <w:tcPr>
            <w:tcW w:w="9067" w:type="dxa"/>
            <w:gridSpan w:val="3"/>
          </w:tcPr>
          <w:p w:rsidRPr="00056369" w:rsidR="00056369" w:rsidP="00056369" w:rsidRDefault="00056369" w14:paraId="17E583E0" w14:textId="77777777">
            <w:pPr>
              <w:spacing w:before="100" w:beforeAutospacing="1" w:after="120" w:line="276" w:lineRule="auto"/>
              <w:contextualSpacing/>
              <w:rPr>
                <w:rFonts w:ascii="Arial" w:hAnsi="Arial" w:cs="Arial"/>
                <w:b/>
                <w:sz w:val="20"/>
                <w:szCs w:val="20"/>
              </w:rPr>
            </w:pPr>
            <w:r w:rsidRPr="00056369">
              <w:rPr>
                <w:rFonts w:ascii="Arial" w:hAnsi="Arial" w:cs="Arial"/>
                <w:b/>
                <w:sz w:val="20"/>
                <w:szCs w:val="20"/>
              </w:rPr>
              <w:t xml:space="preserve">Patients with ≥1 exacerbation </w:t>
            </w:r>
            <w:r w:rsidRPr="00056369">
              <w:rPr>
                <w:rFonts w:ascii="Arial" w:hAnsi="Arial" w:cs="Arial"/>
                <w:b/>
                <w:bCs/>
                <w:sz w:val="20"/>
                <w:szCs w:val="20"/>
              </w:rPr>
              <w:t>while receiving</w:t>
            </w:r>
            <w:r w:rsidRPr="00056369">
              <w:rPr>
                <w:rFonts w:ascii="Arial" w:hAnsi="Arial" w:cs="Arial"/>
                <w:b/>
                <w:sz w:val="20"/>
                <w:szCs w:val="20"/>
              </w:rPr>
              <w:t xml:space="preserve"> MITT (n=264)</w:t>
            </w:r>
          </w:p>
        </w:tc>
      </w:tr>
      <w:tr w:rsidRPr="00056369" w:rsidR="00056369" w:rsidTr="00C424A9" w14:paraId="5AD6B8FF" w14:textId="77777777">
        <w:tc>
          <w:tcPr>
            <w:tcW w:w="5382" w:type="dxa"/>
          </w:tcPr>
          <w:p w:rsidRPr="00056369" w:rsidR="00056369" w:rsidP="00056369" w:rsidRDefault="00056369" w14:paraId="4AF38C62"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Overall (moderate-to-severe) exacerbations</w:t>
            </w:r>
          </w:p>
          <w:p w:rsidRPr="00056369" w:rsidR="00056369" w:rsidP="00056369" w:rsidRDefault="00056369" w14:paraId="7C5D7579"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Number of events</w:t>
            </w:r>
          </w:p>
          <w:p w:rsidRPr="00056369" w:rsidR="00056369" w:rsidP="00056369" w:rsidRDefault="00056369" w14:paraId="2870960C"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Time at risk, days</w:t>
            </w:r>
          </w:p>
          <w:p w:rsidRPr="00056369" w:rsidR="00056369" w:rsidP="00056369" w:rsidRDefault="00056369" w14:paraId="02392434"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Incidence rate (PPPY)</w:t>
            </w:r>
          </w:p>
        </w:tc>
        <w:tc>
          <w:tcPr>
            <w:tcW w:w="1842" w:type="dxa"/>
          </w:tcPr>
          <w:p w:rsidRPr="00056369" w:rsidR="00056369" w:rsidP="00056369" w:rsidRDefault="00056369" w14:paraId="652E8A32" w14:textId="77777777">
            <w:pPr>
              <w:spacing w:before="100" w:beforeAutospacing="1" w:after="120" w:line="276" w:lineRule="auto"/>
              <w:contextualSpacing/>
              <w:jc w:val="center"/>
              <w:rPr>
                <w:rFonts w:ascii="Arial" w:hAnsi="Arial" w:cs="Arial"/>
                <w:sz w:val="20"/>
                <w:szCs w:val="20"/>
              </w:rPr>
            </w:pPr>
          </w:p>
          <w:p w:rsidRPr="00056369" w:rsidR="00056369" w:rsidP="00056369" w:rsidRDefault="00056369" w14:paraId="45789FEB"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359</w:t>
            </w:r>
          </w:p>
          <w:p w:rsidRPr="00056369" w:rsidR="00056369" w:rsidP="00056369" w:rsidRDefault="00056369" w14:paraId="3F9BDF99"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48,217</w:t>
            </w:r>
          </w:p>
          <w:p w:rsidRPr="00056369" w:rsidR="00056369" w:rsidP="00056369" w:rsidRDefault="00056369" w14:paraId="59DDD9A1"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0.0074</w:t>
            </w:r>
          </w:p>
        </w:tc>
        <w:tc>
          <w:tcPr>
            <w:tcW w:w="1843" w:type="dxa"/>
          </w:tcPr>
          <w:p w:rsidRPr="00056369" w:rsidR="00056369" w:rsidP="00056369" w:rsidRDefault="00056369" w14:paraId="2EF2E8A8" w14:textId="77777777">
            <w:pPr>
              <w:spacing w:before="100" w:beforeAutospacing="1" w:after="120" w:line="276" w:lineRule="auto"/>
              <w:contextualSpacing/>
              <w:jc w:val="center"/>
              <w:rPr>
                <w:rFonts w:ascii="Arial" w:hAnsi="Arial" w:cs="Arial"/>
                <w:sz w:val="20"/>
                <w:szCs w:val="20"/>
              </w:rPr>
            </w:pPr>
          </w:p>
          <w:p w:rsidRPr="00056369" w:rsidR="00056369" w:rsidP="00056369" w:rsidRDefault="00056369" w14:paraId="37D42F7A"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171</w:t>
            </w:r>
          </w:p>
          <w:p w:rsidRPr="00056369" w:rsidR="00056369" w:rsidP="00056369" w:rsidRDefault="00056369" w14:paraId="622E28DF"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48,217</w:t>
            </w:r>
          </w:p>
          <w:p w:rsidRPr="00056369" w:rsidR="00056369" w:rsidP="00056369" w:rsidRDefault="00056369" w14:paraId="1FE2CCC7"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0.0035</w:t>
            </w:r>
          </w:p>
        </w:tc>
      </w:tr>
      <w:tr w:rsidRPr="00056369" w:rsidR="00056369" w:rsidTr="00C424A9" w14:paraId="7BD4834F" w14:textId="77777777">
        <w:tc>
          <w:tcPr>
            <w:tcW w:w="5382" w:type="dxa"/>
          </w:tcPr>
          <w:p w:rsidRPr="00056369" w:rsidR="00056369" w:rsidP="00056369" w:rsidRDefault="00056369" w14:paraId="7A83EC25"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Moderate COPD exacerbations</w:t>
            </w:r>
          </w:p>
          <w:p w:rsidRPr="00056369" w:rsidR="00056369" w:rsidP="00056369" w:rsidRDefault="00056369" w14:paraId="32073BA8"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Number of events</w:t>
            </w:r>
          </w:p>
          <w:p w:rsidRPr="00056369" w:rsidR="00056369" w:rsidP="00056369" w:rsidRDefault="00056369" w14:paraId="5A886B61"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Time at risk, days</w:t>
            </w:r>
          </w:p>
          <w:p w:rsidRPr="00056369" w:rsidR="00056369" w:rsidP="00056369" w:rsidRDefault="00056369" w14:paraId="3E8C4FCA"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Incidence rate (PPPY)</w:t>
            </w:r>
          </w:p>
        </w:tc>
        <w:tc>
          <w:tcPr>
            <w:tcW w:w="1842" w:type="dxa"/>
          </w:tcPr>
          <w:p w:rsidRPr="00056369" w:rsidR="00056369" w:rsidP="00056369" w:rsidRDefault="00056369" w14:paraId="27DDD346" w14:textId="77777777">
            <w:pPr>
              <w:spacing w:before="100" w:beforeAutospacing="1" w:after="120" w:line="276" w:lineRule="auto"/>
              <w:contextualSpacing/>
              <w:jc w:val="center"/>
              <w:rPr>
                <w:rFonts w:ascii="Arial" w:hAnsi="Arial" w:cs="Arial"/>
                <w:sz w:val="20"/>
                <w:szCs w:val="20"/>
              </w:rPr>
            </w:pPr>
          </w:p>
          <w:p w:rsidRPr="00056369" w:rsidR="00056369" w:rsidP="00056369" w:rsidRDefault="00056369" w14:paraId="03FEE493"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241</w:t>
            </w:r>
          </w:p>
          <w:p w:rsidRPr="00056369" w:rsidR="00056369" w:rsidP="00056369" w:rsidRDefault="00056369" w14:paraId="64937B18"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48,217</w:t>
            </w:r>
          </w:p>
          <w:p w:rsidRPr="00056369" w:rsidR="00056369" w:rsidP="00056369" w:rsidRDefault="00056369" w14:paraId="08E6418E"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0.0050</w:t>
            </w:r>
          </w:p>
        </w:tc>
        <w:tc>
          <w:tcPr>
            <w:tcW w:w="1843" w:type="dxa"/>
          </w:tcPr>
          <w:p w:rsidRPr="00056369" w:rsidR="00056369" w:rsidP="00056369" w:rsidRDefault="00056369" w14:paraId="046DA567" w14:textId="77777777">
            <w:pPr>
              <w:spacing w:before="100" w:beforeAutospacing="1" w:after="120" w:line="276" w:lineRule="auto"/>
              <w:contextualSpacing/>
              <w:jc w:val="center"/>
              <w:rPr>
                <w:rFonts w:ascii="Arial" w:hAnsi="Arial" w:cs="Arial"/>
                <w:sz w:val="20"/>
                <w:szCs w:val="20"/>
              </w:rPr>
            </w:pPr>
          </w:p>
          <w:p w:rsidRPr="00056369" w:rsidR="00056369" w:rsidP="00056369" w:rsidRDefault="00056369" w14:paraId="7D6F1876"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147</w:t>
            </w:r>
          </w:p>
          <w:p w:rsidRPr="00056369" w:rsidR="00056369" w:rsidP="00056369" w:rsidRDefault="00056369" w14:paraId="2A0A61FA"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48,217</w:t>
            </w:r>
          </w:p>
          <w:p w:rsidRPr="00056369" w:rsidR="00056369" w:rsidP="00056369" w:rsidRDefault="00056369" w14:paraId="6B5D7814"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0.0030</w:t>
            </w:r>
          </w:p>
        </w:tc>
      </w:tr>
      <w:tr w:rsidRPr="00056369" w:rsidR="00056369" w:rsidTr="00C424A9" w14:paraId="7C4F274E" w14:textId="77777777">
        <w:tc>
          <w:tcPr>
            <w:tcW w:w="5382" w:type="dxa"/>
          </w:tcPr>
          <w:p w:rsidRPr="00056369" w:rsidR="00056369" w:rsidP="00056369" w:rsidRDefault="00056369" w14:paraId="22BE6B35"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Severe COPD exacerbations</w:t>
            </w:r>
          </w:p>
          <w:p w:rsidRPr="00056369" w:rsidR="00056369" w:rsidP="00056369" w:rsidRDefault="00056369" w14:paraId="7E238D51"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Number of events</w:t>
            </w:r>
          </w:p>
          <w:p w:rsidRPr="00056369" w:rsidR="00056369" w:rsidP="00056369" w:rsidRDefault="00056369" w14:paraId="34F15E0E"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Time at risk, days</w:t>
            </w:r>
          </w:p>
          <w:p w:rsidRPr="00056369" w:rsidR="00056369" w:rsidP="00056369" w:rsidRDefault="00056369" w14:paraId="2AB1FBDB" w14:textId="77777777">
            <w:pPr>
              <w:tabs>
                <w:tab w:val="left" w:pos="270"/>
              </w:tabs>
              <w:spacing w:before="100" w:beforeAutospacing="1" w:after="120" w:line="276" w:lineRule="auto"/>
              <w:contextualSpacing/>
              <w:rPr>
                <w:rFonts w:ascii="Arial" w:hAnsi="Arial" w:cs="Arial"/>
                <w:sz w:val="20"/>
                <w:szCs w:val="20"/>
              </w:rPr>
            </w:pPr>
            <w:r w:rsidRPr="00056369">
              <w:rPr>
                <w:rFonts w:ascii="Arial" w:hAnsi="Arial" w:cs="Arial"/>
                <w:sz w:val="20"/>
                <w:szCs w:val="20"/>
              </w:rPr>
              <w:tab/>
            </w:r>
            <w:r w:rsidRPr="00056369">
              <w:rPr>
                <w:rFonts w:ascii="Arial" w:hAnsi="Arial" w:cs="Arial"/>
                <w:sz w:val="20"/>
                <w:szCs w:val="20"/>
              </w:rPr>
              <w:t>Incidence rate (PPPY)</w:t>
            </w:r>
          </w:p>
        </w:tc>
        <w:tc>
          <w:tcPr>
            <w:tcW w:w="1842" w:type="dxa"/>
          </w:tcPr>
          <w:p w:rsidRPr="00056369" w:rsidR="00056369" w:rsidP="00056369" w:rsidRDefault="00056369" w14:paraId="0917BFF4" w14:textId="77777777">
            <w:pPr>
              <w:spacing w:before="100" w:beforeAutospacing="1" w:after="120" w:line="276" w:lineRule="auto"/>
              <w:contextualSpacing/>
              <w:jc w:val="center"/>
              <w:rPr>
                <w:rFonts w:ascii="Arial" w:hAnsi="Arial" w:cs="Arial"/>
                <w:sz w:val="20"/>
                <w:szCs w:val="20"/>
              </w:rPr>
            </w:pPr>
          </w:p>
          <w:p w:rsidRPr="00056369" w:rsidR="00056369" w:rsidP="00056369" w:rsidRDefault="00056369" w14:paraId="6F2B9A60"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118</w:t>
            </w:r>
          </w:p>
          <w:p w:rsidRPr="00056369" w:rsidR="00056369" w:rsidP="00056369" w:rsidRDefault="00056369" w14:paraId="76CE518D"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48,217</w:t>
            </w:r>
          </w:p>
          <w:p w:rsidRPr="00056369" w:rsidR="00056369" w:rsidP="00056369" w:rsidRDefault="00056369" w14:paraId="641B9804"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0.0024</w:t>
            </w:r>
          </w:p>
        </w:tc>
        <w:tc>
          <w:tcPr>
            <w:tcW w:w="1843" w:type="dxa"/>
          </w:tcPr>
          <w:p w:rsidRPr="00056369" w:rsidR="00056369" w:rsidP="00056369" w:rsidRDefault="00056369" w14:paraId="11A3ACCB" w14:textId="77777777">
            <w:pPr>
              <w:spacing w:before="100" w:beforeAutospacing="1" w:after="120" w:line="276" w:lineRule="auto"/>
              <w:contextualSpacing/>
              <w:jc w:val="center"/>
              <w:rPr>
                <w:rFonts w:ascii="Arial" w:hAnsi="Arial" w:cs="Arial"/>
                <w:sz w:val="20"/>
                <w:szCs w:val="20"/>
              </w:rPr>
            </w:pPr>
          </w:p>
          <w:p w:rsidRPr="00056369" w:rsidR="00056369" w:rsidP="00056369" w:rsidRDefault="00056369" w14:paraId="4F28AB55"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24</w:t>
            </w:r>
          </w:p>
          <w:p w:rsidRPr="00056369" w:rsidR="00056369" w:rsidP="00056369" w:rsidRDefault="00056369" w14:paraId="6641AF92"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48,217</w:t>
            </w:r>
          </w:p>
          <w:p w:rsidRPr="00056369" w:rsidR="00056369" w:rsidP="00056369" w:rsidRDefault="00056369" w14:paraId="00F97020" w14:textId="77777777">
            <w:pPr>
              <w:spacing w:before="100" w:beforeAutospacing="1" w:after="120" w:line="276" w:lineRule="auto"/>
              <w:contextualSpacing/>
              <w:jc w:val="center"/>
              <w:rPr>
                <w:rFonts w:ascii="Arial" w:hAnsi="Arial" w:cs="Arial"/>
                <w:sz w:val="20"/>
                <w:szCs w:val="20"/>
              </w:rPr>
            </w:pPr>
            <w:r w:rsidRPr="00056369">
              <w:rPr>
                <w:rFonts w:ascii="Arial" w:hAnsi="Arial" w:cs="Arial"/>
                <w:sz w:val="20"/>
                <w:szCs w:val="20"/>
              </w:rPr>
              <w:t>0.0005</w:t>
            </w:r>
          </w:p>
        </w:tc>
      </w:tr>
    </w:tbl>
    <w:p w:rsidRPr="00056369" w:rsidR="00056369" w:rsidP="00056369" w:rsidRDefault="00056369" w14:paraId="03A3D792" w14:textId="77777777">
      <w:pPr>
        <w:rPr>
          <w:rFonts w:ascii="Arial" w:hAnsi="Arial" w:eastAsia="MS PGothic" w:cs="Arial"/>
          <w:sz w:val="20"/>
          <w:szCs w:val="20"/>
        </w:rPr>
      </w:pPr>
    </w:p>
    <w:p w:rsidRPr="00056369" w:rsidR="00056369" w:rsidP="00056369" w:rsidRDefault="00056369" w14:paraId="3F91C133" w14:textId="056E49B3">
      <w:pPr>
        <w:spacing w:line="480" w:lineRule="auto"/>
        <w:rPr>
          <w:rFonts w:ascii="Arial" w:hAnsi="Arial" w:eastAsia="MS PGothic" w:cs="Arial"/>
          <w:sz w:val="20"/>
          <w:szCs w:val="20"/>
        </w:rPr>
      </w:pPr>
      <w:r w:rsidRPr="00056369">
        <w:rPr>
          <w:rFonts w:ascii="Arial" w:hAnsi="Arial" w:eastAsia="MS PGothic" w:cs="Arial"/>
          <w:b/>
          <w:sz w:val="20"/>
          <w:szCs w:val="20"/>
        </w:rPr>
        <w:t>Abbreviations:</w:t>
      </w:r>
      <w:r w:rsidRPr="00056369">
        <w:rPr>
          <w:rFonts w:ascii="Arial" w:hAnsi="Arial" w:eastAsia="MS PGothic" w:cs="Arial"/>
          <w:sz w:val="20"/>
          <w:szCs w:val="20"/>
        </w:rPr>
        <w:t xml:space="preserve"> COPD, chronic obstructive pulmonary disease; FF/UMEC/VI, fluticasone furoate/umeclidinium/vilanterol; MITT, multiple-inhaler triple therapy; PPPY, per person per year</w:t>
      </w:r>
      <w:r w:rsidR="00964837">
        <w:rPr>
          <w:rFonts w:ascii="Arial" w:hAnsi="Arial" w:eastAsia="MS PGothic" w:cs="Arial"/>
          <w:sz w:val="20"/>
          <w:szCs w:val="20"/>
        </w:rPr>
        <w:t>.</w:t>
      </w:r>
    </w:p>
    <w:p w:rsidR="003A34C5" w:rsidRDefault="003A34C5" w14:paraId="077BB8F0" w14:textId="77777777"/>
    <w:sectPr w:rsidR="003A34C5" w:rsidSect="00077D1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69"/>
    <w:rsid w:val="00056369"/>
    <w:rsid w:val="00077D16"/>
    <w:rsid w:val="000D71D1"/>
    <w:rsid w:val="00160239"/>
    <w:rsid w:val="00192FA6"/>
    <w:rsid w:val="001E4CF0"/>
    <w:rsid w:val="002869CF"/>
    <w:rsid w:val="002F1D67"/>
    <w:rsid w:val="00340E6B"/>
    <w:rsid w:val="003A34C5"/>
    <w:rsid w:val="003D78EF"/>
    <w:rsid w:val="004A27D5"/>
    <w:rsid w:val="005A44B9"/>
    <w:rsid w:val="00680C61"/>
    <w:rsid w:val="006D0C56"/>
    <w:rsid w:val="00700922"/>
    <w:rsid w:val="00822824"/>
    <w:rsid w:val="00831814"/>
    <w:rsid w:val="008345A6"/>
    <w:rsid w:val="008E7014"/>
    <w:rsid w:val="00964837"/>
    <w:rsid w:val="00A53223"/>
    <w:rsid w:val="00B0781F"/>
    <w:rsid w:val="00B84856"/>
    <w:rsid w:val="00CA3703"/>
    <w:rsid w:val="00CC6339"/>
    <w:rsid w:val="00DF2614"/>
    <w:rsid w:val="00E03CA5"/>
    <w:rsid w:val="00E205FF"/>
    <w:rsid w:val="00EC485D"/>
    <w:rsid w:val="00F34694"/>
    <w:rsid w:val="00F74706"/>
    <w:rsid w:val="24224CFD"/>
    <w:rsid w:val="7DB70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7B3F"/>
  <w15:chartTrackingRefBased/>
  <w15:docId w15:val="{54799E93-024C-4A4B-8B3F-904717696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56369"/>
    <w:pPr>
      <w:spacing w:after="0" w:line="240" w:lineRule="auto"/>
    </w:pPr>
    <w:rPr>
      <w:rFonts w:eastAsia="MS P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g" Id="rId8" /><Relationship Type="http://schemas.openxmlformats.org/officeDocument/2006/relationships/image" Target="media/image7.jp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image" Target="media/image1.jpg" Id="rId7" /><Relationship Type="http://schemas.openxmlformats.org/officeDocument/2006/relationships/image" Target="media/image6.jp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10.jpg"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5.jpg" Id="rId11" /><Relationship Type="http://schemas.openxmlformats.org/officeDocument/2006/relationships/settings" Target="settings.xml" Id="rId5" /><Relationship Type="http://schemas.openxmlformats.org/officeDocument/2006/relationships/image" Target="media/image9.jpg" Id="rId15" /><Relationship Type="http://schemas.openxmlformats.org/officeDocument/2006/relationships/image" Target="media/image4.jpg" Id="rId10" /><Relationship Type="http://schemas.openxmlformats.org/officeDocument/2006/relationships/styles" Target="styles.xml" Id="rId4" /><Relationship Type="http://schemas.openxmlformats.org/officeDocument/2006/relationships/image" Target="media/image3.jpg" Id="rId9" /><Relationship Type="http://schemas.openxmlformats.org/officeDocument/2006/relationships/image" Target="media/image8.jp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93AF4C3812148A61739EEDD98EC44" ma:contentTypeVersion="8" ma:contentTypeDescription="Create a new document." ma:contentTypeScope="" ma:versionID="89df44bdbc21b4dab3d8a4d9692a174f">
  <xsd:schema xmlns:xsd="http://www.w3.org/2001/XMLSchema" xmlns:xs="http://www.w3.org/2001/XMLSchema" xmlns:p="http://schemas.microsoft.com/office/2006/metadata/properties" xmlns:ns1="http://schemas.microsoft.com/sharepoint/v3" xmlns:ns2="7f9c56cb-d15a-4551-840a-39c89227f738" xmlns:ns3="0256d653-f31e-4e0e-8309-eadac25a8b8d" xmlns:ns4="20280fe6-6c23-486a-8f97-9ead9cb44225" xmlns:ns5="9ec7de23-bb5a-49de-ace5-5cac4066ed19" targetNamespace="http://schemas.microsoft.com/office/2006/metadata/properties" ma:root="true" ma:fieldsID="1442cff116e4057544025d64fa892fa0" ns1:_="" ns2:_="" ns3:_="" ns4:_="" ns5:_="">
    <xsd:import namespace="http://schemas.microsoft.com/sharepoint/v3"/>
    <xsd:import namespace="7f9c56cb-d15a-4551-840a-39c89227f738"/>
    <xsd:import namespace="0256d653-f31e-4e0e-8309-eadac25a8b8d"/>
    <xsd:import namespace="20280fe6-6c23-486a-8f97-9ead9cb44225"/>
    <xsd:import namespace="9ec7de23-bb5a-49de-ace5-5cac4066ed19"/>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element ref="ns4:MediaLengthInSecond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c56cb-d15a-4551-840a-39c89227f738"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92ca2d3d-5e9e-448f-a267-95438d541b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6d653-f31e-4e0e-8309-eadac25a8b8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fd7999f-fafe-49af-aa8c-13c3680a5a28}" ma:internalName="TaxCatchAll" ma:showField="CatchAllData" ma:web="0256d653-f31e-4e0e-8309-eadac25a8b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280fe6-6c23-486a-8f97-9ead9cb442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c7de23-bb5a-49de-ace5-5cac4066ed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7f9c56cb-d15a-4551-840a-39c89227f738" xsi:nil="true"/>
    <_ip_UnifiedCompliancePolicyUIAction xmlns="http://schemas.microsoft.com/sharepoint/v3" xsi:nil="true"/>
    <TaxCatchAll xmlns="0256d653-f31e-4e0e-8309-eadac25a8b8d" xsi:nil="true"/>
    <lcf76f155ced4ddcb4097134ff3c332f xmlns="7f9c56cb-d15a-4551-840a-39c89227f73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7BA00-6C2E-4D55-919A-5838FAB46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c56cb-d15a-4551-840a-39c89227f738"/>
    <ds:schemaRef ds:uri="0256d653-f31e-4e0e-8309-eadac25a8b8d"/>
    <ds:schemaRef ds:uri="20280fe6-6c23-486a-8f97-9ead9cb44225"/>
    <ds:schemaRef ds:uri="9ec7de23-bb5a-49de-ace5-5cac4066e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9412F-5282-450E-8229-62DEFC9AD039}">
  <ds:schemaRefs>
    <ds:schemaRef ds:uri="http://schemas.microsoft.com/office/2006/metadata/properties"/>
    <ds:schemaRef ds:uri="http://schemas.microsoft.com/office/infopath/2007/PartnerControls"/>
    <ds:schemaRef ds:uri="7f9c56cb-d15a-4551-840a-39c89227f738"/>
    <ds:schemaRef ds:uri="http://schemas.microsoft.com/sharepoint/v3"/>
    <ds:schemaRef ds:uri="0256d653-f31e-4e0e-8309-eadac25a8b8d"/>
  </ds:schemaRefs>
</ds:datastoreItem>
</file>

<file path=customXml/itemProps3.xml><?xml version="1.0" encoding="utf-8"?>
<ds:datastoreItem xmlns:ds="http://schemas.openxmlformats.org/officeDocument/2006/customXml" ds:itemID="{1D124B83-5CEF-4773-83A6-42D06FACF9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Case</dc:creator>
  <keywords/>
  <dc:description/>
  <lastModifiedBy>Shenel Shekerzade</lastModifiedBy>
  <revision>27</revision>
  <dcterms:created xsi:type="dcterms:W3CDTF">2024-04-23T15:16:00.0000000Z</dcterms:created>
  <dcterms:modified xsi:type="dcterms:W3CDTF">2025-02-07T11:43:09.4281505Z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0x010100E2993AF4C3812148A61739EEDD98EC44</vt:lpwstr>
  </property>
</Properties>
</file>