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4FCED" w14:textId="77777777" w:rsidR="000538F9" w:rsidRPr="008973D0" w:rsidRDefault="000538F9" w:rsidP="000538F9">
      <w:pPr>
        <w:spacing w:line="360" w:lineRule="auto"/>
        <w:rPr>
          <w:rFonts w:ascii="Arial" w:hAnsi="Arial" w:cs="Arial"/>
          <w:b/>
          <w:bCs/>
          <w:sz w:val="28"/>
          <w:szCs w:val="36"/>
        </w:rPr>
      </w:pPr>
      <w:r w:rsidRPr="008973D0">
        <w:rPr>
          <w:rFonts w:ascii="Arial" w:hAnsi="Arial" w:cs="Arial"/>
          <w:b/>
          <w:bCs/>
          <w:sz w:val="28"/>
          <w:szCs w:val="36"/>
        </w:rPr>
        <w:t>Supplementary Materials</w:t>
      </w:r>
    </w:p>
    <w:p w14:paraId="1892293E" w14:textId="77777777" w:rsidR="000538F9" w:rsidRDefault="000538F9" w:rsidP="00210B2B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4DF21A3C" w14:textId="1051435E" w:rsidR="00210B2B" w:rsidRPr="008973D0" w:rsidRDefault="00210B2B" w:rsidP="00210B2B">
      <w:pPr>
        <w:spacing w:line="360" w:lineRule="auto"/>
        <w:jc w:val="center"/>
        <w:rPr>
          <w:rFonts w:ascii="Arial" w:hAnsi="Arial" w:cs="Arial"/>
          <w:b/>
          <w:bCs/>
        </w:rPr>
      </w:pPr>
      <w:r w:rsidRPr="008973D0">
        <w:rPr>
          <w:rFonts w:ascii="Arial" w:hAnsi="Arial" w:cs="Arial"/>
          <w:b/>
          <w:bCs/>
        </w:rPr>
        <w:t>Table S1. Intraoperative and pathological characteristics of HCC patients receiving liver resection before generalized propensity score analysis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210B2B" w:rsidRPr="008973D0" w14:paraId="04901A34" w14:textId="77777777" w:rsidTr="007672B0"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14:paraId="5BE54A89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14:paraId="06694257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hAnsi="Arial" w:cs="Arial"/>
                <w:b/>
                <w:bCs/>
                <w:sz w:val="18"/>
                <w:szCs w:val="18"/>
              </w:rPr>
              <w:t>OLR (n=1237)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14:paraId="0F22AB8C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hAnsi="Arial" w:cs="Arial"/>
                <w:b/>
                <w:bCs/>
                <w:sz w:val="18"/>
                <w:szCs w:val="18"/>
              </w:rPr>
              <w:t>LLR (n=307)</w:t>
            </w:r>
          </w:p>
        </w:tc>
        <w:tc>
          <w:tcPr>
            <w:tcW w:w="3487" w:type="dxa"/>
            <w:tcBorders>
              <w:top w:val="single" w:sz="4" w:space="0" w:color="auto"/>
              <w:bottom w:val="single" w:sz="4" w:space="0" w:color="auto"/>
            </w:tcBorders>
          </w:tcPr>
          <w:p w14:paraId="401BC638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P</w:t>
            </w:r>
            <w:r w:rsidRPr="008973D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value</w:t>
            </w:r>
          </w:p>
        </w:tc>
      </w:tr>
      <w:tr w:rsidR="00210B2B" w:rsidRPr="008973D0" w14:paraId="0E5AA6F9" w14:textId="77777777" w:rsidTr="007672B0">
        <w:tc>
          <w:tcPr>
            <w:tcW w:w="3487" w:type="dxa"/>
            <w:tcBorders>
              <w:top w:val="single" w:sz="4" w:space="0" w:color="auto"/>
            </w:tcBorders>
          </w:tcPr>
          <w:p w14:paraId="2749F7C9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Type of hepatectomy</w:t>
            </w: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5BB3AB04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16B49FDB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single" w:sz="4" w:space="0" w:color="auto"/>
            </w:tcBorders>
          </w:tcPr>
          <w:p w14:paraId="2A656183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Times New Roman" w:hAnsi="Arial" w:cs="Arial"/>
                <w:kern w:val="0"/>
                <w:sz w:val="18"/>
                <w:szCs w:val="18"/>
              </w:rPr>
              <w:t>&lt;0.001</w:t>
            </w:r>
          </w:p>
        </w:tc>
      </w:tr>
      <w:tr w:rsidR="00210B2B" w:rsidRPr="008973D0" w14:paraId="2A7D7583" w14:textId="77777777" w:rsidTr="007672B0">
        <w:tc>
          <w:tcPr>
            <w:tcW w:w="3487" w:type="dxa"/>
          </w:tcPr>
          <w:p w14:paraId="46C463C4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Anatomical</w:t>
            </w:r>
          </w:p>
        </w:tc>
        <w:tc>
          <w:tcPr>
            <w:tcW w:w="3487" w:type="dxa"/>
          </w:tcPr>
          <w:p w14:paraId="773430B7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579 (46.8)</w:t>
            </w:r>
          </w:p>
        </w:tc>
        <w:tc>
          <w:tcPr>
            <w:tcW w:w="3487" w:type="dxa"/>
          </w:tcPr>
          <w:p w14:paraId="283DC681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Times New Roman" w:hAnsi="Arial" w:cs="Arial"/>
                <w:kern w:val="0"/>
                <w:sz w:val="18"/>
                <w:szCs w:val="18"/>
              </w:rPr>
              <w:t>157 (51.1)</w:t>
            </w:r>
          </w:p>
        </w:tc>
        <w:tc>
          <w:tcPr>
            <w:tcW w:w="3487" w:type="dxa"/>
          </w:tcPr>
          <w:p w14:paraId="64F51D99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10B2B" w:rsidRPr="008973D0" w14:paraId="4D9217AD" w14:textId="77777777" w:rsidTr="007672B0">
        <w:tc>
          <w:tcPr>
            <w:tcW w:w="3487" w:type="dxa"/>
          </w:tcPr>
          <w:p w14:paraId="2A11F0E4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Non-anatomical</w:t>
            </w:r>
          </w:p>
        </w:tc>
        <w:tc>
          <w:tcPr>
            <w:tcW w:w="3487" w:type="dxa"/>
          </w:tcPr>
          <w:p w14:paraId="0D532D8D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658 (53.2)</w:t>
            </w:r>
          </w:p>
        </w:tc>
        <w:tc>
          <w:tcPr>
            <w:tcW w:w="3487" w:type="dxa"/>
          </w:tcPr>
          <w:p w14:paraId="4B074214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Times New Roman" w:hAnsi="Arial" w:cs="Arial"/>
                <w:kern w:val="0"/>
                <w:sz w:val="18"/>
                <w:szCs w:val="18"/>
              </w:rPr>
              <w:t>150 (48.9)</w:t>
            </w:r>
          </w:p>
        </w:tc>
        <w:tc>
          <w:tcPr>
            <w:tcW w:w="3487" w:type="dxa"/>
          </w:tcPr>
          <w:p w14:paraId="707EDA85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10B2B" w:rsidRPr="008973D0" w14:paraId="74499500" w14:textId="77777777" w:rsidTr="007672B0">
        <w:tc>
          <w:tcPr>
            <w:tcW w:w="3487" w:type="dxa"/>
          </w:tcPr>
          <w:p w14:paraId="4D65F4C7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Operative time (hour)</w:t>
            </w:r>
          </w:p>
        </w:tc>
        <w:tc>
          <w:tcPr>
            <w:tcW w:w="3487" w:type="dxa"/>
          </w:tcPr>
          <w:p w14:paraId="5B6C5946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3.20 (2.58, 4.07)</w:t>
            </w:r>
          </w:p>
        </w:tc>
        <w:tc>
          <w:tcPr>
            <w:tcW w:w="3487" w:type="dxa"/>
          </w:tcPr>
          <w:p w14:paraId="66A9AA3E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  <w:r w:rsidRPr="008973D0">
              <w:rPr>
                <w:rFonts w:ascii="Arial" w:eastAsia="Times New Roman" w:hAnsi="Arial" w:cs="Arial"/>
                <w:kern w:val="0"/>
                <w:sz w:val="18"/>
                <w:szCs w:val="18"/>
              </w:rPr>
              <w:t>4.25 (3.04, 5.79)</w:t>
            </w:r>
          </w:p>
        </w:tc>
        <w:tc>
          <w:tcPr>
            <w:tcW w:w="3487" w:type="dxa"/>
          </w:tcPr>
          <w:p w14:paraId="15F5083C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Times New Roman" w:hAnsi="Arial" w:cs="Arial"/>
                <w:kern w:val="0"/>
                <w:sz w:val="18"/>
                <w:szCs w:val="18"/>
              </w:rPr>
              <w:t>&lt;0.001</w:t>
            </w:r>
          </w:p>
        </w:tc>
      </w:tr>
      <w:tr w:rsidR="00210B2B" w:rsidRPr="008973D0" w14:paraId="6A29AD6B" w14:textId="77777777" w:rsidTr="007672B0">
        <w:tc>
          <w:tcPr>
            <w:tcW w:w="3487" w:type="dxa"/>
          </w:tcPr>
          <w:p w14:paraId="45E60B79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Blood loss (mL)</w:t>
            </w:r>
          </w:p>
        </w:tc>
        <w:tc>
          <w:tcPr>
            <w:tcW w:w="3487" w:type="dxa"/>
          </w:tcPr>
          <w:p w14:paraId="2552FF25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200 (100, 400)</w:t>
            </w:r>
          </w:p>
        </w:tc>
        <w:tc>
          <w:tcPr>
            <w:tcW w:w="3487" w:type="dxa"/>
          </w:tcPr>
          <w:p w14:paraId="7C12EE47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  <w:r w:rsidRPr="008973D0">
              <w:rPr>
                <w:rFonts w:ascii="Arial" w:eastAsia="Times New Roman" w:hAnsi="Arial" w:cs="Arial"/>
                <w:kern w:val="0"/>
                <w:sz w:val="18"/>
                <w:szCs w:val="18"/>
              </w:rPr>
              <w:t>200 (100, 400)</w:t>
            </w:r>
          </w:p>
        </w:tc>
        <w:tc>
          <w:tcPr>
            <w:tcW w:w="3487" w:type="dxa"/>
          </w:tcPr>
          <w:p w14:paraId="7D4C10B3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Times New Roman" w:hAnsi="Arial" w:cs="Arial"/>
                <w:kern w:val="0"/>
                <w:sz w:val="18"/>
                <w:szCs w:val="18"/>
              </w:rPr>
              <w:t>0.001</w:t>
            </w:r>
          </w:p>
        </w:tc>
      </w:tr>
      <w:tr w:rsidR="00210B2B" w:rsidRPr="008973D0" w14:paraId="23D8A938" w14:textId="77777777" w:rsidTr="007672B0">
        <w:tc>
          <w:tcPr>
            <w:tcW w:w="3487" w:type="dxa"/>
          </w:tcPr>
          <w:p w14:paraId="5BEECE97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Blood loss ≥ 200 mL (%)</w:t>
            </w:r>
          </w:p>
        </w:tc>
        <w:tc>
          <w:tcPr>
            <w:tcW w:w="3487" w:type="dxa"/>
          </w:tcPr>
          <w:p w14:paraId="73786632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796 (67.7)</w:t>
            </w:r>
          </w:p>
        </w:tc>
        <w:tc>
          <w:tcPr>
            <w:tcW w:w="3487" w:type="dxa"/>
          </w:tcPr>
          <w:p w14:paraId="6CF58938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973D0">
              <w:rPr>
                <w:rFonts w:ascii="Arial" w:hAnsi="Arial" w:cs="Arial"/>
                <w:kern w:val="0"/>
                <w:sz w:val="18"/>
                <w:szCs w:val="18"/>
              </w:rPr>
              <w:t>160 (54.6)</w:t>
            </w:r>
          </w:p>
        </w:tc>
        <w:tc>
          <w:tcPr>
            <w:tcW w:w="3487" w:type="dxa"/>
          </w:tcPr>
          <w:p w14:paraId="229E0954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973D0">
              <w:rPr>
                <w:rFonts w:ascii="Arial" w:hAnsi="Arial" w:cs="Arial"/>
                <w:kern w:val="0"/>
                <w:sz w:val="18"/>
                <w:szCs w:val="18"/>
              </w:rPr>
              <w:t>&lt;0.001</w:t>
            </w:r>
          </w:p>
        </w:tc>
      </w:tr>
      <w:tr w:rsidR="00210B2B" w:rsidRPr="008973D0" w14:paraId="404E577C" w14:textId="77777777" w:rsidTr="007672B0">
        <w:tc>
          <w:tcPr>
            <w:tcW w:w="3487" w:type="dxa"/>
          </w:tcPr>
          <w:p w14:paraId="49E08AAE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Intraoperative blood transfusion (%)</w:t>
            </w:r>
          </w:p>
        </w:tc>
        <w:tc>
          <w:tcPr>
            <w:tcW w:w="3487" w:type="dxa"/>
          </w:tcPr>
          <w:p w14:paraId="46351E09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487" w:type="dxa"/>
          </w:tcPr>
          <w:p w14:paraId="7ECE1D87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487" w:type="dxa"/>
          </w:tcPr>
          <w:p w14:paraId="444FB137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0.246</w:t>
            </w:r>
          </w:p>
        </w:tc>
      </w:tr>
      <w:tr w:rsidR="00210B2B" w:rsidRPr="008973D0" w14:paraId="799AFE25" w14:textId="77777777" w:rsidTr="007672B0">
        <w:tc>
          <w:tcPr>
            <w:tcW w:w="3487" w:type="dxa"/>
          </w:tcPr>
          <w:p w14:paraId="187EF4FC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No</w:t>
            </w:r>
          </w:p>
        </w:tc>
        <w:tc>
          <w:tcPr>
            <w:tcW w:w="3487" w:type="dxa"/>
            <w:vAlign w:val="center"/>
          </w:tcPr>
          <w:p w14:paraId="59891F38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632 (51.1)</w:t>
            </w:r>
          </w:p>
        </w:tc>
        <w:tc>
          <w:tcPr>
            <w:tcW w:w="3487" w:type="dxa"/>
            <w:vAlign w:val="center"/>
          </w:tcPr>
          <w:p w14:paraId="7C7F7F9B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152 (49.5)</w:t>
            </w:r>
          </w:p>
        </w:tc>
        <w:tc>
          <w:tcPr>
            <w:tcW w:w="3487" w:type="dxa"/>
          </w:tcPr>
          <w:p w14:paraId="424F5C76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</w:tr>
      <w:tr w:rsidR="00210B2B" w:rsidRPr="008973D0" w14:paraId="27E05AC9" w14:textId="77777777" w:rsidTr="007672B0">
        <w:tc>
          <w:tcPr>
            <w:tcW w:w="3487" w:type="dxa"/>
          </w:tcPr>
          <w:p w14:paraId="4A14C521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Yes</w:t>
            </w:r>
          </w:p>
        </w:tc>
        <w:tc>
          <w:tcPr>
            <w:tcW w:w="3487" w:type="dxa"/>
            <w:vAlign w:val="center"/>
          </w:tcPr>
          <w:p w14:paraId="19DB6E37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605 (48.9)</w:t>
            </w:r>
          </w:p>
        </w:tc>
        <w:tc>
          <w:tcPr>
            <w:tcW w:w="3487" w:type="dxa"/>
            <w:vAlign w:val="center"/>
          </w:tcPr>
          <w:p w14:paraId="121FE4B0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155 (50.5)</w:t>
            </w:r>
          </w:p>
        </w:tc>
        <w:tc>
          <w:tcPr>
            <w:tcW w:w="3487" w:type="dxa"/>
          </w:tcPr>
          <w:p w14:paraId="6C94E9F5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</w:tr>
      <w:tr w:rsidR="00210B2B" w:rsidRPr="008973D0" w14:paraId="4D3A26B8" w14:textId="77777777" w:rsidTr="007672B0">
        <w:tc>
          <w:tcPr>
            <w:tcW w:w="3487" w:type="dxa"/>
          </w:tcPr>
          <w:p w14:paraId="65079162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Microvascular invasion</w:t>
            </w:r>
          </w:p>
        </w:tc>
        <w:tc>
          <w:tcPr>
            <w:tcW w:w="3487" w:type="dxa"/>
          </w:tcPr>
          <w:p w14:paraId="6E613790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456 (42.5)</w:t>
            </w:r>
          </w:p>
        </w:tc>
        <w:tc>
          <w:tcPr>
            <w:tcW w:w="3487" w:type="dxa"/>
          </w:tcPr>
          <w:p w14:paraId="229D7CC9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65 (31.1)</w:t>
            </w:r>
          </w:p>
        </w:tc>
        <w:tc>
          <w:tcPr>
            <w:tcW w:w="3487" w:type="dxa"/>
          </w:tcPr>
          <w:p w14:paraId="0EC8ED09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&lt;0.001</w:t>
            </w:r>
          </w:p>
        </w:tc>
      </w:tr>
      <w:tr w:rsidR="00210B2B" w:rsidRPr="008973D0" w14:paraId="63EC909D" w14:textId="77777777" w:rsidTr="007672B0">
        <w:tc>
          <w:tcPr>
            <w:tcW w:w="3487" w:type="dxa"/>
            <w:tcBorders>
              <w:bottom w:val="single" w:sz="4" w:space="0" w:color="auto"/>
            </w:tcBorders>
          </w:tcPr>
          <w:p w14:paraId="4AEC4061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Satellites</w:t>
            </w:r>
          </w:p>
        </w:tc>
        <w:tc>
          <w:tcPr>
            <w:tcW w:w="3487" w:type="dxa"/>
            <w:tcBorders>
              <w:bottom w:val="single" w:sz="4" w:space="0" w:color="auto"/>
            </w:tcBorders>
          </w:tcPr>
          <w:p w14:paraId="646E936A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118 (11.0)</w:t>
            </w:r>
          </w:p>
        </w:tc>
        <w:tc>
          <w:tcPr>
            <w:tcW w:w="3487" w:type="dxa"/>
            <w:tcBorders>
              <w:bottom w:val="single" w:sz="4" w:space="0" w:color="auto"/>
            </w:tcBorders>
          </w:tcPr>
          <w:p w14:paraId="011A42F9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23 (11.0)</w:t>
            </w:r>
          </w:p>
        </w:tc>
        <w:tc>
          <w:tcPr>
            <w:tcW w:w="3487" w:type="dxa"/>
            <w:tcBorders>
              <w:bottom w:val="single" w:sz="4" w:space="0" w:color="auto"/>
            </w:tcBorders>
          </w:tcPr>
          <w:p w14:paraId="6787E86D" w14:textId="77777777" w:rsidR="00210B2B" w:rsidRPr="008973D0" w:rsidRDefault="00210B2B" w:rsidP="007672B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0.396</w:t>
            </w:r>
          </w:p>
        </w:tc>
      </w:tr>
    </w:tbl>
    <w:p w14:paraId="0574B560" w14:textId="77777777" w:rsidR="00210B2B" w:rsidRPr="008973D0" w:rsidRDefault="00210B2B" w:rsidP="00210B2B">
      <w:pPr>
        <w:rPr>
          <w:rFonts w:ascii="Arial" w:hAnsi="Arial" w:cs="Arial"/>
          <w:sz w:val="18"/>
          <w:szCs w:val="18"/>
        </w:rPr>
      </w:pPr>
      <w:r w:rsidRPr="008973D0">
        <w:rPr>
          <w:rFonts w:ascii="Arial" w:hAnsi="Arial" w:cs="Arial"/>
          <w:sz w:val="18"/>
          <w:szCs w:val="18"/>
        </w:rPr>
        <w:t>Notes: HCC, hepatocellular carcinoma; OLR, open liver resection; LLR, laparoscopic liver resection.</w:t>
      </w:r>
    </w:p>
    <w:p w14:paraId="695ECB49" w14:textId="77777777" w:rsidR="00210B2B" w:rsidRPr="008973D0" w:rsidRDefault="00210B2B" w:rsidP="00210B2B">
      <w:pPr>
        <w:spacing w:line="360" w:lineRule="auto"/>
        <w:rPr>
          <w:rFonts w:ascii="Arial" w:hAnsi="Arial" w:cs="Arial"/>
          <w:b/>
          <w:bCs/>
          <w:sz w:val="24"/>
          <w:szCs w:val="32"/>
        </w:rPr>
        <w:sectPr w:rsidR="00210B2B" w:rsidRPr="008973D0" w:rsidSect="002042B1">
          <w:footerReference w:type="even" r:id="rId6"/>
          <w:footerReference w:type="default" r:id="rId7"/>
          <w:footerReference w:type="first" r:id="rId8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E7C087A" w14:textId="77777777" w:rsidR="00210B2B" w:rsidRPr="008973D0" w:rsidRDefault="00210B2B" w:rsidP="00210B2B">
      <w:pPr>
        <w:spacing w:line="360" w:lineRule="auto"/>
        <w:jc w:val="center"/>
        <w:rPr>
          <w:rFonts w:ascii="Arial" w:hAnsi="Arial" w:cs="Arial"/>
          <w:b/>
          <w:bCs/>
          <w:szCs w:val="21"/>
        </w:rPr>
      </w:pPr>
      <w:bookmarkStart w:id="0" w:name="OLE_LINK1"/>
      <w:bookmarkStart w:id="1" w:name="OLE_LINK2"/>
      <w:r w:rsidRPr="008973D0">
        <w:rPr>
          <w:rFonts w:ascii="Arial" w:hAnsi="Arial" w:cs="Arial"/>
          <w:b/>
          <w:bCs/>
          <w:szCs w:val="21"/>
        </w:rPr>
        <w:lastRenderedPageBreak/>
        <w:t>Table S2. Univariable and multivariable Cox proportional hazards modeling for RFS and OS in BCLC stage 0 HCC patients before and after generalized propensity score analysis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7"/>
        <w:gridCol w:w="1954"/>
        <w:gridCol w:w="902"/>
        <w:gridCol w:w="656"/>
        <w:gridCol w:w="1558"/>
        <w:gridCol w:w="865"/>
        <w:gridCol w:w="461"/>
        <w:gridCol w:w="2018"/>
        <w:gridCol w:w="932"/>
        <w:gridCol w:w="497"/>
        <w:gridCol w:w="2018"/>
        <w:gridCol w:w="930"/>
      </w:tblGrid>
      <w:tr w:rsidR="00210B2B" w:rsidRPr="008973D0" w14:paraId="7C3CC866" w14:textId="77777777" w:rsidTr="007672B0">
        <w:trPr>
          <w:trHeight w:val="320"/>
        </w:trPr>
        <w:tc>
          <w:tcPr>
            <w:tcW w:w="4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13C1" w14:textId="77777777" w:rsidR="00210B2B" w:rsidRPr="008973D0" w:rsidRDefault="00210B2B" w:rsidP="007672B0">
            <w:pPr>
              <w:widowControl/>
              <w:jc w:val="lef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</w:p>
        </w:tc>
        <w:tc>
          <w:tcPr>
            <w:tcW w:w="21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8880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Crude analysis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BE1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29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6905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Overlap weighting analysis</w:t>
            </w:r>
          </w:p>
        </w:tc>
      </w:tr>
      <w:tr w:rsidR="00210B2B" w:rsidRPr="008973D0" w14:paraId="50745E4D" w14:textId="77777777" w:rsidTr="007672B0">
        <w:trPr>
          <w:trHeight w:val="320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ECFC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F06A2B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Univariable analysis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DFAB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027A1C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Multivariable analysis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7FF4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20902E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Univariable analysis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47F4B4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3558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Multivariable analysis</w:t>
            </w:r>
          </w:p>
        </w:tc>
      </w:tr>
      <w:tr w:rsidR="00210B2B" w:rsidRPr="008973D0" w14:paraId="38B5BFA0" w14:textId="77777777" w:rsidTr="008973D0">
        <w:trPr>
          <w:trHeight w:val="320"/>
        </w:trPr>
        <w:tc>
          <w:tcPr>
            <w:tcW w:w="41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29667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0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0AC82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HR (95% CI)</w:t>
            </w:r>
          </w:p>
        </w:tc>
        <w:tc>
          <w:tcPr>
            <w:tcW w:w="32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C6CED1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  <w:tc>
          <w:tcPr>
            <w:tcW w:w="2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F90EB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B6D781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HR (95% CI)</w:t>
            </w:r>
          </w:p>
        </w:tc>
        <w:tc>
          <w:tcPr>
            <w:tcW w:w="31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7632D9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  <w:tc>
          <w:tcPr>
            <w:tcW w:w="16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89978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6268E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HR (95% CI)</w:t>
            </w:r>
          </w:p>
        </w:tc>
        <w:tc>
          <w:tcPr>
            <w:tcW w:w="33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81BE45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  <w:tc>
          <w:tcPr>
            <w:tcW w:w="17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D4F1C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0AA2F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HR (95% CI)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D8BB8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</w:tr>
      <w:tr w:rsidR="00210B2B" w:rsidRPr="008973D0" w14:paraId="1E3CCBA3" w14:textId="77777777" w:rsidTr="008973D0">
        <w:trPr>
          <w:trHeight w:val="320"/>
        </w:trPr>
        <w:tc>
          <w:tcPr>
            <w:tcW w:w="4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364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RFS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9491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056CA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E749A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FD1B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C163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BEDF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2490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80F3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5E5E9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1EA3F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43B1F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</w:tr>
      <w:tr w:rsidR="00210B2B" w:rsidRPr="008973D0" w14:paraId="2CA18FA1" w14:textId="77777777" w:rsidTr="008973D0">
        <w:trPr>
          <w:trHeight w:val="320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CE89C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LLR vs OLR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6B96" w14:textId="648ECC6D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(0.1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1.05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14D7" w14:textId="7A513B46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C2A30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421C" w14:textId="780DB186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43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(0.1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1.07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421BC" w14:textId="74C7C0A0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02FC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267A6" w14:textId="0F5DFBC8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0693" w14:textId="6BF8F3A9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212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02E2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5000" w14:textId="45CC8F6B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80321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="0080321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</w:t>
            </w:r>
            <w:r w:rsidR="0080321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D6CE" w14:textId="29DC6AF3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80321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212</w:t>
            </w:r>
          </w:p>
        </w:tc>
      </w:tr>
      <w:tr w:rsidR="00210B2B" w:rsidRPr="008973D0" w14:paraId="2C3E7F52" w14:textId="77777777" w:rsidTr="008973D0">
        <w:trPr>
          <w:trHeight w:val="320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FD174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PA vs OLR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314B" w14:textId="131683E0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70881" w14:textId="6940AF75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622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DF2E4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BC6E2" w14:textId="5C5B1424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0.8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(0.4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98C77" w14:textId="13828A0D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704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E8C32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2146" w14:textId="48937EC2" w:rsidR="00210B2B" w:rsidRPr="008973D0" w:rsidRDefault="00211563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0.99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85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A3C5D" w14:textId="2C3EB409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986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AB5FF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4B4ED" w14:textId="241E719A" w:rsidR="00210B2B" w:rsidRPr="008973D0" w:rsidRDefault="0080321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1.00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54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84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DD843" w14:textId="330553E4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80321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996</w:t>
            </w:r>
          </w:p>
        </w:tc>
      </w:tr>
      <w:tr w:rsidR="00210B2B" w:rsidRPr="008973D0" w14:paraId="489D8B36" w14:textId="77777777" w:rsidTr="008973D0">
        <w:trPr>
          <w:trHeight w:val="320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45B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PA vs LLR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AE1B6" w14:textId="3B4BFC6C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4.95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1E7C0" w14:textId="0002C81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4620D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7A7D" w14:textId="582989FD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2.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(0.8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5.31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1196" w14:textId="071D65B8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AF1445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6AD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5125A" w14:textId="7ECC4646" w:rsidR="00210B2B" w:rsidRPr="008973D0" w:rsidRDefault="00211563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1.81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(0.74, 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4.45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C26A" w14:textId="35322A65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0.1</w:t>
            </w:r>
            <w:r w:rsidR="00211563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2D6E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B564" w14:textId="0FFEB395" w:rsidR="00210B2B" w:rsidRPr="008973D0" w:rsidRDefault="0080321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1.84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4.46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2B4C5" w14:textId="3B804E03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0.1</w:t>
            </w:r>
            <w:r w:rsidR="0080321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79</w:t>
            </w:r>
          </w:p>
        </w:tc>
      </w:tr>
      <w:tr w:rsidR="00210B2B" w:rsidRPr="008973D0" w14:paraId="766D7998" w14:textId="77777777" w:rsidTr="008973D0">
        <w:trPr>
          <w:trHeight w:val="320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5F72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OS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9300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820C5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0121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E277B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6104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AD4C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0417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1CB23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BD07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2A20B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3412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</w:tr>
      <w:tr w:rsidR="00210B2B" w:rsidRPr="008973D0" w14:paraId="5D55B46E" w14:textId="77777777" w:rsidTr="008973D0">
        <w:trPr>
          <w:trHeight w:val="320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B201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LLR vs OLR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BEE2" w14:textId="159F9D71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0.2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(0.03, 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1.75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BADF" w14:textId="367C5E24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FBD86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A695" w14:textId="114188DE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0.1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(0.02, 1.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60FE" w14:textId="45794932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092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D95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811F4" w14:textId="33CFC41E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0.2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(0.03, 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59E73" w14:textId="456C12A3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C6F54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7C347" w14:textId="4D05CE2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(0.0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1.80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6BDC" w14:textId="59038572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0.1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</w:tr>
      <w:tr w:rsidR="00210B2B" w:rsidRPr="008973D0" w14:paraId="63FBEC8D" w14:textId="77777777" w:rsidTr="008973D0">
        <w:trPr>
          <w:trHeight w:val="320"/>
        </w:trPr>
        <w:tc>
          <w:tcPr>
            <w:tcW w:w="4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7D42D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PA vs OLR</w:t>
            </w:r>
          </w:p>
        </w:tc>
        <w:tc>
          <w:tcPr>
            <w:tcW w:w="7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391A0" w14:textId="7ED742B2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(0.17, 1.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6159" w14:textId="723715C4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181</w:t>
            </w:r>
          </w:p>
        </w:tc>
        <w:tc>
          <w:tcPr>
            <w:tcW w:w="2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14BF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C9BF3" w14:textId="53DF8AB4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82DC" w14:textId="2B12DE85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086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3F3A2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7328" w14:textId="0CA1A952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(0.10, 1.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C8F30" w14:textId="714868FF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068</w:t>
            </w:r>
          </w:p>
        </w:tc>
        <w:tc>
          <w:tcPr>
            <w:tcW w:w="1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DED1E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7914" w14:textId="469F358C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(0.0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E4A9" w14:textId="373FF0AA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067</w:t>
            </w:r>
          </w:p>
        </w:tc>
      </w:tr>
      <w:tr w:rsidR="00210B2B" w:rsidRPr="008973D0" w14:paraId="14DDD81B" w14:textId="77777777" w:rsidTr="008973D0">
        <w:trPr>
          <w:trHeight w:val="320"/>
        </w:trPr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AED029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PA vs LLR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4A72A" w14:textId="0DD4929D" w:rsidR="00210B2B" w:rsidRPr="008973D0" w:rsidRDefault="00FF5ACA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2.22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.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8)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3DA9CE" w14:textId="5D33CFEB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460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842D6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90774" w14:textId="1F84EF1D" w:rsidR="00210B2B" w:rsidRPr="008973D0" w:rsidRDefault="00FF5ACA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2.27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25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20.82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3F9C58" w14:textId="51DBD26A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469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DC67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92D229" w14:textId="1A7898ED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(0.1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956B6D" w14:textId="1D804AE2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680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70A16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AF7DB" w14:textId="631CAF4D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(0.1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13.</w:t>
            </w:r>
            <w:r w:rsidR="00FF5AC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39527" w14:textId="43EB27FC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282599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781</w:t>
            </w:r>
          </w:p>
        </w:tc>
      </w:tr>
    </w:tbl>
    <w:bookmarkEnd w:id="0"/>
    <w:bookmarkEnd w:id="1"/>
    <w:p w14:paraId="1DB83CAE" w14:textId="77777777" w:rsidR="00210B2B" w:rsidRPr="008973D0" w:rsidRDefault="00210B2B" w:rsidP="00210B2B">
      <w:pPr>
        <w:rPr>
          <w:rFonts w:ascii="Arial" w:hAnsi="Arial" w:cs="Arial"/>
          <w:sz w:val="18"/>
          <w:szCs w:val="18"/>
        </w:rPr>
      </w:pPr>
      <w:r w:rsidRPr="008973D0">
        <w:rPr>
          <w:rFonts w:ascii="Arial" w:hAnsi="Arial" w:cs="Arial"/>
          <w:sz w:val="18"/>
          <w:szCs w:val="18"/>
        </w:rPr>
        <w:t>Notes: HCC, hepatocellular carcinoma; OLR, open liver resection; LLR, laparoscopic liver resection; PA, percutaneous ablation; RFS, recurrence-free survival; OS, overall survival.</w:t>
      </w:r>
    </w:p>
    <w:p w14:paraId="44D462DD" w14:textId="77777777" w:rsidR="00210B2B" w:rsidRPr="008973D0" w:rsidRDefault="00210B2B" w:rsidP="00210B2B">
      <w:pPr>
        <w:spacing w:line="360" w:lineRule="auto"/>
        <w:rPr>
          <w:rFonts w:ascii="Arial" w:hAnsi="Arial" w:cs="Arial"/>
          <w:b/>
          <w:bCs/>
          <w:sz w:val="24"/>
          <w:szCs w:val="32"/>
        </w:rPr>
        <w:sectPr w:rsidR="00210B2B" w:rsidRPr="008973D0" w:rsidSect="002042B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F6F6DB7" w14:textId="77777777" w:rsidR="00210B2B" w:rsidRPr="008973D0" w:rsidRDefault="00210B2B" w:rsidP="00210B2B">
      <w:pPr>
        <w:spacing w:line="360" w:lineRule="auto"/>
        <w:jc w:val="center"/>
        <w:rPr>
          <w:rFonts w:ascii="Arial" w:hAnsi="Arial" w:cs="Arial"/>
          <w:b/>
          <w:bCs/>
          <w:szCs w:val="21"/>
        </w:rPr>
      </w:pPr>
      <w:r w:rsidRPr="008973D0">
        <w:rPr>
          <w:rFonts w:ascii="Arial" w:hAnsi="Arial" w:cs="Arial"/>
          <w:b/>
          <w:bCs/>
          <w:szCs w:val="21"/>
        </w:rPr>
        <w:lastRenderedPageBreak/>
        <w:t>Table S3. Univariable and multivariable Cox proportional hazards modeling for RFS and OS in BCLC stage A HCC patients before and after generalized propensity score analysis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76"/>
        <w:gridCol w:w="1845"/>
        <w:gridCol w:w="902"/>
        <w:gridCol w:w="656"/>
        <w:gridCol w:w="1558"/>
        <w:gridCol w:w="865"/>
        <w:gridCol w:w="461"/>
        <w:gridCol w:w="2018"/>
        <w:gridCol w:w="932"/>
        <w:gridCol w:w="497"/>
        <w:gridCol w:w="2018"/>
        <w:gridCol w:w="930"/>
      </w:tblGrid>
      <w:tr w:rsidR="00210B2B" w:rsidRPr="008973D0" w14:paraId="4754ACA8" w14:textId="77777777" w:rsidTr="008973D0">
        <w:trPr>
          <w:trHeight w:val="320"/>
        </w:trPr>
        <w:tc>
          <w:tcPr>
            <w:tcW w:w="4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EE4F" w14:textId="77777777" w:rsidR="00210B2B" w:rsidRPr="008973D0" w:rsidRDefault="00210B2B" w:rsidP="007672B0">
            <w:pPr>
              <w:widowControl/>
              <w:jc w:val="left"/>
              <w:rPr>
                <w:rFonts w:ascii="Arial" w:eastAsia="SimSun" w:hAnsi="Arial" w:cs="Arial"/>
                <w:kern w:val="0"/>
                <w:sz w:val="18"/>
                <w:szCs w:val="18"/>
              </w:rPr>
            </w:pPr>
          </w:p>
        </w:tc>
        <w:tc>
          <w:tcPr>
            <w:tcW w:w="208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530498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Crude analysis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42865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29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EE5C39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Overlap weighting analysis</w:t>
            </w:r>
          </w:p>
        </w:tc>
      </w:tr>
      <w:tr w:rsidR="00210B2B" w:rsidRPr="008973D0" w14:paraId="1981F439" w14:textId="77777777" w:rsidTr="008973D0">
        <w:trPr>
          <w:trHeight w:val="320"/>
        </w:trPr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07A7B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7852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Univariable analysis</w:t>
            </w: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9D36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7EB5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Multivariable analysis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B864E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BC05D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Univariable analysis</w:t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3383EEE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2EAAE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Multivariable analysis</w:t>
            </w:r>
          </w:p>
        </w:tc>
      </w:tr>
      <w:tr w:rsidR="00210B2B" w:rsidRPr="008973D0" w14:paraId="7DBDBEE4" w14:textId="77777777" w:rsidTr="008973D0">
        <w:trPr>
          <w:trHeight w:val="320"/>
        </w:trPr>
        <w:tc>
          <w:tcPr>
            <w:tcW w:w="45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82EE79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6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3618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HR (95% CI)</w:t>
            </w:r>
          </w:p>
        </w:tc>
        <w:tc>
          <w:tcPr>
            <w:tcW w:w="32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C1ACD8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  <w:tc>
          <w:tcPr>
            <w:tcW w:w="2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0BFC6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9D896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HR (95% CI)</w:t>
            </w:r>
          </w:p>
        </w:tc>
        <w:tc>
          <w:tcPr>
            <w:tcW w:w="31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6BB2B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  <w:tc>
          <w:tcPr>
            <w:tcW w:w="16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17682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0403B9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HR (95% CI)</w:t>
            </w:r>
          </w:p>
        </w:tc>
        <w:tc>
          <w:tcPr>
            <w:tcW w:w="334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FC2B2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  <w:tc>
          <w:tcPr>
            <w:tcW w:w="17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D157B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E025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HR (95% CI)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4C008C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i/>
                <w:iCs/>
                <w:color w:val="000000"/>
                <w:kern w:val="0"/>
                <w:sz w:val="18"/>
                <w:szCs w:val="18"/>
              </w:rPr>
              <w:t>P</w:t>
            </w: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 xml:space="preserve"> value</w:t>
            </w:r>
          </w:p>
        </w:tc>
      </w:tr>
      <w:tr w:rsidR="00210B2B" w:rsidRPr="008973D0" w14:paraId="13355678" w14:textId="77777777" w:rsidTr="008973D0">
        <w:trPr>
          <w:trHeight w:val="320"/>
        </w:trPr>
        <w:tc>
          <w:tcPr>
            <w:tcW w:w="45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2E55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RFS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B5650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F00A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77338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FF0A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3F859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66BE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5CF7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56AE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4115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7D5F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18EF0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</w:tr>
      <w:tr w:rsidR="00210B2B" w:rsidRPr="008973D0" w14:paraId="41AC498F" w14:textId="77777777" w:rsidTr="008973D0">
        <w:trPr>
          <w:trHeight w:val="320"/>
        </w:trPr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305CD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LLR vs OLR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3289" w14:textId="0FD95651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0.6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(0.5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0.85)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979ED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75E41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79F55" w14:textId="3175A53A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0.7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0.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50CC" w14:textId="41EB6CC1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03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0A8E8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C9D6E" w14:textId="021CF4D4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0.7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(0.5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1.0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053EF" w14:textId="15831FC3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E2E7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D5AAF" w14:textId="0109B838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0.7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(0.5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1.00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D034" w14:textId="5298BA40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47</w:t>
            </w:r>
          </w:p>
        </w:tc>
      </w:tr>
      <w:tr w:rsidR="00210B2B" w:rsidRPr="008973D0" w14:paraId="41223D73" w14:textId="77777777" w:rsidTr="008973D0">
        <w:trPr>
          <w:trHeight w:val="320"/>
        </w:trPr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ED7A8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PA vs OLR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4004D" w14:textId="3E9C8C20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(0.8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1.3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739E" w14:textId="3F1A457F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430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C78F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8C232" w14:textId="4221AC0C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13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0.90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EA952" w14:textId="23740C4B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286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26843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9207" w14:textId="3132F085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(1.0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1.8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FF84" w14:textId="29B59C06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09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573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6119C" w14:textId="25C6BFD8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1.3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(1.0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1.79)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E305D" w14:textId="55DC725F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</w:tr>
      <w:tr w:rsidR="00210B2B" w:rsidRPr="008973D0" w14:paraId="5EA18CD2" w14:textId="77777777" w:rsidTr="008973D0">
        <w:trPr>
          <w:trHeight w:val="320"/>
        </w:trPr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C3134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PA vs LLR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7C38" w14:textId="7B588061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(1.1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2.1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5280" w14:textId="37463ED5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0.00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D064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68A3" w14:textId="78597ECE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1.7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(1.2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2.3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2D07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92A1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10901" w14:textId="3EEB1F5E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(1.29, 2.</w:t>
            </w:r>
            <w:r w:rsidR="00127BDF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331DE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0.001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D0EED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28EEA" w14:textId="3D398851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1.8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(1.3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2.6</w:t>
            </w:r>
            <w:r w:rsidR="00FE5284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6161" w14:textId="632F5BF9" w:rsidR="00210B2B" w:rsidRPr="008973D0" w:rsidRDefault="00FE5284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&lt;</w:t>
            </w:r>
            <w:r w:rsidR="00210B2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0.001</w:t>
            </w:r>
          </w:p>
        </w:tc>
      </w:tr>
      <w:tr w:rsidR="00210B2B" w:rsidRPr="008973D0" w14:paraId="6BBA43D0" w14:textId="77777777" w:rsidTr="008973D0">
        <w:trPr>
          <w:trHeight w:val="320"/>
        </w:trPr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322C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b/>
                <w:bCs/>
                <w:color w:val="000000"/>
                <w:kern w:val="0"/>
                <w:sz w:val="18"/>
                <w:szCs w:val="18"/>
              </w:rPr>
              <w:t>OS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5B2AE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77E2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D532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AAC90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0281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E1CF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9EF5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91843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4948A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32F94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F225" w14:textId="77777777" w:rsidR="00210B2B" w:rsidRPr="008973D0" w:rsidRDefault="00210B2B" w:rsidP="007672B0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</w:rPr>
            </w:pPr>
          </w:p>
        </w:tc>
      </w:tr>
      <w:tr w:rsidR="00210B2B" w:rsidRPr="008973D0" w14:paraId="3B1294E4" w14:textId="77777777" w:rsidTr="008973D0">
        <w:trPr>
          <w:trHeight w:val="320"/>
        </w:trPr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8829D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LLR vs OLR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7AB36" w14:textId="0214D762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0.5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0.7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FF8DB" w14:textId="71204A35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0.00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B2E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E8E2D" w14:textId="771C8580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(0.4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4604" w14:textId="20F1F056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031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CFFC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C9CC" w14:textId="6EAA6B1F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(0.3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.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4305" w14:textId="428B643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059</w:t>
            </w:r>
          </w:p>
        </w:tc>
        <w:tc>
          <w:tcPr>
            <w:tcW w:w="1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DB3B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13B1" w14:textId="16BC4BF2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(0.3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, 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0.99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3C0D" w14:textId="4B80F30F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045</w:t>
            </w:r>
          </w:p>
        </w:tc>
      </w:tr>
      <w:tr w:rsidR="00210B2B" w:rsidRPr="008973D0" w14:paraId="69B96E40" w14:textId="77777777" w:rsidTr="008973D0">
        <w:trPr>
          <w:trHeight w:val="320"/>
        </w:trPr>
        <w:tc>
          <w:tcPr>
            <w:tcW w:w="4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6C452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PA vs OLR</w:t>
            </w:r>
          </w:p>
        </w:tc>
        <w:tc>
          <w:tcPr>
            <w:tcW w:w="6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6614A" w14:textId="1312E479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0.5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(0.37, 0.9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F5C7A" w14:textId="6528240F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0.0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9341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03C6" w14:textId="79F72FB4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(0.48, 1.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690C7" w14:textId="1BA46BF0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337</w:t>
            </w:r>
          </w:p>
        </w:tc>
        <w:tc>
          <w:tcPr>
            <w:tcW w:w="16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D17EE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BE631" w14:textId="672C7ABE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0.7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(0.4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1.2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AD2D3" w14:textId="371E2C3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0.2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6A738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9DC85" w14:textId="1331B31C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(0.4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1.2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DB79A" w14:textId="41F4F3AB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0.30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210B2B" w:rsidRPr="008973D0" w14:paraId="2214F641" w14:textId="77777777" w:rsidTr="008973D0">
        <w:trPr>
          <w:trHeight w:val="320"/>
        </w:trPr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78F41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PA vs LLR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F69B5" w14:textId="4AA2499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13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64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1.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99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72E53" w14:textId="70866AF4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86799B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674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5923BB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BCA742" w14:textId="564ADA45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22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(0.6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2.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20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695F26" w14:textId="2D1A630E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505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41C48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6DCA14" w14:textId="01557D94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27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63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2.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58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EE2586" w14:textId="186E9F3C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503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271BA" w14:textId="77777777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1C3B6" w14:textId="207F742C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1.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36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 xml:space="preserve"> (0.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67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, 2.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75</w:t>
            </w: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6E007A" w14:textId="091CEDBD" w:rsidR="00210B2B" w:rsidRPr="008973D0" w:rsidRDefault="00210B2B" w:rsidP="007672B0">
            <w:pPr>
              <w:widowControl/>
              <w:jc w:val="center"/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</w:pPr>
            <w:r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0.</w:t>
            </w:r>
            <w:r w:rsidR="00FF349A" w:rsidRPr="008973D0">
              <w:rPr>
                <w:rFonts w:ascii="Arial" w:eastAsia="DengXian" w:hAnsi="Arial" w:cs="Arial"/>
                <w:color w:val="000000"/>
                <w:kern w:val="0"/>
                <w:sz w:val="18"/>
                <w:szCs w:val="18"/>
              </w:rPr>
              <w:t>399</w:t>
            </w:r>
          </w:p>
        </w:tc>
      </w:tr>
    </w:tbl>
    <w:p w14:paraId="0F0D4024" w14:textId="6A964B51" w:rsidR="00210B2B" w:rsidRPr="008973D0" w:rsidRDefault="00210B2B" w:rsidP="00C16953">
      <w:pPr>
        <w:rPr>
          <w:rFonts w:ascii="Arial" w:hAnsi="Arial" w:cs="Arial"/>
          <w:sz w:val="18"/>
          <w:szCs w:val="18"/>
        </w:rPr>
        <w:sectPr w:rsidR="00210B2B" w:rsidRPr="008973D0" w:rsidSect="002042B1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8973D0">
        <w:rPr>
          <w:rFonts w:ascii="Arial" w:hAnsi="Arial" w:cs="Arial"/>
          <w:sz w:val="18"/>
          <w:szCs w:val="18"/>
        </w:rPr>
        <w:t>Notes: HCC, hepatocellular carcinoma; OLR, open liver resection; LLR, laparoscopic liver resection; PA, percutaneous ablation; RFS, recurrence-free survival; OS, overall survival.</w:t>
      </w:r>
    </w:p>
    <w:p w14:paraId="310491AB" w14:textId="7558C5E1" w:rsidR="00210B2B" w:rsidRPr="008973D0" w:rsidRDefault="00184F73" w:rsidP="00210B2B">
      <w:pPr>
        <w:spacing w:line="360" w:lineRule="auto"/>
        <w:rPr>
          <w:rFonts w:ascii="Arial" w:hAnsi="Arial" w:cs="Arial"/>
          <w:sz w:val="24"/>
          <w:szCs w:val="32"/>
        </w:rPr>
      </w:pPr>
      <w:r w:rsidRPr="008973D0">
        <w:rPr>
          <w:rFonts w:ascii="Arial" w:hAnsi="Arial" w:cs="Arial"/>
          <w:noProof/>
          <w:sz w:val="24"/>
          <w:szCs w:val="32"/>
        </w:rPr>
        <w:lastRenderedPageBreak/>
        <w:drawing>
          <wp:inline distT="0" distB="0" distL="0" distR="0" wp14:anchorId="69AC3C33" wp14:editId="76BDA06E">
            <wp:extent cx="5274310" cy="500137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2991"/>
                    <a:stretch/>
                  </pic:blipFill>
                  <pic:spPr bwMode="auto">
                    <a:xfrm>
                      <a:off x="0" y="0"/>
                      <a:ext cx="5274310" cy="500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3002F" w14:textId="7CB8B980" w:rsidR="00210B2B" w:rsidRPr="00D00F45" w:rsidRDefault="00210B2B" w:rsidP="00210B2B">
      <w:pPr>
        <w:spacing w:line="360" w:lineRule="auto"/>
        <w:rPr>
          <w:rFonts w:ascii="Arial" w:hAnsi="Arial" w:cs="Arial"/>
          <w:sz w:val="20"/>
          <w:szCs w:val="20"/>
        </w:rPr>
      </w:pPr>
      <w:r w:rsidRPr="00D00F45">
        <w:rPr>
          <w:rFonts w:ascii="Arial" w:hAnsi="Arial" w:cs="Arial"/>
          <w:b/>
          <w:bCs/>
          <w:sz w:val="20"/>
          <w:szCs w:val="20"/>
        </w:rPr>
        <w:t>Figure S</w:t>
      </w:r>
      <w:r w:rsidR="00C16953" w:rsidRPr="00D00F45">
        <w:rPr>
          <w:rFonts w:ascii="Arial" w:hAnsi="Arial" w:cs="Arial"/>
          <w:b/>
          <w:bCs/>
          <w:sz w:val="20"/>
          <w:szCs w:val="20"/>
        </w:rPr>
        <w:t>1</w:t>
      </w:r>
      <w:r w:rsidRPr="00D00F45">
        <w:rPr>
          <w:rFonts w:ascii="Arial" w:hAnsi="Arial" w:cs="Arial"/>
          <w:b/>
          <w:bCs/>
          <w:sz w:val="20"/>
          <w:szCs w:val="20"/>
        </w:rPr>
        <w:t>. Assessment of balance of other generalized propensity analysis methods. 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A</w:t>
      </w:r>
      <w:r w:rsidRPr="00D00F45">
        <w:rPr>
          <w:rFonts w:ascii="Arial" w:hAnsi="Arial" w:cs="Arial"/>
          <w:b/>
          <w:bCs/>
          <w:sz w:val="20"/>
          <w:szCs w:val="20"/>
        </w:rPr>
        <w:t>-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F</w:t>
      </w:r>
      <w:r w:rsidRPr="00D00F45">
        <w:rPr>
          <w:rFonts w:ascii="Arial" w:hAnsi="Arial" w:cs="Arial"/>
          <w:b/>
          <w:bCs/>
          <w:sz w:val="20"/>
          <w:szCs w:val="20"/>
        </w:rPr>
        <w:t xml:space="preserve">) </w:t>
      </w:r>
      <w:r w:rsidRPr="00D00F45">
        <w:rPr>
          <w:rFonts w:ascii="Arial" w:hAnsi="Arial" w:cs="Arial"/>
          <w:sz w:val="20"/>
          <w:szCs w:val="20"/>
        </w:rPr>
        <w:t xml:space="preserve">The absolute SMDs of potential confounders before and after Three-way matching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A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TriMatch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B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TriMatch with exact matching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C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inverse probability weighting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D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matching weights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E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 and IPW with trimming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F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. </w:t>
      </w:r>
      <w:r w:rsidRPr="00D00F45">
        <w:rPr>
          <w:rFonts w:ascii="Arial" w:hAnsi="Arial" w:cs="Arial"/>
          <w:bCs/>
          <w:sz w:val="20"/>
          <w:szCs w:val="20"/>
        </w:rPr>
        <w:t>ALT, alanine aminotransferase; AST, aspartate aminotransferase; AFP, alpha-fetoprotein; SMD, standardized mean difference; PSA, propensity score analysis;</w:t>
      </w:r>
      <w:r w:rsidRPr="00D00F45">
        <w:rPr>
          <w:rFonts w:ascii="Arial" w:hAnsi="Arial" w:cs="Arial"/>
          <w:sz w:val="20"/>
          <w:szCs w:val="20"/>
        </w:rPr>
        <w:t xml:space="preserve"> IPW, inverse probability weighting.</w:t>
      </w:r>
    </w:p>
    <w:p w14:paraId="580A50BA" w14:textId="77777777" w:rsidR="00210B2B" w:rsidRPr="008973D0" w:rsidRDefault="00210B2B">
      <w:pPr>
        <w:widowControl/>
        <w:jc w:val="left"/>
        <w:rPr>
          <w:rFonts w:ascii="Arial" w:hAnsi="Arial" w:cs="Arial"/>
          <w:sz w:val="24"/>
          <w:szCs w:val="32"/>
        </w:rPr>
      </w:pPr>
      <w:r w:rsidRPr="008973D0">
        <w:rPr>
          <w:rFonts w:ascii="Arial" w:hAnsi="Arial" w:cs="Arial"/>
          <w:sz w:val="24"/>
          <w:szCs w:val="32"/>
        </w:rPr>
        <w:br w:type="page"/>
      </w:r>
    </w:p>
    <w:p w14:paraId="4398E89A" w14:textId="3583B523" w:rsidR="00210B2B" w:rsidRPr="008973D0" w:rsidRDefault="00EE7348" w:rsidP="00210B2B">
      <w:pPr>
        <w:spacing w:line="360" w:lineRule="auto"/>
        <w:rPr>
          <w:rFonts w:ascii="Arial" w:hAnsi="Arial" w:cs="Arial"/>
          <w:sz w:val="24"/>
          <w:szCs w:val="32"/>
        </w:rPr>
      </w:pPr>
      <w:r w:rsidRPr="008973D0">
        <w:rPr>
          <w:rFonts w:ascii="Arial" w:hAnsi="Arial" w:cs="Arial"/>
          <w:noProof/>
          <w:sz w:val="24"/>
          <w:szCs w:val="32"/>
        </w:rPr>
        <w:lastRenderedPageBreak/>
        <w:drawing>
          <wp:inline distT="0" distB="0" distL="0" distR="0" wp14:anchorId="18C8D642" wp14:editId="50F3E943">
            <wp:extent cx="5274310" cy="7463790"/>
            <wp:effectExtent l="0" t="0" r="0" b="0"/>
            <wp:docPr id="2058326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264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483F" w14:textId="3F8D9F6D" w:rsidR="00EE7348" w:rsidRPr="00D00F45" w:rsidRDefault="00210B2B" w:rsidP="00210B2B">
      <w:pPr>
        <w:spacing w:line="360" w:lineRule="auto"/>
        <w:rPr>
          <w:rFonts w:ascii="Arial" w:hAnsi="Arial" w:cs="Arial"/>
          <w:sz w:val="20"/>
          <w:szCs w:val="20"/>
        </w:rPr>
      </w:pPr>
      <w:r w:rsidRPr="00D00F45">
        <w:rPr>
          <w:rFonts w:ascii="Arial" w:hAnsi="Arial" w:cs="Arial"/>
          <w:b/>
          <w:bCs/>
          <w:sz w:val="20"/>
          <w:szCs w:val="20"/>
        </w:rPr>
        <w:t>Figure S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2</w:t>
      </w:r>
      <w:r w:rsidRPr="00D00F45">
        <w:rPr>
          <w:rFonts w:ascii="Arial" w:hAnsi="Arial" w:cs="Arial"/>
          <w:b/>
          <w:bCs/>
          <w:sz w:val="20"/>
          <w:szCs w:val="20"/>
        </w:rPr>
        <w:t>. Kaplan-Meier curves for long-term outcomes of BCLC stage 0-A HCC patients who underwent OLR, LLR and PA after other generalized propensity score analysis methods. 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A</w:t>
      </w:r>
      <w:r w:rsidRPr="00D00F45">
        <w:rPr>
          <w:rFonts w:ascii="Arial" w:hAnsi="Arial" w:cs="Arial"/>
          <w:b/>
          <w:bCs/>
          <w:sz w:val="20"/>
          <w:szCs w:val="20"/>
        </w:rPr>
        <w:t>-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F</w:t>
      </w:r>
      <w:r w:rsidRPr="00D00F45">
        <w:rPr>
          <w:rFonts w:ascii="Arial" w:hAnsi="Arial" w:cs="Arial"/>
          <w:b/>
          <w:bCs/>
          <w:sz w:val="20"/>
          <w:szCs w:val="20"/>
        </w:rPr>
        <w:t xml:space="preserve">) </w:t>
      </w:r>
      <w:r w:rsidRPr="00D00F45">
        <w:rPr>
          <w:rFonts w:ascii="Arial" w:hAnsi="Arial" w:cs="Arial"/>
          <w:sz w:val="20"/>
          <w:szCs w:val="20"/>
        </w:rPr>
        <w:t xml:space="preserve">Overall survival after Three-way matching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A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TriMatch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B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TriMatch with exact matching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C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inverse probability weighting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D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matching weights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E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 and IPW with </w:t>
      </w:r>
      <w:r w:rsidRPr="00D00F45">
        <w:rPr>
          <w:rFonts w:ascii="Arial" w:hAnsi="Arial" w:cs="Arial"/>
          <w:sz w:val="20"/>
          <w:szCs w:val="20"/>
        </w:rPr>
        <w:lastRenderedPageBreak/>
        <w:t xml:space="preserve">trimming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F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.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G</w:t>
      </w:r>
      <w:r w:rsidRPr="00D00F45">
        <w:rPr>
          <w:rFonts w:ascii="Arial" w:hAnsi="Arial" w:cs="Arial"/>
          <w:b/>
          <w:bCs/>
          <w:sz w:val="20"/>
          <w:szCs w:val="20"/>
        </w:rPr>
        <w:t>-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L</w:t>
      </w:r>
      <w:r w:rsidRPr="00D00F45">
        <w:rPr>
          <w:rFonts w:ascii="Arial" w:hAnsi="Arial" w:cs="Arial"/>
          <w:b/>
          <w:bCs/>
          <w:sz w:val="20"/>
          <w:szCs w:val="20"/>
        </w:rPr>
        <w:t xml:space="preserve">) </w:t>
      </w:r>
      <w:r w:rsidRPr="00D00F45">
        <w:rPr>
          <w:rFonts w:ascii="Arial" w:hAnsi="Arial" w:cs="Arial"/>
          <w:sz w:val="20"/>
          <w:szCs w:val="20"/>
        </w:rPr>
        <w:t xml:space="preserve">Recurrence-free survival after Three-way matching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G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TriMatch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H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TriMatch with exact matching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I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inverse probability weighting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J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, matching weights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K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 xml:space="preserve"> and IPW with trimming </w:t>
      </w:r>
      <w:r w:rsidRPr="00D00F45">
        <w:rPr>
          <w:rFonts w:ascii="Arial" w:hAnsi="Arial" w:cs="Arial"/>
          <w:b/>
          <w:bCs/>
          <w:sz w:val="20"/>
          <w:szCs w:val="20"/>
        </w:rPr>
        <w:t>(</w:t>
      </w:r>
      <w:r w:rsidR="00315BBC" w:rsidRPr="00D00F45">
        <w:rPr>
          <w:rFonts w:ascii="Arial" w:hAnsi="Arial" w:cs="Arial"/>
          <w:b/>
          <w:bCs/>
          <w:sz w:val="20"/>
          <w:szCs w:val="20"/>
        </w:rPr>
        <w:t>L</w:t>
      </w:r>
      <w:r w:rsidRPr="00D00F45">
        <w:rPr>
          <w:rFonts w:ascii="Arial" w:hAnsi="Arial" w:cs="Arial"/>
          <w:b/>
          <w:bCs/>
          <w:sz w:val="20"/>
          <w:szCs w:val="20"/>
        </w:rPr>
        <w:t>)</w:t>
      </w:r>
      <w:r w:rsidRPr="00D00F45">
        <w:rPr>
          <w:rFonts w:ascii="Arial" w:hAnsi="Arial" w:cs="Arial"/>
          <w:sz w:val="20"/>
          <w:szCs w:val="20"/>
        </w:rPr>
        <w:t>. IPW, inverse probability weighting</w:t>
      </w:r>
      <w:r w:rsidR="00184F73" w:rsidRPr="00D00F45">
        <w:rPr>
          <w:rFonts w:ascii="Arial" w:hAnsi="Arial" w:cs="Arial"/>
          <w:sz w:val="20"/>
          <w:szCs w:val="20"/>
        </w:rPr>
        <w:t>.</w:t>
      </w:r>
    </w:p>
    <w:p w14:paraId="3729E699" w14:textId="77777777" w:rsidR="00EE7348" w:rsidRPr="00D00F45" w:rsidRDefault="00EE7348">
      <w:pPr>
        <w:widowControl/>
        <w:jc w:val="left"/>
        <w:rPr>
          <w:rFonts w:ascii="Arial" w:hAnsi="Arial" w:cs="Arial"/>
          <w:sz w:val="20"/>
          <w:szCs w:val="20"/>
        </w:rPr>
      </w:pPr>
      <w:r w:rsidRPr="00D00F45">
        <w:rPr>
          <w:rFonts w:ascii="Arial" w:hAnsi="Arial" w:cs="Arial"/>
          <w:sz w:val="20"/>
          <w:szCs w:val="20"/>
        </w:rPr>
        <w:br w:type="page"/>
      </w:r>
    </w:p>
    <w:p w14:paraId="6139DB4A" w14:textId="77777777" w:rsidR="00EE7348" w:rsidRPr="008973D0" w:rsidRDefault="00EE7348" w:rsidP="00EE7348">
      <w:pPr>
        <w:widowControl/>
        <w:jc w:val="left"/>
        <w:rPr>
          <w:rFonts w:ascii="Arial" w:hAnsi="Arial" w:cs="Arial"/>
          <w:sz w:val="24"/>
          <w:szCs w:val="32"/>
        </w:rPr>
      </w:pPr>
      <w:r w:rsidRPr="008973D0">
        <w:rPr>
          <w:rFonts w:ascii="Arial" w:hAnsi="Arial" w:cs="Arial"/>
          <w:noProof/>
          <w:sz w:val="24"/>
          <w:szCs w:val="32"/>
        </w:rPr>
        <w:lastRenderedPageBreak/>
        <w:drawing>
          <wp:inline distT="0" distB="0" distL="0" distR="0" wp14:anchorId="00E021B0" wp14:editId="684C2D15">
            <wp:extent cx="5274310" cy="4867123"/>
            <wp:effectExtent l="0" t="0" r="0" b="0"/>
            <wp:docPr id="18046862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686279" name=""/>
                    <pic:cNvPicPr/>
                  </pic:nvPicPr>
                  <pic:blipFill rotWithShape="1">
                    <a:blip r:embed="rId11"/>
                    <a:srcRect b="34790"/>
                    <a:stretch/>
                  </pic:blipFill>
                  <pic:spPr bwMode="auto">
                    <a:xfrm>
                      <a:off x="0" y="0"/>
                      <a:ext cx="5274310" cy="486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CF7C0" w14:textId="157D9CE4" w:rsidR="008C45C1" w:rsidRPr="00D00F45" w:rsidRDefault="00EE7348" w:rsidP="0085201B">
      <w:pPr>
        <w:widowControl/>
        <w:spacing w:line="360" w:lineRule="auto"/>
        <w:rPr>
          <w:rFonts w:ascii="Arial" w:hAnsi="Arial" w:cs="Arial"/>
          <w:b/>
          <w:bCs/>
          <w:sz w:val="20"/>
          <w:szCs w:val="20"/>
        </w:rPr>
        <w:sectPr w:rsidR="008C45C1" w:rsidRPr="00D00F45" w:rsidSect="002042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00F45">
        <w:rPr>
          <w:rFonts w:ascii="Arial" w:hAnsi="Arial" w:cs="Arial"/>
          <w:b/>
          <w:bCs/>
          <w:sz w:val="20"/>
          <w:szCs w:val="20"/>
        </w:rPr>
        <w:t>Figure S</w:t>
      </w:r>
      <w:r w:rsidR="0097215F" w:rsidRPr="00D00F45">
        <w:rPr>
          <w:rFonts w:ascii="Arial" w:hAnsi="Arial" w:cs="Arial"/>
          <w:b/>
          <w:bCs/>
          <w:sz w:val="20"/>
          <w:szCs w:val="20"/>
        </w:rPr>
        <w:t>3</w:t>
      </w:r>
      <w:r w:rsidRPr="00D00F45">
        <w:rPr>
          <w:rFonts w:ascii="Arial" w:hAnsi="Arial" w:cs="Arial"/>
          <w:b/>
          <w:bCs/>
          <w:sz w:val="20"/>
          <w:szCs w:val="20"/>
        </w:rPr>
        <w:t>.</w:t>
      </w:r>
      <w:r w:rsidR="00CA6AED" w:rsidRPr="00D00F45">
        <w:rPr>
          <w:rFonts w:ascii="Arial" w:hAnsi="Arial" w:cs="Arial"/>
          <w:b/>
          <w:bCs/>
          <w:sz w:val="20"/>
          <w:szCs w:val="20"/>
        </w:rPr>
        <w:t xml:space="preserve"> The hazard difference of all-cause mortality and recurrence among three treatment comparisons after overlap weighting analysis. (A) </w:t>
      </w:r>
      <w:r w:rsidR="00CA6AED" w:rsidRPr="00D00F45">
        <w:rPr>
          <w:rFonts w:ascii="Arial" w:hAnsi="Arial" w:cs="Arial"/>
          <w:sz w:val="20"/>
          <w:szCs w:val="20"/>
        </w:rPr>
        <w:t xml:space="preserve">Overall survival, </w:t>
      </w:r>
      <w:r w:rsidR="00CA6AED" w:rsidRPr="00D00F45">
        <w:rPr>
          <w:rFonts w:ascii="Arial" w:hAnsi="Arial" w:cs="Arial"/>
          <w:b/>
          <w:bCs/>
          <w:sz w:val="20"/>
          <w:szCs w:val="20"/>
        </w:rPr>
        <w:t>(B)</w:t>
      </w:r>
      <w:r w:rsidR="00CA6AED" w:rsidRPr="00D00F45">
        <w:rPr>
          <w:rFonts w:ascii="Arial" w:hAnsi="Arial" w:cs="Arial"/>
          <w:sz w:val="20"/>
          <w:szCs w:val="20"/>
        </w:rPr>
        <w:t xml:space="preserve"> Recurrence-free survival.</w:t>
      </w:r>
      <w:r w:rsidR="00527F65" w:rsidRPr="00D00F45">
        <w:rPr>
          <w:rFonts w:ascii="Arial" w:hAnsi="Arial" w:cs="Arial"/>
          <w:sz w:val="20"/>
          <w:szCs w:val="20"/>
        </w:rPr>
        <w:t xml:space="preserve"> OLR, open liver resection; LLR, laparoscopic liver resection; PA, percutaneous ablation.</w:t>
      </w:r>
      <w:r w:rsidR="00B46C6B" w:rsidRPr="00D00F45">
        <w:rPr>
          <w:rFonts w:ascii="Arial" w:hAnsi="Arial" w:cs="Arial"/>
          <w:b/>
          <w:bCs/>
          <w:sz w:val="20"/>
          <w:szCs w:val="20"/>
        </w:rPr>
        <w:t xml:space="preserve"> </w:t>
      </w:r>
      <w:r w:rsidRPr="00D00F45">
        <w:rPr>
          <w:rFonts w:ascii="Arial" w:hAnsi="Arial" w:cs="Arial"/>
          <w:b/>
          <w:bCs/>
          <w:sz w:val="20"/>
          <w:szCs w:val="20"/>
        </w:rPr>
        <w:br w:type="page"/>
      </w:r>
    </w:p>
    <w:p w14:paraId="6F473433" w14:textId="2BABD983" w:rsidR="00210B2B" w:rsidRPr="008973D0" w:rsidRDefault="00EE7348" w:rsidP="00210B2B">
      <w:pPr>
        <w:spacing w:line="360" w:lineRule="auto"/>
        <w:rPr>
          <w:rFonts w:ascii="Arial" w:hAnsi="Arial" w:cs="Arial"/>
          <w:b/>
          <w:bCs/>
          <w:sz w:val="24"/>
          <w:szCs w:val="32"/>
        </w:rPr>
      </w:pPr>
      <w:r w:rsidRPr="008973D0">
        <w:rPr>
          <w:rFonts w:ascii="Arial" w:hAnsi="Arial" w:cs="Arial"/>
          <w:b/>
          <w:bCs/>
          <w:noProof/>
          <w:sz w:val="24"/>
          <w:szCs w:val="32"/>
        </w:rPr>
        <w:lastRenderedPageBreak/>
        <w:drawing>
          <wp:inline distT="0" distB="0" distL="0" distR="0" wp14:anchorId="7AC44E8D" wp14:editId="1D18567F">
            <wp:extent cx="5274310" cy="5747657"/>
            <wp:effectExtent l="0" t="0" r="0" b="0"/>
            <wp:docPr id="13597158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15885" name=""/>
                    <pic:cNvPicPr/>
                  </pic:nvPicPr>
                  <pic:blipFill rotWithShape="1">
                    <a:blip r:embed="rId12"/>
                    <a:srcRect b="22993"/>
                    <a:stretch/>
                  </pic:blipFill>
                  <pic:spPr bwMode="auto">
                    <a:xfrm>
                      <a:off x="0" y="0"/>
                      <a:ext cx="5274310" cy="574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4759E" w14:textId="12287B46" w:rsidR="005B05B7" w:rsidRPr="00D00F45" w:rsidRDefault="005B05B7" w:rsidP="005B05B7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D00F45">
        <w:rPr>
          <w:rFonts w:ascii="Arial" w:hAnsi="Arial" w:cs="Arial"/>
          <w:b/>
          <w:bCs/>
          <w:sz w:val="20"/>
          <w:szCs w:val="20"/>
        </w:rPr>
        <w:t>Figure S</w:t>
      </w:r>
      <w:r w:rsidR="00EE7348" w:rsidRPr="00D00F45">
        <w:rPr>
          <w:rFonts w:ascii="Arial" w:hAnsi="Arial" w:cs="Arial"/>
          <w:b/>
          <w:bCs/>
          <w:sz w:val="20"/>
          <w:szCs w:val="20"/>
        </w:rPr>
        <w:t>4</w:t>
      </w:r>
      <w:r w:rsidRPr="00D00F45">
        <w:rPr>
          <w:rFonts w:ascii="Arial" w:hAnsi="Arial" w:cs="Arial"/>
          <w:b/>
          <w:bCs/>
          <w:sz w:val="20"/>
          <w:szCs w:val="20"/>
        </w:rPr>
        <w:t xml:space="preserve">. Kaplan-Meier curves for long-term outcomes of BCLC stage 0 or A HCC patients who underwent OLR, LLR and PA after overlap weighting analysis. (A-B) </w:t>
      </w:r>
      <w:r w:rsidRPr="00D00F45">
        <w:rPr>
          <w:rFonts w:ascii="Arial" w:hAnsi="Arial" w:cs="Arial"/>
          <w:sz w:val="20"/>
          <w:szCs w:val="20"/>
        </w:rPr>
        <w:t>Overall survival</w:t>
      </w:r>
      <w:r w:rsidRPr="00D00F45">
        <w:rPr>
          <w:rFonts w:ascii="Arial" w:hAnsi="Arial" w:cs="Arial"/>
          <w:b/>
          <w:bCs/>
          <w:sz w:val="20"/>
          <w:szCs w:val="20"/>
        </w:rPr>
        <w:t xml:space="preserve"> (A) </w:t>
      </w:r>
      <w:r w:rsidRPr="00D00F45">
        <w:rPr>
          <w:rFonts w:ascii="Arial" w:hAnsi="Arial" w:cs="Arial"/>
          <w:sz w:val="20"/>
          <w:szCs w:val="20"/>
        </w:rPr>
        <w:t xml:space="preserve">and recurrence-free survival </w:t>
      </w:r>
      <w:r w:rsidRPr="00D00F45">
        <w:rPr>
          <w:rFonts w:ascii="Arial" w:hAnsi="Arial" w:cs="Arial"/>
          <w:b/>
          <w:bCs/>
          <w:sz w:val="20"/>
          <w:szCs w:val="20"/>
        </w:rPr>
        <w:t>(B)</w:t>
      </w:r>
      <w:r w:rsidRPr="00D00F45">
        <w:rPr>
          <w:rFonts w:ascii="Arial" w:hAnsi="Arial" w:cs="Arial"/>
          <w:sz w:val="20"/>
          <w:szCs w:val="20"/>
        </w:rPr>
        <w:t xml:space="preserve"> for BCLC stage 0 HCC patients. </w:t>
      </w:r>
      <w:r w:rsidRPr="00D00F45">
        <w:rPr>
          <w:rFonts w:ascii="Arial" w:hAnsi="Arial" w:cs="Arial"/>
          <w:b/>
          <w:bCs/>
          <w:sz w:val="20"/>
          <w:szCs w:val="20"/>
        </w:rPr>
        <w:t xml:space="preserve">(C-D) </w:t>
      </w:r>
      <w:r w:rsidRPr="00D00F45">
        <w:rPr>
          <w:rFonts w:ascii="Arial" w:hAnsi="Arial" w:cs="Arial"/>
          <w:sz w:val="20"/>
          <w:szCs w:val="20"/>
        </w:rPr>
        <w:t>Overall survival</w:t>
      </w:r>
      <w:r w:rsidRPr="00D00F45">
        <w:rPr>
          <w:rFonts w:ascii="Arial" w:hAnsi="Arial" w:cs="Arial"/>
          <w:b/>
          <w:bCs/>
          <w:sz w:val="20"/>
          <w:szCs w:val="20"/>
        </w:rPr>
        <w:t xml:space="preserve"> (C) </w:t>
      </w:r>
      <w:r w:rsidRPr="00D00F45">
        <w:rPr>
          <w:rFonts w:ascii="Arial" w:hAnsi="Arial" w:cs="Arial"/>
          <w:sz w:val="20"/>
          <w:szCs w:val="20"/>
        </w:rPr>
        <w:t xml:space="preserve">and recurrence-free survival </w:t>
      </w:r>
      <w:r w:rsidRPr="00D00F45">
        <w:rPr>
          <w:rFonts w:ascii="Arial" w:hAnsi="Arial" w:cs="Arial"/>
          <w:b/>
          <w:bCs/>
          <w:sz w:val="20"/>
          <w:szCs w:val="20"/>
        </w:rPr>
        <w:t>(D)</w:t>
      </w:r>
      <w:r w:rsidRPr="00D00F45">
        <w:rPr>
          <w:rFonts w:ascii="Arial" w:hAnsi="Arial" w:cs="Arial"/>
          <w:sz w:val="20"/>
          <w:szCs w:val="20"/>
        </w:rPr>
        <w:t xml:space="preserve"> for BCLC stage A HCC patients. HCC, hepatocellular carcinoma; OLR, open liver resection; LLR, laparoscopic liver resection; PA, percutaneous ablation</w:t>
      </w:r>
      <w:r w:rsidR="0085201B" w:rsidRPr="00D00F45">
        <w:rPr>
          <w:rFonts w:ascii="Arial" w:hAnsi="Arial" w:cs="Arial"/>
          <w:sz w:val="20"/>
          <w:szCs w:val="20"/>
        </w:rPr>
        <w:t>.</w:t>
      </w:r>
    </w:p>
    <w:sectPr w:rsidR="005B05B7" w:rsidRPr="00D00F45" w:rsidSect="002042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5EDE4" w14:textId="77777777" w:rsidR="004E3868" w:rsidRDefault="004E3868" w:rsidP="006757CD">
      <w:r>
        <w:separator/>
      </w:r>
    </w:p>
  </w:endnote>
  <w:endnote w:type="continuationSeparator" w:id="0">
    <w:p w14:paraId="0B842537" w14:textId="77777777" w:rsidR="004E3868" w:rsidRDefault="004E3868" w:rsidP="00675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F387C" w14:textId="2C4E4E51" w:rsidR="006757CD" w:rsidRDefault="000538F9" w:rsidP="007674C1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31F4CD2" wp14:editId="5CB5C43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77234644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400A91" w14:textId="47E22B5A" w:rsidR="000538F9" w:rsidRPr="000538F9" w:rsidRDefault="000538F9" w:rsidP="000538F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538F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1F4C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24400A91" w14:textId="47E22B5A" w:rsidR="000538F9" w:rsidRPr="000538F9" w:rsidRDefault="000538F9" w:rsidP="000538F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538F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-1161003472"/>
      <w:docPartObj>
        <w:docPartGallery w:val="Page Numbers (Bottom of Page)"/>
        <w:docPartUnique/>
      </w:docPartObj>
    </w:sdtPr>
    <w:sdtContent>
      <w:p w14:paraId="4B1F387C" w14:textId="2C4E4E51" w:rsidR="006757CD" w:rsidRDefault="006757CD" w:rsidP="007674C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A31311" w14:textId="77777777" w:rsidR="006757CD" w:rsidRDefault="006757CD" w:rsidP="006757C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B34F1" w14:textId="3169F753" w:rsidR="006757CD" w:rsidRDefault="000538F9" w:rsidP="007674C1">
    <w:pPr>
      <w:pStyle w:val="Footer"/>
      <w:framePr w:wrap="none" w:vAnchor="text" w:hAnchor="margin" w:xAlign="right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9420A63" wp14:editId="22B57976">
              <wp:simplePos x="9718158" y="677294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14234097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2E5329" w14:textId="4B3926A2" w:rsidR="000538F9" w:rsidRPr="000538F9" w:rsidRDefault="000538F9" w:rsidP="000538F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538F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420A6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4B2E5329" w14:textId="4B3926A2" w:rsidR="000538F9" w:rsidRPr="000538F9" w:rsidRDefault="000538F9" w:rsidP="000538F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538F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PageNumber"/>
        </w:rPr>
        <w:id w:val="-1485931720"/>
        <w:docPartObj>
          <w:docPartGallery w:val="Page Numbers (Bottom of Page)"/>
          <w:docPartUnique/>
        </w:docPartObj>
      </w:sdtPr>
      <w:sdtContent>
        <w:r w:rsidR="006757CD">
          <w:rPr>
            <w:rStyle w:val="PageNumber"/>
          </w:rPr>
          <w:fldChar w:fldCharType="begin"/>
        </w:r>
        <w:r w:rsidR="006757CD">
          <w:rPr>
            <w:rStyle w:val="PageNumber"/>
          </w:rPr>
          <w:instrText xml:space="preserve"> PAGE </w:instrText>
        </w:r>
        <w:r w:rsidR="006757CD">
          <w:rPr>
            <w:rStyle w:val="PageNumber"/>
          </w:rPr>
          <w:fldChar w:fldCharType="separate"/>
        </w:r>
        <w:r w:rsidR="006757CD">
          <w:rPr>
            <w:rStyle w:val="PageNumber"/>
            <w:noProof/>
          </w:rPr>
          <w:t>1</w:t>
        </w:r>
        <w:r w:rsidR="006757CD">
          <w:rPr>
            <w:rStyle w:val="PageNumber"/>
          </w:rPr>
          <w:fldChar w:fldCharType="end"/>
        </w:r>
      </w:sdtContent>
    </w:sdt>
  </w:p>
  <w:p w14:paraId="0B9C2B71" w14:textId="77777777" w:rsidR="006757CD" w:rsidRDefault="006757CD" w:rsidP="006757C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49B75F" w14:textId="56D383CC" w:rsidR="000538F9" w:rsidRDefault="000538F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B741D7A" wp14:editId="71A23CE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59253377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8F0A21" w14:textId="7184582C" w:rsidR="000538F9" w:rsidRPr="000538F9" w:rsidRDefault="000538F9" w:rsidP="000538F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0538F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741D7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38F0A21" w14:textId="7184582C" w:rsidR="000538F9" w:rsidRPr="000538F9" w:rsidRDefault="000538F9" w:rsidP="000538F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0538F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88C34" w14:textId="77777777" w:rsidR="004E3868" w:rsidRDefault="004E3868" w:rsidP="006757CD">
      <w:r>
        <w:separator/>
      </w:r>
    </w:p>
  </w:footnote>
  <w:footnote w:type="continuationSeparator" w:id="0">
    <w:p w14:paraId="67A7F1FC" w14:textId="77777777" w:rsidR="004E3868" w:rsidRDefault="004E3868" w:rsidP="006757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B2B"/>
    <w:rsid w:val="00025DC5"/>
    <w:rsid w:val="0004323E"/>
    <w:rsid w:val="000538F9"/>
    <w:rsid w:val="0008094F"/>
    <w:rsid w:val="000B6663"/>
    <w:rsid w:val="00114CE5"/>
    <w:rsid w:val="001276CA"/>
    <w:rsid w:val="00127BDF"/>
    <w:rsid w:val="001368BC"/>
    <w:rsid w:val="00181C0C"/>
    <w:rsid w:val="00184F73"/>
    <w:rsid w:val="001D6D21"/>
    <w:rsid w:val="001E66F9"/>
    <w:rsid w:val="002042B1"/>
    <w:rsid w:val="00210387"/>
    <w:rsid w:val="00210B2B"/>
    <w:rsid w:val="00211563"/>
    <w:rsid w:val="00272321"/>
    <w:rsid w:val="002821C7"/>
    <w:rsid w:val="00282599"/>
    <w:rsid w:val="002A5612"/>
    <w:rsid w:val="002A71AF"/>
    <w:rsid w:val="003074DE"/>
    <w:rsid w:val="00315BBC"/>
    <w:rsid w:val="00326F91"/>
    <w:rsid w:val="00362AD1"/>
    <w:rsid w:val="00383ACA"/>
    <w:rsid w:val="003E46F4"/>
    <w:rsid w:val="003E63AE"/>
    <w:rsid w:val="00420C29"/>
    <w:rsid w:val="004213F5"/>
    <w:rsid w:val="00473525"/>
    <w:rsid w:val="00483E02"/>
    <w:rsid w:val="004A0780"/>
    <w:rsid w:val="004D4759"/>
    <w:rsid w:val="004D49A1"/>
    <w:rsid w:val="004E3868"/>
    <w:rsid w:val="00505311"/>
    <w:rsid w:val="005130CF"/>
    <w:rsid w:val="00527F65"/>
    <w:rsid w:val="00570ECC"/>
    <w:rsid w:val="005B05B7"/>
    <w:rsid w:val="00634720"/>
    <w:rsid w:val="006757CD"/>
    <w:rsid w:val="0068368B"/>
    <w:rsid w:val="006C45C8"/>
    <w:rsid w:val="006C7453"/>
    <w:rsid w:val="006C7938"/>
    <w:rsid w:val="006D4B5E"/>
    <w:rsid w:val="006F0395"/>
    <w:rsid w:val="006F587B"/>
    <w:rsid w:val="007A5F8E"/>
    <w:rsid w:val="007E6662"/>
    <w:rsid w:val="007E6E15"/>
    <w:rsid w:val="0080321B"/>
    <w:rsid w:val="008313C8"/>
    <w:rsid w:val="00845C35"/>
    <w:rsid w:val="0085201B"/>
    <w:rsid w:val="0086799B"/>
    <w:rsid w:val="0087062F"/>
    <w:rsid w:val="0088238F"/>
    <w:rsid w:val="008973D0"/>
    <w:rsid w:val="008C45C1"/>
    <w:rsid w:val="008E5245"/>
    <w:rsid w:val="008F650A"/>
    <w:rsid w:val="009504C3"/>
    <w:rsid w:val="0097215F"/>
    <w:rsid w:val="00985977"/>
    <w:rsid w:val="00A06215"/>
    <w:rsid w:val="00A31CCE"/>
    <w:rsid w:val="00A70D62"/>
    <w:rsid w:val="00A82176"/>
    <w:rsid w:val="00AA6FF5"/>
    <w:rsid w:val="00AD6292"/>
    <w:rsid w:val="00AF1445"/>
    <w:rsid w:val="00AF6AD1"/>
    <w:rsid w:val="00B05C0B"/>
    <w:rsid w:val="00B16808"/>
    <w:rsid w:val="00B3710F"/>
    <w:rsid w:val="00B46C6B"/>
    <w:rsid w:val="00BB04B0"/>
    <w:rsid w:val="00BB4C03"/>
    <w:rsid w:val="00C16953"/>
    <w:rsid w:val="00C4734E"/>
    <w:rsid w:val="00CA6AED"/>
    <w:rsid w:val="00CC7A15"/>
    <w:rsid w:val="00CE5927"/>
    <w:rsid w:val="00CF32EB"/>
    <w:rsid w:val="00D00F45"/>
    <w:rsid w:val="00DA02CC"/>
    <w:rsid w:val="00DC3F21"/>
    <w:rsid w:val="00E135FB"/>
    <w:rsid w:val="00E13E9F"/>
    <w:rsid w:val="00EA24D4"/>
    <w:rsid w:val="00EB0269"/>
    <w:rsid w:val="00EB3333"/>
    <w:rsid w:val="00EB4BC1"/>
    <w:rsid w:val="00ED0950"/>
    <w:rsid w:val="00EE7348"/>
    <w:rsid w:val="00EF6E30"/>
    <w:rsid w:val="00F36F2E"/>
    <w:rsid w:val="00FA0E32"/>
    <w:rsid w:val="00FB6499"/>
    <w:rsid w:val="00FE5284"/>
    <w:rsid w:val="00FF349A"/>
    <w:rsid w:val="00FF5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56E325"/>
  <w15:chartTrackingRefBased/>
  <w15:docId w15:val="{D061960A-1CD6-DC4F-B757-6E7A39278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B2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0B2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10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757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757CD"/>
    <w:rPr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757CD"/>
  </w:style>
  <w:style w:type="paragraph" w:styleId="Header">
    <w:name w:val="header"/>
    <w:basedOn w:val="Normal"/>
    <w:link w:val="HeaderChar"/>
    <w:uiPriority w:val="99"/>
    <w:unhideWhenUsed/>
    <w:rsid w:val="00845C3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45C35"/>
    <w:rPr>
      <w:sz w:val="18"/>
      <w:szCs w:val="18"/>
    </w:rPr>
  </w:style>
  <w:style w:type="paragraph" w:styleId="Revision">
    <w:name w:val="Revision"/>
    <w:hidden/>
    <w:uiPriority w:val="99"/>
    <w:semiHidden/>
    <w:rsid w:val="009721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emf"/><Relationship Id="rId5" Type="http://schemas.openxmlformats.org/officeDocument/2006/relationships/endnotes" Target="endnotes.xml"/><Relationship Id="rId10" Type="http://schemas.openxmlformats.org/officeDocument/2006/relationships/image" Target="media/image2.emf"/><Relationship Id="rId4" Type="http://schemas.openxmlformats.org/officeDocument/2006/relationships/footnotes" Target="footnot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8</Pages>
  <Words>768</Words>
  <Characters>4379</Characters>
  <Application>Microsoft Office Word</Application>
  <DocSecurity>0</DocSecurity>
  <Lines>36</Lines>
  <Paragraphs>10</Paragraphs>
  <ScaleCrop>false</ScaleCrop>
  <Company/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Khanapur, Soumya</cp:lastModifiedBy>
  <cp:revision>44</cp:revision>
  <dcterms:created xsi:type="dcterms:W3CDTF">2023-01-28T14:42:00Z</dcterms:created>
  <dcterms:modified xsi:type="dcterms:W3CDTF">2024-07-13T20:48:00Z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2351590c,69a3dc4f,4416bd6a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2024-07-13T20:48:59Z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afc4d42a-1457-46f3-82cb-9fd5a805a397</vt:lpwstr>
  </property>
  <property fmtid="{D5CDD505-2E9C-101B-9397-08002B2CF9AE}" pid="11" name="MSIP_Label_2bbab825-a111-45e4-86a1-18cee0005896_ContentBits">
    <vt:lpwstr>2</vt:lpwstr>
  </property>
</Properties>
</file>