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F25" w:rsidRDefault="00600F25">
      <w:pPr>
        <w:spacing w:line="360" w:lineRule="auto"/>
        <w:jc w:val="center"/>
        <w:rPr>
          <w:rFonts w:ascii="Times New Roman" w:eastAsia="GuardianSans-Medium" w:hAnsi="Times New Roman" w:cs="Times New Roman"/>
          <w:b/>
          <w:bCs/>
          <w:color w:val="231F20"/>
          <w:kern w:val="0"/>
          <w:sz w:val="20"/>
          <w:szCs w:val="20"/>
        </w:rPr>
      </w:pPr>
      <w:bookmarkStart w:id="0" w:name="OLE_LINK4"/>
    </w:p>
    <w:p w:rsidR="00600F25" w:rsidRDefault="00CF62A9">
      <w:pPr>
        <w:spacing w:line="360" w:lineRule="auto"/>
        <w:jc w:val="center"/>
        <w:rPr>
          <w:rFonts w:ascii="Times New Roman" w:eastAsia="GuardianSans-Medium" w:hAnsi="Times New Roman" w:cs="Times New Roman"/>
          <w:b/>
          <w:bCs/>
          <w:color w:val="231F20"/>
          <w:kern w:val="0"/>
          <w:sz w:val="20"/>
          <w:szCs w:val="20"/>
        </w:rPr>
      </w:pPr>
      <w:r>
        <w:rPr>
          <w:rFonts w:ascii="Times New Roman" w:eastAsia="GuardianSans-Medium" w:hAnsi="Times New Roman" w:cs="Times New Roman"/>
          <w:b/>
          <w:bCs/>
          <w:color w:val="231F20"/>
          <w:kern w:val="0"/>
          <w:sz w:val="20"/>
          <w:szCs w:val="20"/>
        </w:rPr>
        <w:t xml:space="preserve">Economic Evaluation of Adding Daratumumab to </w:t>
      </w:r>
      <w:proofErr w:type="spellStart"/>
      <w:r>
        <w:rPr>
          <w:rFonts w:ascii="Times New Roman" w:eastAsia="GuardianSans-Medium" w:hAnsi="Times New Roman" w:cs="Times New Roman" w:hint="eastAsia"/>
          <w:b/>
          <w:bCs/>
          <w:color w:val="231F20"/>
          <w:kern w:val="0"/>
          <w:sz w:val="20"/>
          <w:szCs w:val="20"/>
        </w:rPr>
        <w:t>Carfilzomib</w:t>
      </w:r>
      <w:proofErr w:type="spellEnd"/>
      <w:r>
        <w:rPr>
          <w:rFonts w:ascii="Times New Roman" w:eastAsia="GuardianSans-Medium" w:hAnsi="Times New Roman" w:cs="Times New Roman" w:hint="eastAsia"/>
          <w:b/>
          <w:bCs/>
          <w:color w:val="231F20"/>
          <w:kern w:val="0"/>
          <w:sz w:val="20"/>
          <w:szCs w:val="20"/>
        </w:rPr>
        <w:t xml:space="preserve"> and</w:t>
      </w:r>
      <w:r>
        <w:rPr>
          <w:rFonts w:ascii="Times New Roman" w:eastAsia="GuardianSans-Medium" w:hAnsi="Times New Roman" w:cs="Times New Roman"/>
          <w:b/>
          <w:bCs/>
          <w:color w:val="231F20"/>
          <w:kern w:val="0"/>
          <w:sz w:val="20"/>
          <w:szCs w:val="20"/>
        </w:rPr>
        <w:t xml:space="preserve"> Dexamethasone </w:t>
      </w:r>
      <w:r>
        <w:rPr>
          <w:rFonts w:ascii="Times New Roman" w:eastAsia="GuardianSans-Medium" w:hAnsi="Times New Roman" w:cs="Times New Roman" w:hint="eastAsia"/>
          <w:b/>
          <w:bCs/>
          <w:color w:val="231F20"/>
          <w:kern w:val="0"/>
          <w:sz w:val="20"/>
          <w:szCs w:val="20"/>
        </w:rPr>
        <w:t>for</w:t>
      </w:r>
      <w:r>
        <w:rPr>
          <w:rFonts w:ascii="Times New Roman" w:eastAsia="GuardianSans-Medium" w:hAnsi="Times New Roman" w:cs="Times New Roman"/>
          <w:b/>
          <w:bCs/>
          <w:color w:val="231F20"/>
          <w:kern w:val="0"/>
          <w:sz w:val="20"/>
          <w:szCs w:val="20"/>
        </w:rPr>
        <w:t xml:space="preserve"> Relapsed</w:t>
      </w:r>
      <w:r>
        <w:rPr>
          <w:rFonts w:ascii="Times New Roman" w:eastAsia="GuardianSans-Medium" w:hAnsi="Times New Roman" w:cs="Times New Roman" w:hint="eastAsia"/>
          <w:b/>
          <w:bCs/>
          <w:color w:val="231F20"/>
          <w:kern w:val="0"/>
          <w:sz w:val="20"/>
          <w:szCs w:val="20"/>
        </w:rPr>
        <w:t xml:space="preserve"> </w:t>
      </w:r>
      <w:r>
        <w:rPr>
          <w:rFonts w:ascii="Times New Roman" w:eastAsia="GuardianSans-Medium" w:hAnsi="Times New Roman" w:cs="Times New Roman"/>
          <w:b/>
          <w:bCs/>
          <w:color w:val="231F20"/>
          <w:kern w:val="0"/>
          <w:sz w:val="20"/>
          <w:szCs w:val="20"/>
        </w:rPr>
        <w:t>or Refractory Multiple Myeloma</w:t>
      </w:r>
    </w:p>
    <w:p w:rsidR="0086566C" w:rsidRDefault="0086566C">
      <w:pPr>
        <w:spacing w:line="360" w:lineRule="auto"/>
        <w:jc w:val="center"/>
        <w:rPr>
          <w:rFonts w:ascii="Times New Roman" w:eastAsia="宋体" w:hAnsi="Times New Roman" w:cs="Times New Roman" w:hint="eastAsia"/>
          <w:b/>
          <w:sz w:val="20"/>
          <w:szCs w:val="20"/>
        </w:rPr>
      </w:pPr>
    </w:p>
    <w:p w:rsidR="00600F25" w:rsidRDefault="00CF62A9">
      <w:pPr>
        <w:spacing w:line="360" w:lineRule="auto"/>
        <w:jc w:val="center"/>
        <w:rPr>
          <w:rFonts w:ascii="Times New Roman" w:eastAsia="宋体" w:hAnsi="Times New Roman" w:cs="Times New Roman"/>
          <w:b/>
          <w:sz w:val="20"/>
          <w:szCs w:val="20"/>
        </w:rPr>
      </w:pPr>
      <w:r>
        <w:rPr>
          <w:rFonts w:ascii="Times New Roman" w:eastAsia="宋体" w:hAnsi="Times New Roman" w:cs="Times New Roman"/>
          <w:b/>
          <w:sz w:val="20"/>
          <w:szCs w:val="20"/>
        </w:rPr>
        <w:t>Supplementary File</w:t>
      </w:r>
      <w:r w:rsidR="0086566C">
        <w:rPr>
          <w:rFonts w:ascii="Times New Roman" w:eastAsia="宋体" w:hAnsi="Times New Roman" w:cs="Times New Roman"/>
          <w:b/>
          <w:sz w:val="20"/>
          <w:szCs w:val="20"/>
        </w:rPr>
        <w:t>s</w:t>
      </w:r>
    </w:p>
    <w:p w:rsidR="00600F25" w:rsidRDefault="00600F25">
      <w:pPr>
        <w:spacing w:line="360" w:lineRule="auto"/>
        <w:jc w:val="center"/>
        <w:rPr>
          <w:rFonts w:ascii="Times New Roman" w:eastAsia="GuardianSans-Medium" w:hAnsi="Times New Roman" w:cs="Times New Roman"/>
          <w:b/>
          <w:bCs/>
          <w:color w:val="231F20"/>
          <w:kern w:val="0"/>
          <w:sz w:val="20"/>
          <w:szCs w:val="20"/>
        </w:rPr>
        <w:sectPr w:rsidR="00600F25">
          <w:headerReference w:type="even" r:id="rId8"/>
          <w:headerReference w:type="default" r:id="rId9"/>
          <w:footerReference w:type="default" r:id="rId10"/>
          <w:pgSz w:w="11906" w:h="16838"/>
          <w:pgMar w:top="1701" w:right="1701" w:bottom="1701" w:left="1701" w:header="851" w:footer="992" w:gutter="0"/>
          <w:cols w:space="425"/>
          <w:docGrid w:type="linesAndChars" w:linePitch="312"/>
        </w:sectPr>
      </w:pPr>
    </w:p>
    <w:p w:rsidR="00600F25" w:rsidRDefault="00CF62A9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Figure </w:t>
      </w:r>
      <w:proofErr w:type="spellStart"/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Markov model for patients with </w:t>
      </w:r>
      <w:r w:rsidR="00FB6D5C">
        <w:rPr>
          <w:rFonts w:ascii="Times New Roman" w:hAnsi="Times New Roman" w:cs="Times New Roman" w:hint="eastAsia"/>
          <w:b/>
          <w:sz w:val="20"/>
          <w:szCs w:val="20"/>
        </w:rPr>
        <w:t>r</w:t>
      </w:r>
      <w:r>
        <w:rPr>
          <w:rFonts w:ascii="Times New Roman" w:hAnsi="Times New Roman" w:cs="Times New Roman"/>
          <w:b/>
          <w:sz w:val="20"/>
          <w:szCs w:val="20"/>
        </w:rPr>
        <w:t>elapsed/refractory multiple myeloma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RRMM</w:t>
      </w:r>
      <w:proofErr w:type="spellEnd"/>
      <w:r>
        <w:rPr>
          <w:rFonts w:ascii="Times New Roman" w:hAnsi="Times New Roman" w:cs="Times New Roman" w:hint="eastAsia"/>
          <w:bCs/>
          <w:sz w:val="20"/>
          <w:szCs w:val="20"/>
        </w:rPr>
        <w:t xml:space="preserve">, </w:t>
      </w:r>
      <w:r w:rsidR="00FB6D5C">
        <w:rPr>
          <w:rFonts w:ascii="Times New Roman" w:hAnsi="Times New Roman" w:cs="Times New Roman" w:hint="eastAsia"/>
          <w:bCs/>
          <w:sz w:val="20"/>
          <w:szCs w:val="20"/>
        </w:rPr>
        <w:t>r</w:t>
      </w:r>
      <w:r>
        <w:rPr>
          <w:rFonts w:ascii="Times New Roman" w:hAnsi="Times New Roman" w:cs="Times New Roman"/>
          <w:bCs/>
          <w:sz w:val="20"/>
          <w:szCs w:val="20"/>
        </w:rPr>
        <w:t>elapsed/refractory multiple myeloma</w:t>
      </w:r>
      <w:r>
        <w:rPr>
          <w:rFonts w:ascii="Times New Roman" w:hAnsi="Times New Roman" w:cs="Times New Roman" w:hint="eastAsia"/>
          <w:bCs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KdD</w:t>
      </w:r>
      <w:proofErr w:type="spellEnd"/>
      <w:r>
        <w:rPr>
          <w:rFonts w:ascii="Times New Roman" w:hAnsi="Times New Roman" w:cs="Times New Roman" w:hint="eastAsia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bookmarkStart w:id="1" w:name="OLE_LINK1"/>
      <w:proofErr w:type="spellStart"/>
      <w:r>
        <w:rPr>
          <w:rFonts w:ascii="Times New Roman" w:hAnsi="Times New Roman" w:cs="Times New Roman"/>
          <w:bCs/>
          <w:sz w:val="20"/>
          <w:szCs w:val="20"/>
        </w:rPr>
        <w:t>carfizomib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, daratumumab and dexamethasone</w:t>
      </w:r>
      <w:bookmarkEnd w:id="1"/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Kd</w:t>
      </w:r>
      <w:proofErr w:type="spellEnd"/>
      <w:r>
        <w:rPr>
          <w:rFonts w:ascii="Times New Roman" w:hAnsi="Times New Roman" w:cs="Times New Roman" w:hint="eastAsia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carfizomib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and dexamethasone.</w:t>
      </w:r>
      <w:bookmarkEnd w:id="0"/>
    </w:p>
    <w:p w:rsidR="00600F25" w:rsidRDefault="00CF62A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334635" cy="3270250"/>
            <wp:effectExtent l="0" t="0" r="18415" b="6350"/>
            <wp:docPr id="1" name="图片 0" descr="Fig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Figure 1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32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E49" w:rsidRDefault="00CF62A9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  <w:sectPr w:rsidR="00220E49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00F25" w:rsidRDefault="00220E49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Figure </w:t>
      </w:r>
      <w:proofErr w:type="spellStart"/>
      <w:r>
        <w:rPr>
          <w:rFonts w:ascii="Times New Roman" w:hAnsi="Times New Roman" w:cs="Times New Roman" w:hint="eastAsia"/>
          <w:b/>
          <w:sz w:val="20"/>
          <w:szCs w:val="20"/>
        </w:rPr>
        <w:t>S2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>Survival cur</w:t>
      </w:r>
      <w:r w:rsidR="004F3FA9">
        <w:rPr>
          <w:rFonts w:ascii="Times New Roman" w:hAnsi="Times New Roman" w:cs="Times New Roman" w:hint="eastAsia"/>
          <w:b/>
          <w:sz w:val="20"/>
          <w:szCs w:val="20"/>
        </w:rPr>
        <w:t>ves in patients with R</w:t>
      </w:r>
      <w:r w:rsidR="004F3FA9">
        <w:rPr>
          <w:rFonts w:ascii="Times New Roman" w:hAnsi="Times New Roman" w:cs="Times New Roman"/>
          <w:b/>
          <w:sz w:val="20"/>
          <w:szCs w:val="20"/>
        </w:rPr>
        <w:t>elapsed/refractory multiple myeloma</w:t>
      </w:r>
      <w:r w:rsidR="004F3FA9">
        <w:rPr>
          <w:rFonts w:ascii="Times New Roman" w:hAnsi="Times New Roman" w:cs="Times New Roman"/>
          <w:sz w:val="20"/>
          <w:szCs w:val="20"/>
        </w:rPr>
        <w:t>.</w:t>
      </w:r>
      <w:r w:rsidR="004F3FA9">
        <w:rPr>
          <w:rFonts w:ascii="Times New Roman" w:hAnsi="Times New Roman" w:cs="Times New Roman" w:hint="eastAsia"/>
          <w:sz w:val="20"/>
          <w:szCs w:val="20"/>
        </w:rPr>
        <w:t xml:space="preserve"> The original curves from the clinical trial are shown, together with the </w:t>
      </w:r>
      <w:r w:rsidR="004F3FA9">
        <w:rPr>
          <w:rFonts w:ascii="Times New Roman" w:eastAsia="GuardianSans-Medium" w:hAnsi="Times New Roman" w:cs="Times New Roman" w:hint="eastAsia"/>
          <w:color w:val="000000"/>
          <w:kern w:val="0"/>
          <w:sz w:val="20"/>
          <w:szCs w:val="20"/>
        </w:rPr>
        <w:t>E</w:t>
      </w:r>
      <w:r w:rsidR="004F3FA9">
        <w:rPr>
          <w:rFonts w:ascii="Times New Roman" w:eastAsia="GuardianSans-Medium" w:hAnsi="Times New Roman" w:cs="Times New Roman"/>
          <w:color w:val="000000"/>
          <w:kern w:val="0"/>
          <w:sz w:val="20"/>
          <w:szCs w:val="20"/>
        </w:rPr>
        <w:t>xponential</w:t>
      </w:r>
      <w:r w:rsidR="004F3FA9">
        <w:rPr>
          <w:rFonts w:ascii="Times New Roman" w:eastAsia="GuardianSans-Medium" w:hAnsi="Times New Roman" w:cs="Times New Roman" w:hint="eastAsia"/>
          <w:color w:val="000000"/>
          <w:kern w:val="0"/>
          <w:sz w:val="20"/>
          <w:szCs w:val="20"/>
        </w:rPr>
        <w:t xml:space="preserve"> and Log-normal survival estimated for overall survival and progression-free survival separately. </w:t>
      </w:r>
      <w:proofErr w:type="spellStart"/>
      <w:r w:rsidR="004F3FA9">
        <w:rPr>
          <w:rFonts w:ascii="Times New Roman" w:hAnsi="Times New Roman" w:cs="Times New Roman"/>
          <w:bCs/>
          <w:sz w:val="20"/>
          <w:szCs w:val="20"/>
        </w:rPr>
        <w:t>KdD</w:t>
      </w:r>
      <w:proofErr w:type="spellEnd"/>
      <w:r w:rsidR="004F3FA9">
        <w:rPr>
          <w:rFonts w:ascii="Times New Roman" w:hAnsi="Times New Roman" w:cs="Times New Roman" w:hint="eastAsia"/>
          <w:bCs/>
          <w:sz w:val="20"/>
          <w:szCs w:val="20"/>
        </w:rPr>
        <w:t>,</w:t>
      </w:r>
      <w:r w:rsidR="004F3FA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4F3FA9">
        <w:rPr>
          <w:rFonts w:ascii="Times New Roman" w:hAnsi="Times New Roman" w:cs="Times New Roman"/>
          <w:bCs/>
          <w:sz w:val="20"/>
          <w:szCs w:val="20"/>
        </w:rPr>
        <w:t>carfizomib</w:t>
      </w:r>
      <w:proofErr w:type="spellEnd"/>
      <w:r w:rsidR="004F3FA9">
        <w:rPr>
          <w:rFonts w:ascii="Times New Roman" w:hAnsi="Times New Roman" w:cs="Times New Roman"/>
          <w:bCs/>
          <w:sz w:val="20"/>
          <w:szCs w:val="20"/>
        </w:rPr>
        <w:t xml:space="preserve">, daratumumab and dexamethasone; </w:t>
      </w:r>
      <w:proofErr w:type="spellStart"/>
      <w:proofErr w:type="gramStart"/>
      <w:r w:rsidR="004F3FA9">
        <w:rPr>
          <w:rFonts w:ascii="Times New Roman" w:hAnsi="Times New Roman" w:cs="Times New Roman"/>
          <w:bCs/>
          <w:sz w:val="20"/>
          <w:szCs w:val="20"/>
        </w:rPr>
        <w:t>Kd</w:t>
      </w:r>
      <w:proofErr w:type="spellEnd"/>
      <w:proofErr w:type="gramEnd"/>
      <w:r w:rsidR="004F3FA9">
        <w:rPr>
          <w:rFonts w:ascii="Times New Roman" w:hAnsi="Times New Roman" w:cs="Times New Roman" w:hint="eastAsia"/>
          <w:bCs/>
          <w:sz w:val="20"/>
          <w:szCs w:val="20"/>
        </w:rPr>
        <w:t xml:space="preserve">, </w:t>
      </w:r>
      <w:proofErr w:type="spellStart"/>
      <w:r w:rsidR="004F3FA9">
        <w:rPr>
          <w:rFonts w:ascii="Times New Roman" w:hAnsi="Times New Roman" w:cs="Times New Roman"/>
          <w:bCs/>
          <w:sz w:val="20"/>
          <w:szCs w:val="20"/>
        </w:rPr>
        <w:t>carfizomib</w:t>
      </w:r>
      <w:proofErr w:type="spellEnd"/>
      <w:r w:rsidR="004F3FA9">
        <w:rPr>
          <w:rFonts w:ascii="Times New Roman" w:hAnsi="Times New Roman" w:cs="Times New Roman"/>
          <w:bCs/>
          <w:sz w:val="20"/>
          <w:szCs w:val="20"/>
        </w:rPr>
        <w:t xml:space="preserve"> and dexamethasone.</w:t>
      </w:r>
    </w:p>
    <w:p w:rsidR="00220E49" w:rsidRPr="004F3FA9" w:rsidRDefault="00220E49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220E49" w:rsidRDefault="00220E49" w:rsidP="00220E49">
      <w:pPr>
        <w:widowControl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noProof/>
          <w:sz w:val="20"/>
          <w:szCs w:val="20"/>
        </w:rPr>
        <w:drawing>
          <wp:inline distT="0" distB="0" distL="0" distR="0">
            <wp:extent cx="9277238" cy="4127500"/>
            <wp:effectExtent l="19050" t="0" r="112" b="0"/>
            <wp:docPr id="3" name="图片 1" descr="Supplementary 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7238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F25" w:rsidRDefault="00220E49" w:rsidP="00220E49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  <w:br w:type="page"/>
      </w:r>
    </w:p>
    <w:p w:rsidR="00220E49" w:rsidRDefault="00220E49" w:rsidP="0086566C">
      <w:pPr>
        <w:widowControl/>
        <w:spacing w:beforeLines="50" w:line="400" w:lineRule="exact"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  <w:sectPr w:rsidR="00220E49" w:rsidSect="00220E49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5D0D06" w:rsidRPr="004A1EA8" w:rsidRDefault="005D0D06" w:rsidP="005D0D0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bookmarkStart w:id="2" w:name="OLE_LINK8"/>
      <w:proofErr w:type="gramStart"/>
      <w:r w:rsidRPr="004A1EA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proofErr w:type="spellStart"/>
      <w:r w:rsidRPr="004A1EA8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sz w:val="20"/>
          <w:szCs w:val="20"/>
        </w:rPr>
        <w:t>1</w:t>
      </w:r>
      <w:proofErr w:type="spellEnd"/>
      <w:r w:rsidRPr="004A1EA8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4A1EA8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proofErr w:type="gramStart"/>
      <w:r w:rsidRPr="004A1EA8">
        <w:rPr>
          <w:rFonts w:ascii="Times New Roman" w:hAnsi="Times New Roman" w:cs="Times New Roman"/>
          <w:sz w:val="20"/>
          <w:szCs w:val="20"/>
        </w:rPr>
        <w:t>Baseline patient characteristics</w:t>
      </w:r>
      <w:r>
        <w:rPr>
          <w:rFonts w:ascii="Times New Roman" w:hAnsi="Times New Roman" w:cs="Times New Roman" w:hint="eastAsia"/>
          <w:sz w:val="20"/>
          <w:szCs w:val="20"/>
        </w:rPr>
        <w:t xml:space="preserve"> of the </w:t>
      </w:r>
      <w:r>
        <w:rPr>
          <w:rFonts w:ascii="Times New Roman" w:eastAsia="GuardianSans-Medium" w:hAnsi="Times New Roman" w:cs="Times New Roman"/>
          <w:color w:val="000000"/>
          <w:kern w:val="0"/>
          <w:sz w:val="20"/>
          <w:szCs w:val="20"/>
        </w:rPr>
        <w:t>CANDOR trial</w:t>
      </w:r>
      <w:r w:rsidRPr="004A1EA8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1843"/>
        <w:gridCol w:w="2324"/>
      </w:tblGrid>
      <w:tr w:rsidR="005D0D06" w:rsidRPr="004A1EA8" w:rsidTr="005D0D06"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:rsidR="005D0D06" w:rsidRPr="004A1EA8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4A1EA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</w:t>
            </w:r>
            <w:r w:rsidRPr="004A1EA8">
              <w:rPr>
                <w:rFonts w:ascii="Times New Roman" w:hAnsi="Times New Roman" w:cs="Times New Roman"/>
                <w:b/>
                <w:sz w:val="20"/>
                <w:szCs w:val="20"/>
              </w:rPr>
              <w:t>haracteristics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proofErr w:type="spellStart"/>
            <w:r w:rsidRPr="004A1EA8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</w:rPr>
              <w:t>KdD</w:t>
            </w:r>
            <w:proofErr w:type="spellEnd"/>
            <w:r w:rsidRPr="004A1EA8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(n=312)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proofErr w:type="spellStart"/>
            <w:r w:rsidRPr="004A1EA8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</w:rPr>
              <w:t>Kd</w:t>
            </w:r>
            <w:proofErr w:type="spellEnd"/>
            <w:r w:rsidRPr="004A1EA8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 (n=154)</w:t>
            </w:r>
          </w:p>
        </w:tc>
      </w:tr>
      <w:tr w:rsidR="005D0D06" w:rsidRPr="004A1EA8" w:rsidTr="005D0D06">
        <w:tc>
          <w:tcPr>
            <w:tcW w:w="436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Median age, years</w:t>
            </w:r>
          </w:p>
        </w:tc>
        <w:tc>
          <w:tcPr>
            <w:tcW w:w="184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64·0 (57–70)</w:t>
            </w:r>
          </w:p>
        </w:tc>
        <w:tc>
          <w:tcPr>
            <w:tcW w:w="232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64·5 (59–71)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163 (52%)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 (50%)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121 (39%)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 (38%)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≥75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 (9%)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 (14%)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61109A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</w:pPr>
            <w:r w:rsidRPr="0061109A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</w:rPr>
              <w:t>Sex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177 (57%)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91 (59%)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0"/>
                <w:szCs w:val="20"/>
              </w:rPr>
              <w:t>Male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135 (43%)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63 (41%)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0"/>
                <w:szCs w:val="20"/>
              </w:rPr>
              <w:t>Female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</w:rPr>
              <w:t xml:space="preserve">Baseline </w:t>
            </w:r>
            <w:proofErr w:type="spellStart"/>
            <w:r w:rsidRPr="004A1EA8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</w:rPr>
              <w:t>ECOG</w:t>
            </w:r>
            <w:proofErr w:type="spellEnd"/>
            <w:r w:rsidRPr="004A1EA8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 xml:space="preserve">performance status 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0"/>
                <w:szCs w:val="20"/>
              </w:rPr>
              <w:t>-</w:t>
            </w:r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95%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(95%)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5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(5%)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(5%)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proofErr w:type="spellStart"/>
            <w:r w:rsidRPr="004A1EA8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ISS</w:t>
            </w:r>
            <w:proofErr w:type="spellEnd"/>
            <w:r w:rsidRPr="004A1EA8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 xml:space="preserve"> stage at baseline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Ⅰ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(47%)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(51%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33%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31%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Ⅲ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20%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18%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&lt;1%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Cytogenetic risk group by FISH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High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15%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Standard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Number of pr</w:t>
            </w:r>
            <w:r>
              <w:rPr>
                <w:rFonts w:ascii="Times New Roman" w:eastAsia="宋体" w:hAnsi="Times New Roman" w:cs="Times New Roman" w:hint="eastAsia"/>
                <w:b/>
                <w:color w:val="231F20"/>
                <w:kern w:val="0"/>
                <w:sz w:val="20"/>
                <w:szCs w:val="20"/>
              </w:rPr>
              <w:t>ior</w:t>
            </w:r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 xml:space="preserve"> therapies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(46%)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(45%)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(54%)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(55%)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32295C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</w:pPr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Previous lines of therapy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Bortezomib</w:t>
            </w:r>
            <w:proofErr w:type="spellEnd"/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(92%)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(87%)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Lenalidomide</w:t>
            </w:r>
            <w:proofErr w:type="spellEnd"/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(39%)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(48%)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A1EA8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Pomalidomide</w:t>
            </w:r>
            <w:proofErr w:type="spellEnd"/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(6%)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32295C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 xml:space="preserve">Refractory to </w:t>
            </w:r>
            <w:proofErr w:type="spellStart"/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bortezomib</w:t>
            </w:r>
            <w:proofErr w:type="spellEnd"/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 xml:space="preserve"> and </w:t>
            </w:r>
            <w:proofErr w:type="spellStart"/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lenalidomide</w:t>
            </w:r>
            <w:proofErr w:type="spellEnd"/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(12%)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(12%)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32295C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</w:pPr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 xml:space="preserve">Refractory to previous </w:t>
            </w:r>
            <w:proofErr w:type="spellStart"/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bortezomib</w:t>
            </w:r>
            <w:proofErr w:type="spellEnd"/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(28%)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(31%)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61109A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231F20"/>
                <w:kern w:val="0"/>
                <w:sz w:val="20"/>
                <w:szCs w:val="20"/>
              </w:rPr>
              <w:t xml:space="preserve"> </w:t>
            </w:r>
            <w:r w:rsidRPr="0061109A">
              <w:rPr>
                <w:rFonts w:ascii="Times New Roman" w:eastAsia="宋体" w:hAnsi="Times New Roman" w:cs="Times New Roman" w:hint="eastAsia"/>
                <w:color w:val="231F20"/>
                <w:kern w:val="0"/>
                <w:sz w:val="20"/>
                <w:szCs w:val="20"/>
              </w:rPr>
              <w:t>As last line of prior therapy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1109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 (15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%</w:t>
            </w:r>
            <w:r w:rsidRPr="0061109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1109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 (20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%</w:t>
            </w:r>
            <w:r w:rsidRPr="0061109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32295C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</w:pPr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Refractory to previous</w:t>
            </w:r>
            <w:r w:rsidRPr="0032295C">
              <w:rPr>
                <w:rFonts w:ascii="Times New Roman" w:eastAsia="宋体" w:hAnsi="Times New Roman" w:cs="Times New Roman" w:hint="eastAsia"/>
                <w:b/>
                <w:color w:val="231F20"/>
                <w:kern w:val="0"/>
                <w:sz w:val="20"/>
                <w:szCs w:val="20"/>
              </w:rPr>
              <w:t xml:space="preserve"> </w:t>
            </w:r>
            <w:proofErr w:type="spellStart"/>
            <w:r w:rsidRPr="0032295C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lenalidomide</w:t>
            </w:r>
            <w:proofErr w:type="spellEnd"/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(32%)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(36%)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32295C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231F20"/>
                <w:kern w:val="0"/>
                <w:sz w:val="20"/>
                <w:szCs w:val="20"/>
              </w:rPr>
              <w:t xml:space="preserve"> </w:t>
            </w:r>
            <w:r w:rsidRPr="0061109A">
              <w:rPr>
                <w:rFonts w:ascii="Times New Roman" w:eastAsia="宋体" w:hAnsi="Times New Roman" w:cs="Times New Roman" w:hint="eastAsia"/>
                <w:color w:val="231F20"/>
                <w:kern w:val="0"/>
                <w:sz w:val="20"/>
                <w:szCs w:val="20"/>
              </w:rPr>
              <w:t>As last line</w:t>
            </w: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0"/>
                <w:szCs w:val="20"/>
              </w:rPr>
              <w:t xml:space="preserve"> of prior therapy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74 (24%)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 (25%)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61109A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 w:rsidRPr="0061109A">
              <w:rPr>
                <w:rFonts w:ascii="Times New Roman" w:eastAsia="宋体" w:hAnsi="Times New Roman" w:cs="Times New Roman" w:hint="eastAsia"/>
                <w:color w:val="231F20"/>
                <w:kern w:val="0"/>
                <w:sz w:val="20"/>
                <w:szCs w:val="20"/>
              </w:rPr>
              <w:t xml:space="preserve"> After 1 prior line of therapy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19 (6%)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 (4%)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61109A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 w:rsidRPr="0061109A">
              <w:rPr>
                <w:rFonts w:ascii="Times New Roman" w:eastAsia="宋体" w:hAnsi="Times New Roman" w:cs="Times New Roman" w:hint="eastAsia"/>
                <w:color w:val="231F20"/>
                <w:kern w:val="0"/>
                <w:sz w:val="20"/>
                <w:szCs w:val="20"/>
              </w:rPr>
              <w:t xml:space="preserve"> After 2-3 prior line of therapy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80 (26%)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49 (32%)</w:t>
            </w:r>
          </w:p>
        </w:tc>
      </w:tr>
      <w:tr w:rsidR="005D0D06" w:rsidRPr="004A1EA8" w:rsidTr="005D0D06">
        <w:tc>
          <w:tcPr>
            <w:tcW w:w="4361" w:type="dxa"/>
            <w:tcBorders>
              <w:tl2br w:val="nil"/>
              <w:tr2bl w:val="nil"/>
            </w:tcBorders>
            <w:vAlign w:val="center"/>
          </w:tcPr>
          <w:p w:rsidR="005D0D06" w:rsidRPr="0061109A" w:rsidRDefault="005D0D06" w:rsidP="005D0D0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61109A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 xml:space="preserve">Refractory to </w:t>
            </w:r>
            <w:proofErr w:type="spellStart"/>
            <w:r w:rsidRPr="0061109A"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pomalidomide</w:t>
            </w:r>
            <w:proofErr w:type="spellEnd"/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(3%)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 w:rsidR="005D0D06" w:rsidRPr="004A1EA8" w:rsidRDefault="005D0D06" w:rsidP="005D0D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A1EA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(6%)</w:t>
            </w:r>
          </w:p>
        </w:tc>
      </w:tr>
    </w:tbl>
    <w:p w:rsidR="005D0D06" w:rsidRPr="004A1EA8" w:rsidRDefault="005D0D06" w:rsidP="005D0D0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KdD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daratumumab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Kd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dexamethosone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4A1EA8">
        <w:rPr>
          <w:rFonts w:ascii="Times New Roman" w:eastAsia="Shaker2Lancet-Regular" w:hAnsi="Times New Roman" w:cs="Times New Roman"/>
          <w:color w:val="231F20"/>
          <w:kern w:val="0"/>
          <w:sz w:val="20"/>
          <w:szCs w:val="20"/>
        </w:rPr>
        <w:t>ECOG</w:t>
      </w:r>
      <w:proofErr w:type="spellEnd"/>
      <w:r>
        <w:rPr>
          <w:rFonts w:ascii="Times New Roman" w:hAnsi="Times New Roman" w:cs="Times New Roman" w:hint="eastAsia"/>
          <w:color w:val="231F20"/>
          <w:kern w:val="0"/>
          <w:sz w:val="20"/>
          <w:szCs w:val="20"/>
        </w:rPr>
        <w:t xml:space="preserve">, </w:t>
      </w:r>
      <w:r w:rsidRPr="004A1EA8">
        <w:rPr>
          <w:rFonts w:ascii="Times New Roman" w:eastAsia="Shaker2Lancet-Regular" w:hAnsi="Times New Roman" w:cs="Times New Roman"/>
          <w:color w:val="231F20"/>
          <w:kern w:val="0"/>
          <w:sz w:val="20"/>
          <w:szCs w:val="20"/>
        </w:rPr>
        <w:t>Eastern Cooperative Oncology Group</w:t>
      </w:r>
      <w:r>
        <w:rPr>
          <w:rFonts w:ascii="Times New Roman" w:hAnsi="Times New Roman" w:cs="Times New Roman" w:hint="eastAsia"/>
          <w:color w:val="231F20"/>
          <w:kern w:val="0"/>
          <w:sz w:val="20"/>
          <w:szCs w:val="20"/>
        </w:rPr>
        <w:t>;</w:t>
      </w:r>
      <w:r w:rsidRPr="004A1EA8">
        <w:rPr>
          <w:rFonts w:ascii="Times New Roman" w:eastAsia="Shaker2Lancet-Regular" w:hAnsi="Times New Roman" w:cs="Times New Roman"/>
          <w:color w:val="231F20"/>
          <w:kern w:val="0"/>
          <w:sz w:val="20"/>
          <w:szCs w:val="20"/>
        </w:rPr>
        <w:t xml:space="preserve"> </w:t>
      </w:r>
      <w:proofErr w:type="spellStart"/>
      <w:r w:rsidRPr="004A1EA8">
        <w:rPr>
          <w:rFonts w:ascii="Times New Roman" w:eastAsia="Shaker2Lancet-Regular" w:hAnsi="Times New Roman" w:cs="Times New Roman"/>
          <w:color w:val="231F20"/>
          <w:kern w:val="0"/>
          <w:sz w:val="20"/>
          <w:szCs w:val="20"/>
        </w:rPr>
        <w:t>ISS</w:t>
      </w:r>
      <w:proofErr w:type="spellEnd"/>
      <w:r>
        <w:rPr>
          <w:rFonts w:ascii="Times New Roman" w:hAnsi="Times New Roman" w:cs="Times New Roman" w:hint="eastAsia"/>
          <w:color w:val="231F20"/>
          <w:kern w:val="0"/>
          <w:sz w:val="20"/>
          <w:szCs w:val="20"/>
        </w:rPr>
        <w:t xml:space="preserve">, </w:t>
      </w:r>
      <w:r w:rsidRPr="004A1EA8">
        <w:rPr>
          <w:rFonts w:ascii="Times New Roman" w:eastAsia="Shaker2Lancet-Regular" w:hAnsi="Times New Roman" w:cs="Times New Roman"/>
          <w:color w:val="231F20"/>
          <w:kern w:val="0"/>
          <w:sz w:val="20"/>
          <w:szCs w:val="20"/>
        </w:rPr>
        <w:t>International Staging System</w:t>
      </w:r>
      <w:r>
        <w:rPr>
          <w:rFonts w:ascii="Times New Roman" w:hAnsi="Times New Roman" w:cs="Times New Roman" w:hint="eastAsia"/>
          <w:color w:val="231F20"/>
          <w:kern w:val="0"/>
          <w:sz w:val="20"/>
          <w:szCs w:val="20"/>
        </w:rPr>
        <w:t>;</w:t>
      </w:r>
      <w:r w:rsidRPr="004A1EA8">
        <w:rPr>
          <w:rFonts w:ascii="Times New Roman" w:eastAsia="Shaker2Lancet-Regular" w:hAnsi="Times New Roman" w:cs="Times New Roman"/>
          <w:color w:val="231F20"/>
          <w:kern w:val="0"/>
          <w:sz w:val="20"/>
          <w:szCs w:val="20"/>
        </w:rPr>
        <w:t xml:space="preserve"> FISH</w:t>
      </w:r>
      <w:r>
        <w:rPr>
          <w:rFonts w:ascii="Times New Roman" w:hAnsi="Times New Roman" w:cs="Times New Roman" w:hint="eastAsia"/>
          <w:color w:val="231F20"/>
          <w:kern w:val="0"/>
          <w:sz w:val="20"/>
          <w:szCs w:val="20"/>
        </w:rPr>
        <w:t xml:space="preserve">, </w:t>
      </w:r>
      <w:r w:rsidRPr="004A1EA8">
        <w:rPr>
          <w:rFonts w:ascii="Times New Roman" w:eastAsia="Shaker2Lancet-Regular" w:hAnsi="Times New Roman" w:cs="Times New Roman"/>
          <w:color w:val="231F20"/>
          <w:kern w:val="0"/>
          <w:sz w:val="20"/>
          <w:szCs w:val="20"/>
        </w:rPr>
        <w:t xml:space="preserve">fluorescent in situ </w:t>
      </w:r>
      <w:r>
        <w:rPr>
          <w:rFonts w:ascii="Times New Roman" w:eastAsia="Shaker2Lancet-Regular" w:hAnsi="Times New Roman" w:cs="Times New Roman"/>
          <w:color w:val="231F20"/>
          <w:kern w:val="0"/>
          <w:sz w:val="20"/>
          <w:szCs w:val="20"/>
        </w:rPr>
        <w:t>hybridization</w:t>
      </w:r>
      <w:r>
        <w:rPr>
          <w:rFonts w:ascii="Times New Roman" w:hAnsi="Times New Roman" w:cs="Times New Roman" w:hint="eastAsia"/>
          <w:color w:val="231F20"/>
          <w:kern w:val="0"/>
          <w:sz w:val="20"/>
          <w:szCs w:val="20"/>
        </w:rPr>
        <w:t>;</w:t>
      </w:r>
    </w:p>
    <w:p w:rsidR="005D0D06" w:rsidRDefault="005D0D06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</w:pPr>
    </w:p>
    <w:p w:rsidR="005D0D06" w:rsidRDefault="005D0D06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  <w:br w:type="page"/>
      </w:r>
    </w:p>
    <w:p w:rsidR="00600F25" w:rsidRDefault="00CF62A9" w:rsidP="0086566C">
      <w:pPr>
        <w:widowControl/>
        <w:spacing w:beforeLines="50" w:line="400" w:lineRule="exact"/>
        <w:jc w:val="left"/>
        <w:rPr>
          <w:rFonts w:ascii="Times New Roman" w:eastAsia="宋体" w:hAnsi="Times New Roman" w:cs="Times New Roman"/>
          <w:b/>
          <w:bCs/>
          <w:sz w:val="20"/>
          <w:szCs w:val="20"/>
        </w:rPr>
      </w:pPr>
      <w:proofErr w:type="gramStart"/>
      <w:r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  <w:lastRenderedPageBreak/>
        <w:t xml:space="preserve">Supplementary Table </w:t>
      </w:r>
      <w:proofErr w:type="spellStart"/>
      <w:r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  <w:t>S</w:t>
      </w:r>
      <w:r w:rsidR="005D0D06">
        <w:rPr>
          <w:rFonts w:ascii="Times New Roman" w:eastAsia="宋体" w:hAnsi="Times New Roman" w:cs="Times New Roman" w:hint="eastAsia"/>
          <w:b/>
          <w:bCs/>
          <w:color w:val="231F20"/>
          <w:kern w:val="0"/>
          <w:sz w:val="20"/>
          <w:szCs w:val="20"/>
        </w:rPr>
        <w:t>2</w:t>
      </w:r>
      <w:proofErr w:type="spellEnd"/>
      <w:r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  <w:t>.</w:t>
      </w:r>
      <w:proofErr w:type="gramEnd"/>
      <w:r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  <w:t xml:space="preserve"> AIC </w:t>
      </w:r>
      <w:r>
        <w:rPr>
          <w:rFonts w:ascii="Times New Roman" w:hAnsi="Times New Roman" w:cs="Times New Roman"/>
          <w:b/>
          <w:bCs/>
          <w:sz w:val="20"/>
          <w:szCs w:val="20"/>
        </w:rPr>
        <w:t>statistics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0"/>
          <w:szCs w:val="20"/>
        </w:rPr>
        <w:t xml:space="preserve"> for survival curves data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0"/>
          <w:szCs w:val="20"/>
        </w:rPr>
        <w:t>.</w:t>
      </w:r>
    </w:p>
    <w:tbl>
      <w:tblPr>
        <w:tblW w:w="0" w:type="auto"/>
        <w:tblInd w:w="93" w:type="dxa"/>
        <w:tblLook w:val="04A0"/>
      </w:tblPr>
      <w:tblGrid>
        <w:gridCol w:w="2709"/>
        <w:gridCol w:w="1427"/>
        <w:gridCol w:w="1427"/>
        <w:gridCol w:w="1427"/>
        <w:gridCol w:w="1428"/>
      </w:tblGrid>
      <w:tr w:rsidR="00600F25">
        <w:trPr>
          <w:trHeight w:val="312"/>
        </w:trPr>
        <w:tc>
          <w:tcPr>
            <w:tcW w:w="2709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b/>
                <w:color w:val="231F2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AIC value</w:t>
            </w:r>
          </w:p>
        </w:tc>
        <w:tc>
          <w:tcPr>
            <w:tcW w:w="570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600F25" w:rsidRDefault="00CF62A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Parametric survival distribution</w:t>
            </w:r>
          </w:p>
        </w:tc>
      </w:tr>
      <w:tr w:rsidR="00600F25">
        <w:trPr>
          <w:trHeight w:val="312"/>
        </w:trPr>
        <w:tc>
          <w:tcPr>
            <w:tcW w:w="2709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25" w:rsidRDefault="00600F25">
            <w:pPr>
              <w:jc w:val="center"/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</w:tcPr>
          <w:p w:rsidR="00600F25" w:rsidRDefault="00CF62A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Exponential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00F25" w:rsidRDefault="00CF62A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Weibull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00F25" w:rsidRDefault="00CF62A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Log-normal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600F25" w:rsidRDefault="00CF62A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231F20"/>
                <w:kern w:val="0"/>
                <w:sz w:val="20"/>
                <w:szCs w:val="20"/>
              </w:rPr>
              <w:t>Log-logistic</w:t>
            </w:r>
          </w:p>
        </w:tc>
      </w:tr>
      <w:tr w:rsidR="00600F25">
        <w:trPr>
          <w:trHeight w:val="312"/>
        </w:trPr>
        <w:tc>
          <w:tcPr>
            <w:tcW w:w="2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00F25" w:rsidRDefault="00CF62A9">
            <w:pPr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Overall survival</w:t>
            </w:r>
          </w:p>
        </w:tc>
        <w:tc>
          <w:tcPr>
            <w:tcW w:w="1427" w:type="dxa"/>
            <w:tcBorders>
              <w:top w:val="single" w:sz="4" w:space="0" w:color="000000"/>
            </w:tcBorders>
          </w:tcPr>
          <w:p w:rsidR="00600F25" w:rsidRDefault="00600F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600F25" w:rsidRDefault="00600F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600F25" w:rsidRDefault="00600F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</w:tcBorders>
          </w:tcPr>
          <w:p w:rsidR="00600F25" w:rsidRDefault="00600F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</w:p>
        </w:tc>
      </w:tr>
      <w:tr w:rsidR="00600F25">
        <w:trPr>
          <w:trHeight w:val="312"/>
        </w:trPr>
        <w:tc>
          <w:tcPr>
            <w:tcW w:w="2709" w:type="dxa"/>
            <w:shd w:val="clear" w:color="auto" w:fill="auto"/>
            <w:vAlign w:val="center"/>
          </w:tcPr>
          <w:p w:rsidR="00600F25" w:rsidRDefault="00CF62A9">
            <w:pPr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KdD</w:t>
            </w:r>
            <w:proofErr w:type="spellEnd"/>
          </w:p>
        </w:tc>
        <w:tc>
          <w:tcPr>
            <w:tcW w:w="1427" w:type="dxa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1560.365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1562.332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1575.363</w:t>
            </w:r>
          </w:p>
        </w:tc>
        <w:tc>
          <w:tcPr>
            <w:tcW w:w="1428" w:type="dxa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1566.559</w:t>
            </w:r>
          </w:p>
        </w:tc>
      </w:tr>
      <w:tr w:rsidR="00600F25">
        <w:trPr>
          <w:trHeight w:val="312"/>
        </w:trPr>
        <w:tc>
          <w:tcPr>
            <w:tcW w:w="2709" w:type="dxa"/>
            <w:shd w:val="clear" w:color="auto" w:fill="auto"/>
            <w:vAlign w:val="center"/>
          </w:tcPr>
          <w:p w:rsidR="00600F25" w:rsidRDefault="00CF62A9">
            <w:pPr>
              <w:ind w:firstLineChars="100" w:firstLine="200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27" w:type="dxa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828.012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830.003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834.401</w:t>
            </w:r>
          </w:p>
        </w:tc>
        <w:tc>
          <w:tcPr>
            <w:tcW w:w="1428" w:type="dxa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830.622</w:t>
            </w:r>
          </w:p>
        </w:tc>
      </w:tr>
      <w:tr w:rsidR="00600F25">
        <w:trPr>
          <w:trHeight w:val="312"/>
        </w:trPr>
        <w:tc>
          <w:tcPr>
            <w:tcW w:w="2709" w:type="dxa"/>
            <w:shd w:val="clear" w:color="auto" w:fill="auto"/>
            <w:vAlign w:val="center"/>
          </w:tcPr>
          <w:p w:rsidR="00600F25" w:rsidRDefault="00CF62A9">
            <w:pPr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Progression-free survival</w:t>
            </w:r>
          </w:p>
        </w:tc>
        <w:tc>
          <w:tcPr>
            <w:tcW w:w="1427" w:type="dxa"/>
          </w:tcPr>
          <w:p w:rsidR="00600F25" w:rsidRDefault="00600F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600F25" w:rsidRDefault="00600F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600F25" w:rsidRDefault="00600F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1428" w:type="dxa"/>
          </w:tcPr>
          <w:p w:rsidR="00600F25" w:rsidRDefault="00600F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</w:p>
        </w:tc>
      </w:tr>
      <w:tr w:rsidR="00600F25">
        <w:trPr>
          <w:trHeight w:val="312"/>
        </w:trPr>
        <w:tc>
          <w:tcPr>
            <w:tcW w:w="2709" w:type="dxa"/>
            <w:shd w:val="clear" w:color="auto" w:fill="auto"/>
            <w:vAlign w:val="center"/>
          </w:tcPr>
          <w:p w:rsidR="00600F25" w:rsidRDefault="00CF62A9">
            <w:pPr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KdD</w:t>
            </w:r>
            <w:proofErr w:type="spellEnd"/>
          </w:p>
        </w:tc>
        <w:tc>
          <w:tcPr>
            <w:tcW w:w="1427" w:type="dxa"/>
          </w:tcPr>
          <w:p w:rsidR="00600F25" w:rsidRDefault="00CF62A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1499.754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:rsidR="00600F25" w:rsidRDefault="00CF62A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1496.347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:rsidR="00600F25" w:rsidRDefault="00CF62A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1483.675</w:t>
            </w:r>
          </w:p>
        </w:tc>
        <w:tc>
          <w:tcPr>
            <w:tcW w:w="1428" w:type="dxa"/>
          </w:tcPr>
          <w:p w:rsidR="00600F25" w:rsidRDefault="00CF62A9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1489.464</w:t>
            </w:r>
          </w:p>
        </w:tc>
      </w:tr>
      <w:tr w:rsidR="00600F25">
        <w:trPr>
          <w:trHeight w:val="312"/>
        </w:trPr>
        <w:tc>
          <w:tcPr>
            <w:tcW w:w="2709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600F25" w:rsidRDefault="00CF62A9">
            <w:pPr>
              <w:ind w:firstLineChars="100" w:firstLine="200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755.099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753.336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742.345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:rsidR="00600F25" w:rsidRDefault="00CF62A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745.061</w:t>
            </w:r>
          </w:p>
        </w:tc>
      </w:tr>
    </w:tbl>
    <w:p w:rsidR="00600F25" w:rsidRDefault="00CF62A9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AIC, </w:t>
      </w:r>
      <w:bookmarkStart w:id="3" w:name="OLE_LINK2"/>
      <w:proofErr w:type="spellStart"/>
      <w:r>
        <w:rPr>
          <w:rFonts w:ascii="Times New Roman" w:hAnsi="Times New Roman" w:cs="Times New Roman"/>
          <w:sz w:val="20"/>
          <w:szCs w:val="20"/>
        </w:rPr>
        <w:t>Akaike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information criterion</w:t>
      </w:r>
      <w:bookmarkEnd w:id="3"/>
      <w:r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</w:rPr>
        <w:t>KdD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daratumumab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Kd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dexamethosone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.</w:t>
      </w:r>
    </w:p>
    <w:p w:rsidR="00600F25" w:rsidRDefault="00600F25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00F25" w:rsidRDefault="00600F25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00F25" w:rsidRDefault="00CF62A9" w:rsidP="0086566C">
      <w:pPr>
        <w:spacing w:afterLines="50" w:line="36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r w:rsidR="005D0D06">
        <w:rPr>
          <w:rFonts w:ascii="Times New Roman" w:hAnsi="Times New Roman" w:cs="Times New Roman" w:hint="eastAsia"/>
          <w:b/>
          <w:sz w:val="20"/>
          <w:szCs w:val="20"/>
        </w:rPr>
        <w:t>3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Background mortality rate</w:t>
      </w:r>
      <w:r>
        <w:rPr>
          <w:rFonts w:ascii="Times New Roman" w:hAnsi="Times New Roman" w:cs="Times New Roman" w:hint="eastAsia"/>
          <w:b/>
          <w:sz w:val="20"/>
          <w:szCs w:val="20"/>
        </w:rPr>
        <w:t>.</w:t>
      </w:r>
      <w:proofErr w:type="gramEnd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600F25">
        <w:tc>
          <w:tcPr>
            <w:tcW w:w="2840" w:type="dxa"/>
            <w:vMerge w:val="restart"/>
            <w:vAlign w:val="center"/>
          </w:tcPr>
          <w:p w:rsidR="00600F25" w:rsidRDefault="00CF62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Group</w:t>
            </w:r>
          </w:p>
        </w:tc>
        <w:tc>
          <w:tcPr>
            <w:tcW w:w="5682" w:type="dxa"/>
            <w:gridSpan w:val="2"/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Background mortality rate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*</w:t>
            </w:r>
          </w:p>
        </w:tc>
      </w:tr>
      <w:tr w:rsidR="00600F25">
        <w:tc>
          <w:tcPr>
            <w:tcW w:w="284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00F25" w:rsidRDefault="00600F25">
            <w:pPr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1" w:type="dxa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Male</w:t>
            </w:r>
          </w:p>
        </w:tc>
        <w:tc>
          <w:tcPr>
            <w:tcW w:w="2841" w:type="dxa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Female</w:t>
            </w:r>
          </w:p>
        </w:tc>
      </w:tr>
      <w:tr w:rsidR="00600F25">
        <w:tc>
          <w:tcPr>
            <w:tcW w:w="2840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60-64 years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600F25">
        <w:tc>
          <w:tcPr>
            <w:tcW w:w="2840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65-69 years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600F25">
        <w:tc>
          <w:tcPr>
            <w:tcW w:w="2840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70-74 years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600F25">
        <w:tc>
          <w:tcPr>
            <w:tcW w:w="2840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75-79 years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</w:tr>
      <w:tr w:rsidR="00600F25">
        <w:tc>
          <w:tcPr>
            <w:tcW w:w="2840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80-84 years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2841" w:type="dxa"/>
            <w:tcBorders>
              <w:top w:val="nil"/>
              <w:bottom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600F25">
        <w:tc>
          <w:tcPr>
            <w:tcW w:w="2840" w:type="dxa"/>
            <w:tcBorders>
              <w:top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85+ years</w:t>
            </w:r>
          </w:p>
        </w:tc>
        <w:tc>
          <w:tcPr>
            <w:tcW w:w="2841" w:type="dxa"/>
            <w:tcBorders>
              <w:top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2841" w:type="dxa"/>
            <w:tcBorders>
              <w:top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</w:tr>
    </w:tbl>
    <w:p w:rsidR="00600F25" w:rsidRDefault="00CF62A9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  <w:sectPr w:rsidR="00600F25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b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Source of </w:t>
      </w:r>
      <w:r>
        <w:rPr>
          <w:rFonts w:ascii="Times New Roman" w:hAnsi="Times New Roman" w:cs="Times New Roman" w:hint="eastAsia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ackground mortality rate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: </w:t>
      </w:r>
      <w:r>
        <w:rPr>
          <w:rFonts w:ascii="Times New Roman" w:eastAsia="宋体" w:hAnsi="Times New Roman" w:cs="Times New Roman"/>
          <w:sz w:val="20"/>
          <w:szCs w:val="20"/>
        </w:rPr>
        <w:t>World Health Organization. Global Health Observatory data repository: Life tables by country China. Available from: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https://apps.who.int/gho/data/view.main.60340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 xml:space="preserve">Accessed </w:t>
      </w:r>
      <w:r>
        <w:rPr>
          <w:rFonts w:ascii="Times New Roman" w:eastAsia="宋体" w:hAnsi="Times New Roman" w:cs="Times New Roman" w:hint="eastAsia"/>
          <w:sz w:val="20"/>
          <w:szCs w:val="20"/>
        </w:rPr>
        <w:t>December 10</w:t>
      </w:r>
      <w:r>
        <w:rPr>
          <w:rFonts w:ascii="Times New Roman" w:eastAsia="宋体" w:hAnsi="Times New Roman" w:cs="Times New Roman"/>
          <w:sz w:val="20"/>
          <w:szCs w:val="20"/>
        </w:rPr>
        <w:t>, 202</w:t>
      </w:r>
      <w:r>
        <w:rPr>
          <w:rFonts w:ascii="Times New Roman" w:eastAsia="宋体" w:hAnsi="Times New Roman" w:cs="Times New Roman" w:hint="eastAsia"/>
          <w:sz w:val="20"/>
          <w:szCs w:val="20"/>
        </w:rPr>
        <w:t>3</w:t>
      </w:r>
      <w:r>
        <w:rPr>
          <w:rFonts w:ascii="Times New Roman" w:eastAsia="宋体" w:hAnsi="Times New Roman" w:cs="Times New Roman"/>
          <w:sz w:val="20"/>
          <w:szCs w:val="20"/>
        </w:rPr>
        <w:t>.</w:t>
      </w:r>
      <w:proofErr w:type="gramEnd"/>
    </w:p>
    <w:p w:rsidR="00600F25" w:rsidRDefault="00CF62A9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r w:rsidR="005D0D06">
        <w:rPr>
          <w:rFonts w:ascii="Times New Roman" w:hAnsi="Times New Roman" w:cs="Times New Roman" w:hint="eastAsia"/>
          <w:b/>
          <w:sz w:val="20"/>
          <w:szCs w:val="20"/>
        </w:rPr>
        <w:t>4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Proportion, costs and disutility of adverse events 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AEs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) of grade ≥3 that occurred more than 5% or with a difference of &gt;2%</w:t>
      </w:r>
      <w:r>
        <w:rPr>
          <w:rFonts w:ascii="Times New Roman" w:hAnsi="Times New Roman" w:cs="Times New Roman" w:hint="eastAsia"/>
          <w:b/>
          <w:sz w:val="20"/>
          <w:szCs w:val="20"/>
        </w:rPr>
        <w:t>.</w:t>
      </w:r>
      <w:proofErr w:type="gramEnd"/>
    </w:p>
    <w:tbl>
      <w:tblPr>
        <w:tblStyle w:val="a7"/>
        <w:tblW w:w="8814" w:type="dxa"/>
        <w:tblInd w:w="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14"/>
        <w:gridCol w:w="730"/>
        <w:gridCol w:w="770"/>
        <w:gridCol w:w="1270"/>
        <w:gridCol w:w="1120"/>
        <w:gridCol w:w="1110"/>
        <w:gridCol w:w="2000"/>
      </w:tblGrid>
      <w:tr w:rsidR="00600F25">
        <w:trPr>
          <w:trHeight w:val="357"/>
        </w:trPr>
        <w:tc>
          <w:tcPr>
            <w:tcW w:w="1814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0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Proportion [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270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 per incidence, $</w:t>
            </w:r>
          </w:p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0"/>
                <w:szCs w:val="20"/>
              </w:rPr>
              <w:t>2-5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120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Disutility [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110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 (days) [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000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Duration-adjusted utility decrement per cycle (28 days)</w:t>
            </w:r>
          </w:p>
        </w:tc>
      </w:tr>
      <w:tr w:rsidR="00600F25">
        <w:tc>
          <w:tcPr>
            <w:tcW w:w="1814" w:type="dxa"/>
            <w:vMerge/>
            <w:tcBorders>
              <w:top w:val="single" w:sz="4" w:space="0" w:color="000000" w:themeColor="text1"/>
              <w:bottom w:val="single" w:sz="4" w:space="0" w:color="auto"/>
              <w:tl2br w:val="nil"/>
              <w:tr2bl w:val="nil"/>
            </w:tcBorders>
            <w:vAlign w:val="center"/>
          </w:tcPr>
          <w:p w:rsidR="00600F25" w:rsidRDefault="00600F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KdD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270" w:type="dxa"/>
            <w:vMerge/>
            <w:tcBorders>
              <w:top w:val="single" w:sz="4" w:space="0" w:color="000000" w:themeColor="text1"/>
              <w:bottom w:val="single" w:sz="4" w:space="0" w:color="auto"/>
              <w:tl2br w:val="nil"/>
              <w:tr2bl w:val="nil"/>
            </w:tcBorders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 w:themeColor="text1"/>
              <w:bottom w:val="single" w:sz="4" w:space="0" w:color="auto"/>
              <w:tl2br w:val="nil"/>
              <w:tr2bl w:val="nil"/>
            </w:tcBorders>
            <w:vAlign w:val="center"/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 w:themeColor="text1"/>
              <w:bottom w:val="single" w:sz="4" w:space="0" w:color="auto"/>
              <w:tl2br w:val="nil"/>
              <w:tr2bl w:val="nil"/>
            </w:tcBorders>
            <w:vAlign w:val="center"/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000000" w:themeColor="text1"/>
              <w:bottom w:val="single" w:sz="4" w:space="0" w:color="auto"/>
              <w:tl2br w:val="nil"/>
              <w:tr2bl w:val="nil"/>
            </w:tcBorders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1814" w:type="dxa"/>
            <w:tcBorders>
              <w:top w:val="single" w:sz="4" w:space="0" w:color="auto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Thrombocytopenia</w:t>
            </w:r>
          </w:p>
        </w:tc>
        <w:tc>
          <w:tcPr>
            <w:tcW w:w="730" w:type="dxa"/>
            <w:tcBorders>
              <w:top w:val="single" w:sz="4" w:space="0" w:color="auto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24.68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16.34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241.9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2000" w:type="dxa"/>
            <w:tcBorders>
              <w:top w:val="single" w:sz="4" w:space="0" w:color="auto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Anemia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17.53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16.35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531.7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</w:tr>
      <w:tr w:rsidR="00600F25">
        <w:trPr>
          <w:trHeight w:val="302"/>
        </w:trPr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Neutropemia</w:t>
            </w:r>
            <w:proofErr w:type="spellEnd"/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466.0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Lymphopenia</w:t>
            </w:r>
            <w:proofErr w:type="spellEnd"/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7.19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1099.4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5.84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44.3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23.38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17.65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116.2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14.6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18.51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652.0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Dyspnea</w:t>
            </w:r>
            <w:proofErr w:type="spellEnd"/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590.3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Insomnia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00600F25" w:rsidTr="003B01F8">
        <w:tc>
          <w:tcPr>
            <w:tcW w:w="1814" w:type="dxa"/>
            <w:tcBorders>
              <w:tl2br w:val="nil"/>
              <w:tr2bl w:val="nil"/>
            </w:tcBorders>
            <w:vAlign w:val="center"/>
          </w:tcPr>
          <w:p w:rsidR="00600F25" w:rsidRDefault="00CF62A9" w:rsidP="003B01F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Respiratory tract infection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 w:rsidP="003B0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37.99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 w:rsidP="003B0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17.65</w:t>
            </w:r>
          </w:p>
        </w:tc>
        <w:tc>
          <w:tcPr>
            <w:tcW w:w="1270" w:type="dxa"/>
            <w:tcBorders>
              <w:tl2br w:val="nil"/>
              <w:tr2bl w:val="nil"/>
            </w:tcBorders>
            <w:vAlign w:val="center"/>
          </w:tcPr>
          <w:p w:rsidR="00600F25" w:rsidRDefault="00CF62A9" w:rsidP="003B0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588.0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 w:rsidP="003B0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 w:rsidP="003B0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 w:rsidR="00600F25" w:rsidRDefault="00CF62A9" w:rsidP="003B0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Infusion reaction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15.26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7.84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75.0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Cardiac failure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2729.5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600F25">
        <w:tc>
          <w:tcPr>
            <w:tcW w:w="1814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Actue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renal failure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1634.5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29.8</w:t>
            </w: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</w:tr>
      <w:tr w:rsidR="00600F25">
        <w:tc>
          <w:tcPr>
            <w:tcW w:w="8814" w:type="dxa"/>
            <w:gridSpan w:val="7"/>
            <w:tcBorders>
              <w:tl2br w:val="nil"/>
              <w:tr2bl w:val="nil"/>
            </w:tcBorders>
          </w:tcPr>
          <w:p w:rsidR="00600F25" w:rsidRDefault="00CF62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Estimated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costs and disutility</w:t>
            </w:r>
          </w:p>
        </w:tc>
      </w:tr>
      <w:tr w:rsidR="00600F25">
        <w:tc>
          <w:tcPr>
            <w:tcW w:w="3314" w:type="dxa"/>
            <w:gridSpan w:val="3"/>
            <w:tcBorders>
              <w:tl2br w:val="nil"/>
              <w:tr2bl w:val="nil"/>
            </w:tcBorders>
          </w:tcPr>
          <w:p w:rsidR="00600F25" w:rsidRDefault="00CF62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cost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KdD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$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845.33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3314" w:type="dxa"/>
            <w:gridSpan w:val="3"/>
            <w:tcBorders>
              <w:tl2br w:val="nil"/>
              <w:tr2bl w:val="nil"/>
            </w:tcBorders>
          </w:tcPr>
          <w:p w:rsidR="00600F25" w:rsidRDefault="00CF62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cost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$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768.02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4584" w:type="dxa"/>
            <w:gridSpan w:val="4"/>
            <w:tcBorders>
              <w:tl2br w:val="nil"/>
              <w:tr2bl w:val="nil"/>
            </w:tcBorders>
          </w:tcPr>
          <w:p w:rsidR="00600F25" w:rsidRDefault="00CF62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Disutility for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KdD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one cycle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4584" w:type="dxa"/>
            <w:gridSpan w:val="4"/>
            <w:tcBorders>
              <w:tl2br w:val="nil"/>
              <w:tr2bl w:val="nil"/>
            </w:tcBorders>
          </w:tcPr>
          <w:p w:rsidR="00600F25" w:rsidRDefault="00CF62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Disutility for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one cycle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</w:tcPr>
          <w:p w:rsidR="00600F25" w:rsidRDefault="00600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0F25" w:rsidRDefault="00CF62A9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KdD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daratumumab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Kd</w:t>
      </w:r>
      <w:proofErr w:type="spellEnd"/>
      <w:proofErr w:type="gram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dexamethasone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:rsidR="00600F25" w:rsidRDefault="00CF62A9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[1]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Usmani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SZ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Quach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H,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Mateos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MV,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Landgren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O,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Leleu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X, Siegel DS, et al. Final Analysis of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Carfilzomib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, Dexamethasone, and Daratumumab Versus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Carfilzomib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and Dexamethasone in the CANDOR Study. </w:t>
      </w:r>
      <w:r>
        <w:rPr>
          <w:rFonts w:ascii="Times New Roman" w:eastAsia="宋体" w:hAnsi="Times New Roman" w:cs="Times New Roman"/>
          <w:i/>
          <w:sz w:val="20"/>
          <w:szCs w:val="20"/>
        </w:rPr>
        <w:t>Blood Adv.</w:t>
      </w:r>
      <w:r>
        <w:rPr>
          <w:rFonts w:ascii="Times New Roman" w:eastAsia="宋体" w:hAnsi="Times New Roman" w:cs="Times New Roman"/>
          <w:sz w:val="20"/>
          <w:szCs w:val="20"/>
        </w:rPr>
        <w:t xml:space="preserve"> 2023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>;7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>(14):3739-3748.</w:t>
      </w:r>
    </w:p>
    <w:p w:rsidR="00600F25" w:rsidRDefault="00CF62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[2] </w:t>
      </w:r>
      <w:r>
        <w:rPr>
          <w:rFonts w:ascii="Times New Roman" w:eastAsia="宋体" w:hAnsi="Times New Roman" w:cs="Times New Roman"/>
          <w:sz w:val="20"/>
          <w:szCs w:val="20"/>
        </w:rPr>
        <w:t xml:space="preserve">Zeng X,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Peng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L,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Peng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Y, Tan C, Wan X. Economic Evaluation of Adding Daratumumab to a Regimen of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Bortezomib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+ Dexamethasone in Relapsed or Refractory Multiple Myeloma: Based on the Latest Updated Analysis of CASTOR. </w:t>
      </w:r>
      <w:proofErr w:type="spellStart"/>
      <w:r>
        <w:rPr>
          <w:rFonts w:ascii="Times New Roman" w:eastAsia="宋体" w:hAnsi="Times New Roman" w:cs="Times New Roman"/>
          <w:i/>
          <w:sz w:val="20"/>
          <w:szCs w:val="20"/>
        </w:rPr>
        <w:t>Clin</w:t>
      </w:r>
      <w:proofErr w:type="spellEnd"/>
      <w:r>
        <w:rPr>
          <w:rFonts w:ascii="Times New Roman" w:eastAsia="宋体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i/>
          <w:sz w:val="20"/>
          <w:szCs w:val="20"/>
        </w:rPr>
        <w:t>Ther</w:t>
      </w:r>
      <w:proofErr w:type="spellEnd"/>
      <w:r>
        <w:rPr>
          <w:rFonts w:ascii="Times New Roman" w:eastAsia="宋体" w:hAnsi="Times New Roman" w:cs="Times New Roman"/>
          <w:i/>
          <w:sz w:val="20"/>
          <w:szCs w:val="20"/>
        </w:rPr>
        <w:t>.</w:t>
      </w:r>
      <w:r>
        <w:rPr>
          <w:rFonts w:ascii="Times New Roman" w:eastAsia="宋体" w:hAnsi="Times New Roman" w:cs="Times New Roman"/>
          <w:sz w:val="20"/>
          <w:szCs w:val="20"/>
        </w:rPr>
        <w:t xml:space="preserve"> 2020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>;42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>(2):251-62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e5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>.</w:t>
      </w:r>
    </w:p>
    <w:p w:rsidR="00600F25" w:rsidRDefault="00CF62A9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[3]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 xml:space="preserve">Li S,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Peng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L, Tan C, Zeng X, Wan X,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Luo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X, et al. Cost-Effectiveness of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ramucirumab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paclitaxel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as a second-line therapy for advanced gastric or gastro-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oesophageal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cancer in China. </w:t>
      </w:r>
      <w:proofErr w:type="spellStart"/>
      <w:proofErr w:type="gramStart"/>
      <w:r>
        <w:rPr>
          <w:rFonts w:ascii="Times New Roman" w:eastAsia="宋体" w:hAnsi="Times New Roman" w:cs="Times New Roman"/>
          <w:i/>
          <w:sz w:val="20"/>
          <w:szCs w:val="20"/>
        </w:rPr>
        <w:t>PLoS</w:t>
      </w:r>
      <w:proofErr w:type="spellEnd"/>
      <w:r>
        <w:rPr>
          <w:rFonts w:ascii="Times New Roman" w:eastAsia="宋体" w:hAnsi="Times New Roman" w:cs="Times New Roman"/>
          <w:i/>
          <w:sz w:val="20"/>
          <w:szCs w:val="20"/>
        </w:rPr>
        <w:t xml:space="preserve"> One.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 xml:space="preserve"> 2020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>;15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>(5):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e0232240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>.</w:t>
      </w:r>
    </w:p>
    <w:p w:rsidR="00600F25" w:rsidRDefault="00CF62A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 xml:space="preserve">[4]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Peng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J, Tan C, Zeng X, Liu S. Cost-effectiveness analysis of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capecitabine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monotherapy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versus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capecitabine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oxaliplatin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in elderly patients with advanced gastric cancer. </w:t>
      </w:r>
      <w:proofErr w:type="spellStart"/>
      <w:proofErr w:type="gramStart"/>
      <w:r>
        <w:rPr>
          <w:rFonts w:ascii="Times New Roman" w:eastAsia="宋体" w:hAnsi="Times New Roman" w:cs="Times New Roman"/>
          <w:i/>
          <w:sz w:val="20"/>
          <w:szCs w:val="20"/>
        </w:rPr>
        <w:t>PLoS</w:t>
      </w:r>
      <w:proofErr w:type="spellEnd"/>
      <w:r>
        <w:rPr>
          <w:rFonts w:ascii="Times New Roman" w:eastAsia="宋体" w:hAnsi="Times New Roman" w:cs="Times New Roman"/>
          <w:i/>
          <w:sz w:val="20"/>
          <w:szCs w:val="20"/>
        </w:rPr>
        <w:t xml:space="preserve"> One.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 xml:space="preserve"> 2018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>;13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>(6):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e0199553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>.</w:t>
      </w:r>
    </w:p>
    <w:p w:rsidR="00600F25" w:rsidRDefault="00CF62A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[5] </w:t>
      </w:r>
      <w:r>
        <w:rPr>
          <w:rFonts w:ascii="Times New Roman" w:eastAsia="宋体" w:hAnsi="Times New Roman" w:cs="Times New Roman"/>
          <w:sz w:val="20"/>
          <w:szCs w:val="20"/>
        </w:rPr>
        <w:t xml:space="preserve">Yan J, Li C, Zhang X, Cheng L, Ding R, Zhang L.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Degarelix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vs.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leuprorelin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for the treatment of prostate cancer in China: A cost-utility analysis. </w:t>
      </w:r>
      <w:r>
        <w:rPr>
          <w:rFonts w:ascii="Times New Roman" w:eastAsia="宋体" w:hAnsi="Times New Roman" w:cs="Times New Roman"/>
          <w:i/>
          <w:sz w:val="20"/>
          <w:szCs w:val="20"/>
        </w:rPr>
        <w:t>Front Public Health.</w:t>
      </w:r>
      <w:r>
        <w:rPr>
          <w:rFonts w:ascii="Times New Roman" w:eastAsia="宋体" w:hAnsi="Times New Roman" w:cs="Times New Roman"/>
          <w:sz w:val="20"/>
          <w:szCs w:val="20"/>
        </w:rPr>
        <w:t xml:space="preserve"> 2022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>;10:942800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>.</w:t>
      </w:r>
    </w:p>
    <w:p w:rsidR="00600F25" w:rsidRDefault="00CF62A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t xml:space="preserve">[6]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Jakubowiak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AJ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Campioni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M, Benedict A,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Houisse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I,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Tichy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E,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Giannopoulou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A, et al. Cost-effectiveness of adding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carfilzomib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lenalidomide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and dexamethasone in relapsed multiple myeloma from a US perspective. </w:t>
      </w:r>
      <w:proofErr w:type="gramStart"/>
      <w:r>
        <w:rPr>
          <w:rFonts w:ascii="Times New Roman" w:eastAsia="宋体" w:hAnsi="Times New Roman" w:cs="Times New Roman"/>
          <w:i/>
          <w:sz w:val="20"/>
          <w:szCs w:val="20"/>
        </w:rPr>
        <w:t>J Med Econ.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 xml:space="preserve"> 2016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>;19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>(11):1061-74.</w:t>
      </w:r>
    </w:p>
    <w:p w:rsidR="00600F25" w:rsidRDefault="00CF62A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t xml:space="preserve">[7] </w:t>
      </w:r>
      <w:r>
        <w:rPr>
          <w:rFonts w:ascii="Times New Roman" w:eastAsia="宋体" w:hAnsi="Times New Roman" w:cs="Times New Roman"/>
          <w:sz w:val="20"/>
          <w:szCs w:val="20"/>
        </w:rPr>
        <w:t xml:space="preserve">Lloyd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AJ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, Gallop K, Ali S, Hughes D,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MacCulloch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A. Social preference weights for treatments in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lastRenderedPageBreak/>
        <w:t>Fabry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disease in the UK: a discrete choice experiment. </w:t>
      </w:r>
      <w:proofErr w:type="spellStart"/>
      <w:proofErr w:type="gramStart"/>
      <w:r>
        <w:rPr>
          <w:rFonts w:ascii="Times New Roman" w:eastAsia="宋体" w:hAnsi="Times New Roman" w:cs="Times New Roman"/>
          <w:i/>
          <w:sz w:val="20"/>
          <w:szCs w:val="20"/>
        </w:rPr>
        <w:t>Curr</w:t>
      </w:r>
      <w:proofErr w:type="spellEnd"/>
      <w:r>
        <w:rPr>
          <w:rFonts w:ascii="Times New Roman" w:eastAsia="宋体" w:hAnsi="Times New Roman" w:cs="Times New Roman"/>
          <w:i/>
          <w:sz w:val="20"/>
          <w:szCs w:val="20"/>
        </w:rPr>
        <w:t xml:space="preserve"> Med Res </w:t>
      </w:r>
      <w:proofErr w:type="spellStart"/>
      <w:r>
        <w:rPr>
          <w:rFonts w:ascii="Times New Roman" w:eastAsia="宋体" w:hAnsi="Times New Roman" w:cs="Times New Roman"/>
          <w:i/>
          <w:sz w:val="20"/>
          <w:szCs w:val="20"/>
        </w:rPr>
        <w:t>Opin</w:t>
      </w:r>
      <w:proofErr w:type="spellEnd"/>
      <w:r>
        <w:rPr>
          <w:rFonts w:ascii="Times New Roman" w:eastAsia="宋体" w:hAnsi="Times New Roman" w:cs="Times New Roman"/>
          <w:i/>
          <w:sz w:val="20"/>
          <w:szCs w:val="20"/>
        </w:rPr>
        <w:t>.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 xml:space="preserve"> 2017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>;33</w:t>
      </w:r>
      <w:proofErr w:type="gramEnd"/>
      <w:r>
        <w:rPr>
          <w:rFonts w:ascii="Times New Roman" w:eastAsia="宋体" w:hAnsi="Times New Roman" w:cs="Times New Roman"/>
          <w:sz w:val="20"/>
          <w:szCs w:val="20"/>
        </w:rPr>
        <w:t>(1):23-9.</w:t>
      </w:r>
    </w:p>
    <w:p w:rsidR="00600F25" w:rsidRDefault="00600F25">
      <w:pPr>
        <w:rPr>
          <w:rFonts w:ascii="Times New Roman" w:hAnsi="Times New Roman" w:cs="Times New Roman"/>
          <w:b/>
          <w:sz w:val="20"/>
          <w:szCs w:val="20"/>
        </w:rPr>
      </w:pPr>
    </w:p>
    <w:p w:rsidR="00600F25" w:rsidRDefault="00600F25">
      <w:pPr>
        <w:rPr>
          <w:rFonts w:ascii="Times New Roman" w:hAnsi="Times New Roman" w:cs="Times New Roman"/>
          <w:b/>
          <w:sz w:val="20"/>
          <w:szCs w:val="20"/>
        </w:rPr>
      </w:pPr>
    </w:p>
    <w:p w:rsidR="00600F25" w:rsidRDefault="00600F25">
      <w:pPr>
        <w:rPr>
          <w:rFonts w:ascii="Times New Roman" w:hAnsi="Times New Roman" w:cs="Times New Roman"/>
          <w:b/>
          <w:sz w:val="20"/>
          <w:szCs w:val="20"/>
        </w:rPr>
      </w:pPr>
    </w:p>
    <w:p w:rsidR="00600F25" w:rsidRDefault="00600F25">
      <w:pPr>
        <w:rPr>
          <w:rFonts w:ascii="Times New Roman" w:hAnsi="Times New Roman" w:cs="Times New Roman"/>
          <w:b/>
          <w:sz w:val="20"/>
          <w:szCs w:val="20"/>
        </w:rPr>
      </w:pPr>
    </w:p>
    <w:p w:rsidR="00600F25" w:rsidRDefault="00600F25">
      <w:pPr>
        <w:rPr>
          <w:rFonts w:ascii="Times New Roman" w:hAnsi="Times New Roman" w:cs="Times New Roman"/>
          <w:b/>
          <w:sz w:val="20"/>
          <w:szCs w:val="20"/>
        </w:rPr>
      </w:pPr>
    </w:p>
    <w:p w:rsidR="00600F25" w:rsidRDefault="00600F25">
      <w:pPr>
        <w:rPr>
          <w:rFonts w:ascii="Times New Roman" w:hAnsi="Times New Roman" w:cs="Times New Roman"/>
          <w:b/>
          <w:sz w:val="20"/>
          <w:szCs w:val="20"/>
        </w:rPr>
      </w:pPr>
    </w:p>
    <w:p w:rsidR="00600F25" w:rsidRDefault="00600F25">
      <w:pPr>
        <w:rPr>
          <w:rFonts w:ascii="Times New Roman" w:hAnsi="Times New Roman" w:cs="Times New Roman"/>
          <w:b/>
          <w:sz w:val="20"/>
          <w:szCs w:val="20"/>
        </w:rPr>
      </w:pPr>
    </w:p>
    <w:p w:rsidR="00600F25" w:rsidRDefault="00CF62A9">
      <w:pPr>
        <w:rPr>
          <w:rFonts w:ascii="Times New Roman" w:hAnsi="Times New Roman" w:cs="Times New Roman"/>
          <w:sz w:val="20"/>
          <w:szCs w:val="20"/>
        </w:rPr>
      </w:pPr>
      <w:bookmarkStart w:id="4" w:name="OLE_LINK6"/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bookmarkEnd w:id="4"/>
      <w:r w:rsidR="005D0D06">
        <w:rPr>
          <w:rFonts w:ascii="Times New Roman" w:hAnsi="Times New Roman" w:cs="Times New Roman" w:hint="eastAsia"/>
          <w:b/>
          <w:sz w:val="20"/>
          <w:szCs w:val="20"/>
        </w:rPr>
        <w:t>5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Reassigned percentages of subsequent treatment regimens for initial treatment received. Data are given as %.</w:t>
      </w:r>
    </w:p>
    <w:tbl>
      <w:tblPr>
        <w:tblStyle w:val="a7"/>
        <w:tblW w:w="0" w:type="auto"/>
        <w:tblLook w:val="04A0"/>
      </w:tblPr>
      <w:tblGrid>
        <w:gridCol w:w="1331"/>
        <w:gridCol w:w="1025"/>
        <w:gridCol w:w="1027"/>
        <w:gridCol w:w="983"/>
        <w:gridCol w:w="983"/>
        <w:gridCol w:w="967"/>
        <w:gridCol w:w="967"/>
        <w:gridCol w:w="1245"/>
      </w:tblGrid>
      <w:tr w:rsidR="00600F25">
        <w:tc>
          <w:tcPr>
            <w:tcW w:w="180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Initial treatment</w:t>
            </w:r>
          </w:p>
        </w:tc>
        <w:tc>
          <w:tcPr>
            <w:tcW w:w="1340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-d</w:t>
            </w:r>
          </w:p>
        </w:tc>
        <w:tc>
          <w:tcPr>
            <w:tcW w:w="157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KRd</w:t>
            </w:r>
            <w:proofErr w:type="spellEnd"/>
          </w:p>
        </w:tc>
        <w:tc>
          <w:tcPr>
            <w:tcW w:w="157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VCd</w:t>
            </w:r>
            <w:proofErr w:type="spellEnd"/>
          </w:p>
        </w:tc>
        <w:tc>
          <w:tcPr>
            <w:tcW w:w="157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VRd</w:t>
            </w:r>
            <w:proofErr w:type="spellEnd"/>
          </w:p>
        </w:tc>
        <w:tc>
          <w:tcPr>
            <w:tcW w:w="157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Rd</w:t>
            </w:r>
          </w:p>
        </w:tc>
        <w:tc>
          <w:tcPr>
            <w:tcW w:w="157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Vd</w:t>
            </w:r>
            <w:proofErr w:type="spellEnd"/>
          </w:p>
        </w:tc>
        <w:tc>
          <w:tcPr>
            <w:tcW w:w="157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00F25" w:rsidRDefault="00CF62A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</w:tr>
      <w:tr w:rsidR="00600F25">
        <w:tc>
          <w:tcPr>
            <w:tcW w:w="180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KdD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13.28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</w:p>
        </w:tc>
      </w:tr>
      <w:tr w:rsidR="00600F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35.06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9.23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40.95</w:t>
            </w:r>
          </w:p>
        </w:tc>
      </w:tr>
    </w:tbl>
    <w:p w:rsidR="00600F25" w:rsidRDefault="00CF62A9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KdD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daratumumab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Kd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dexamethosone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</w:rPr>
        <w:t>POM-d</w:t>
      </w:r>
      <w:proofErr w:type="gramStart"/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>pomalidomide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plus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KRd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lenalidomid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VCd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bortezomib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cyclophosphamide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VRd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bortezomib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lenalidomid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Rd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lenalidomide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Vd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bortezomib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DARA</w:t>
      </w:r>
      <w:proofErr w:type="spellEnd"/>
      <w:r>
        <w:rPr>
          <w:rFonts w:ascii="Times New Roman" w:hAnsi="Times New Roman" w:cs="Times New Roman"/>
          <w:sz w:val="20"/>
          <w:szCs w:val="20"/>
        </w:rPr>
        <w:t>-M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daratumumab </w:t>
      </w:r>
      <w:proofErr w:type="spellStart"/>
      <w:r>
        <w:rPr>
          <w:rFonts w:ascii="Times New Roman" w:hAnsi="Times New Roman" w:cs="Times New Roman"/>
          <w:sz w:val="20"/>
          <w:szCs w:val="20"/>
        </w:rPr>
        <w:t>monotherapy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600F25" w:rsidRDefault="00600F25">
      <w:pPr>
        <w:rPr>
          <w:rFonts w:ascii="Times New Roman" w:hAnsi="Times New Roman" w:cs="Times New Roman"/>
          <w:sz w:val="20"/>
          <w:szCs w:val="20"/>
        </w:rPr>
      </w:pPr>
    </w:p>
    <w:p w:rsidR="00600F25" w:rsidRDefault="00600F25">
      <w:pPr>
        <w:rPr>
          <w:rFonts w:ascii="Times New Roman" w:hAnsi="Times New Roman" w:cs="Times New Roman"/>
          <w:sz w:val="20"/>
          <w:szCs w:val="20"/>
        </w:rPr>
      </w:pPr>
    </w:p>
    <w:p w:rsidR="00600F25" w:rsidRDefault="00CF62A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00F25" w:rsidRDefault="00CF62A9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r w:rsidR="005D0D06">
        <w:rPr>
          <w:rFonts w:ascii="Times New Roman" w:hAnsi="Times New Roman" w:cs="Times New Roman" w:hint="eastAsia"/>
          <w:b/>
          <w:sz w:val="20"/>
          <w:szCs w:val="20"/>
        </w:rPr>
        <w:t>6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Treatment regimens and associated costs for patients with relapsed or refractory multiple myeloma.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Costs are given as $.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01"/>
        <w:gridCol w:w="3015"/>
        <w:gridCol w:w="1222"/>
        <w:gridCol w:w="1274"/>
        <w:gridCol w:w="1516"/>
      </w:tblGrid>
      <w:tr w:rsidR="00600F25">
        <w:tc>
          <w:tcPr>
            <w:tcW w:w="2235" w:type="dxa"/>
            <w:tcBorders>
              <w:bottom w:val="single" w:sz="4" w:space="0" w:color="000000" w:themeColor="text1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Regimen, cycle length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Drugs and dosing schedule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cost per day*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 cost per agent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600F25" w:rsidRDefault="00CF6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 cost /28 days costs</w:t>
            </w:r>
          </w:p>
        </w:tc>
      </w:tr>
      <w:tr w:rsidR="00600F25">
        <w:tc>
          <w:tcPr>
            <w:tcW w:w="2235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21 days [1]</w:t>
            </w:r>
          </w:p>
        </w:tc>
        <w:tc>
          <w:tcPr>
            <w:tcW w:w="5103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Bortezomib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1.3 mg/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1,4,8, and 11</w:t>
            </w:r>
          </w:p>
        </w:tc>
        <w:tc>
          <w:tcPr>
            <w:tcW w:w="1842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354.69</w:t>
            </w:r>
          </w:p>
        </w:tc>
        <w:tc>
          <w:tcPr>
            <w:tcW w:w="1985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1418.78</w:t>
            </w:r>
          </w:p>
        </w:tc>
        <w:tc>
          <w:tcPr>
            <w:tcW w:w="2551" w:type="dxa"/>
            <w:tcBorders>
              <w:top w:val="single" w:sz="4" w:space="0" w:color="000000" w:themeColor="text1"/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1422.12 /1896.16</w:t>
            </w: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Dexamethasone: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20mg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1,2,4,5,8,9,11, and 12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Rd, 28 days [2]</w:t>
            </w: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Lenalidomide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25mg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1-21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153.14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3215.90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3219.26 /3219.26</w:t>
            </w: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Dexamethasone: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40mg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1,8,15, and 22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21 days [3]</w:t>
            </w: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Bortezomib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1.3 mg/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1,4,8, and 11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354.69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1418.78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4638.04 /6184.05</w:t>
            </w: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Lenalidomide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25mg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1-14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153.14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3215.90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Dexamethasone: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40mg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1,4,8, and 11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VCd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28 days [4]</w:t>
            </w: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Bortezomib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1.5 mg/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1,8,15, and 22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409.26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1637.04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1885.76 /1885.76</w:t>
            </w: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Cycolphosphamide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300 mg/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1,8,15, and 22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61.34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245.36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Dexamethasone: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40mg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on days 1,8,15, and 22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28days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[2]</w:t>
            </w: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Carfilzomib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27 mg/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days 1,2 ,8,9,15 and 16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252.63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1515.80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4735.06 /4735.06</w:t>
            </w: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Lenalidomide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25 mg on days 1-21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153.14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3215.90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Dexamethasone: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40mg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days 1, 8, 15, and 22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-d,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28days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[5]</w:t>
            </w: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Pomalidomide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4mg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days 1-21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118.87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2496.29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2499.65 /2499.65</w:t>
            </w: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Dexamethasone: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40mg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days 1, 8, 15, and 22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600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F25">
        <w:tc>
          <w:tcPr>
            <w:tcW w:w="223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-M,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28days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[1]</w:t>
            </w:r>
          </w:p>
        </w:tc>
        <w:tc>
          <w:tcPr>
            <w:tcW w:w="5103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Daratumumab: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16mg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/kg on day 1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1809.60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1809.60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:rsidR="00600F25" w:rsidRDefault="00CF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1809.60 /1809.60</w:t>
            </w:r>
          </w:p>
        </w:tc>
      </w:tr>
    </w:tbl>
    <w:p w:rsidR="00600F25" w:rsidRDefault="00CF62A9">
      <w:pPr>
        <w:rPr>
          <w:rFonts w:ascii="Times New Roman" w:hAnsi="Times New Roman" w:cs="Times New Roman"/>
          <w:sz w:val="20"/>
          <w:szCs w:val="20"/>
        </w:rPr>
      </w:pPr>
      <w:bookmarkStart w:id="5" w:name="OLE_LINK3"/>
      <w:proofErr w:type="spellStart"/>
      <w:r>
        <w:rPr>
          <w:rFonts w:ascii="Times New Roman" w:hAnsi="Times New Roman" w:cs="Times New Roman"/>
          <w:sz w:val="20"/>
          <w:szCs w:val="20"/>
        </w:rPr>
        <w:t>POM</w:t>
      </w:r>
      <w:proofErr w:type="spellEnd"/>
      <w:r>
        <w:rPr>
          <w:rFonts w:ascii="Times New Roman" w:hAnsi="Times New Roman" w:cs="Times New Roman"/>
          <w:sz w:val="20"/>
          <w:szCs w:val="20"/>
        </w:rPr>
        <w:t>-d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pomalidomide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KRd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lenalidomid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VCd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bortezomib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cyclophosphamide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VRd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bortezomib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lenalidomid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 Rd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lenalidomide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dexamethasone;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Vd</w:t>
      </w:r>
      <w:proofErr w:type="spellEnd"/>
      <w:proofErr w:type="gramEnd"/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bortezomib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plus dexamethasone; </w:t>
      </w:r>
      <w:proofErr w:type="spellStart"/>
      <w:r>
        <w:rPr>
          <w:rFonts w:ascii="Times New Roman" w:hAnsi="Times New Roman" w:cs="Times New Roman"/>
          <w:sz w:val="20"/>
          <w:szCs w:val="20"/>
        </w:rPr>
        <w:t>DARA</w:t>
      </w:r>
      <w:proofErr w:type="spellEnd"/>
      <w:r>
        <w:rPr>
          <w:rFonts w:ascii="Times New Roman" w:hAnsi="Times New Roman" w:cs="Times New Roman"/>
          <w:sz w:val="20"/>
          <w:szCs w:val="20"/>
        </w:rPr>
        <w:t>-M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daratumumab </w:t>
      </w:r>
      <w:proofErr w:type="spellStart"/>
      <w:r>
        <w:rPr>
          <w:rFonts w:ascii="Times New Roman" w:hAnsi="Times New Roman" w:cs="Times New Roman"/>
          <w:sz w:val="20"/>
          <w:szCs w:val="20"/>
        </w:rPr>
        <w:t>monotherapy</w:t>
      </w:r>
      <w:bookmarkEnd w:id="5"/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600F25" w:rsidRDefault="00CF62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Source of cost: The big data service platform for China’s health industry. </w:t>
      </w:r>
      <w:proofErr w:type="spellStart"/>
      <w:r>
        <w:rPr>
          <w:rFonts w:ascii="Times New Roman" w:hAnsi="Times New Roman" w:cs="Times New Roman"/>
          <w:sz w:val="20"/>
          <w:szCs w:val="20"/>
        </w:rPr>
        <w:t>https://www.yaozh.com/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Accessed </w:t>
      </w:r>
      <w:r>
        <w:rPr>
          <w:rFonts w:ascii="Times New Roman" w:hAnsi="Times New Roman" w:cs="Times New Roman" w:hint="eastAsia"/>
          <w:sz w:val="20"/>
          <w:szCs w:val="20"/>
        </w:rPr>
        <w:t>November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, 202</w:t>
      </w:r>
      <w:r>
        <w:rPr>
          <w:rFonts w:ascii="Times New Roman" w:hAnsi="Times New Roman" w:cs="Times New Roman" w:hint="eastAsia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600F25" w:rsidRDefault="00CF62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[1] Palumbo A, </w:t>
      </w:r>
      <w:proofErr w:type="spellStart"/>
      <w:r>
        <w:rPr>
          <w:rFonts w:ascii="Times New Roman" w:hAnsi="Times New Roman" w:cs="Times New Roman"/>
          <w:sz w:val="20"/>
          <w:szCs w:val="20"/>
        </w:rPr>
        <w:t>Chanan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-Khan A, </w:t>
      </w:r>
      <w:proofErr w:type="spellStart"/>
      <w:r>
        <w:rPr>
          <w:rFonts w:ascii="Times New Roman" w:hAnsi="Times New Roman" w:cs="Times New Roman"/>
          <w:sz w:val="20"/>
          <w:szCs w:val="20"/>
        </w:rPr>
        <w:t>Weisel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K, et al. 2016.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Daratumumab, </w:t>
      </w:r>
      <w:proofErr w:type="spellStart"/>
      <w:r>
        <w:rPr>
          <w:rFonts w:ascii="Times New Roman" w:hAnsi="Times New Roman" w:cs="Times New Roman"/>
          <w:sz w:val="20"/>
          <w:szCs w:val="20"/>
        </w:rPr>
        <w:t>Bortezomib</w:t>
      </w:r>
      <w:proofErr w:type="spellEnd"/>
      <w:r>
        <w:rPr>
          <w:rFonts w:ascii="Times New Roman" w:hAnsi="Times New Roman" w:cs="Times New Roman"/>
          <w:sz w:val="20"/>
          <w:szCs w:val="20"/>
        </w:rPr>
        <w:t>, and Dexamethasone for Multiple Myeloma.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 </w:t>
      </w:r>
      <w:proofErr w:type="spellStart"/>
      <w:r>
        <w:rPr>
          <w:rFonts w:ascii="Times New Roman" w:hAnsi="Times New Roman" w:cs="Times New Roman"/>
          <w:sz w:val="20"/>
          <w:szCs w:val="20"/>
        </w:rPr>
        <w:t>Engl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 Med, 375(8): 754-766.</w:t>
      </w:r>
    </w:p>
    <w:p w:rsidR="00600F25" w:rsidRDefault="00CF62A9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[2]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Stewart AK,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Rajkumar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SV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Dimopoulos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MA, et al. 2015.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Carfilzomib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lenalidomide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, and dexamethasone for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relapsed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multiple myeloma. </w:t>
      </w:r>
      <w:r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 xml:space="preserve">N </w:t>
      </w:r>
      <w:proofErr w:type="spellStart"/>
      <w:r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Engl</w:t>
      </w:r>
      <w:proofErr w:type="spellEnd"/>
      <w:r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 xml:space="preserve"> J Med</w:t>
      </w:r>
      <w:r>
        <w:rPr>
          <w:rFonts w:ascii="Times New Roman" w:hAnsi="Times New Roman" w:cs="Times New Roman"/>
          <w:kern w:val="0"/>
          <w:sz w:val="20"/>
          <w:szCs w:val="20"/>
        </w:rPr>
        <w:t>, 372(2): 142-152.</w:t>
      </w:r>
    </w:p>
    <w:p w:rsidR="00600F25" w:rsidRDefault="00CF62A9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[3] Richardson PG,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Xie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W,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Jagannath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S, et al.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 xml:space="preserve">A phase 2 trial of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lenalidomide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bortezomib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, and dexamethasone in patients with relapsed and relapsed/refractory myeloma.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Blood.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2014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;123:1461e1469</w:t>
      </w:r>
      <w:proofErr w:type="spellEnd"/>
      <w:proofErr w:type="gramEnd"/>
    </w:p>
    <w:p w:rsidR="00600F25" w:rsidRDefault="00CF62A9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[4] Kumar S,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Flinn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I, Richardson PG, et al. Randomized, multicenter, phase 2 study (EVOLUTION) of combinations of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bortezomib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, dexamethasone,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cyclophosphamide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, and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lenalidomide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in previously untreated multiple myeloma.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Blood.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2012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;119:4375e4382</w:t>
      </w:r>
      <w:proofErr w:type="spellEnd"/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600F25" w:rsidRDefault="00CF62A9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[5] San Miguel J,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Weisel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K, Moreau P, et al.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Pomalidomide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plus low-dose dexamethasone versus high-dose dexamethasone alone for patients with relapsed and refractory multiple myeloma (MM-003): a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randomised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, open-label, phase 3 trial.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 xml:space="preserve">Lancet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Oncol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2013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</w:rPr>
        <w:t>;14:1055e1066</w:t>
      </w:r>
      <w:proofErr w:type="spellEnd"/>
      <w:proofErr w:type="gramEnd"/>
      <w:r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600F25" w:rsidRDefault="00600F25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5D0D06" w:rsidRDefault="005D0D06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5D0D06" w:rsidRDefault="005D0D06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5D0D06" w:rsidRDefault="005D0D06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5D0D06" w:rsidRDefault="005D0D06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5D0D06" w:rsidRDefault="005D0D06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600F25" w:rsidRDefault="00CF62A9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r w:rsidR="005D0D06">
        <w:rPr>
          <w:rFonts w:ascii="Times New Roman" w:hAnsi="Times New Roman" w:cs="Times New Roman" w:hint="eastAsia"/>
          <w:b/>
          <w:sz w:val="20"/>
          <w:szCs w:val="20"/>
        </w:rPr>
        <w:t>7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Start w:id="6" w:name="OLE_LINK5"/>
      <w:r>
        <w:rPr>
          <w:rFonts w:ascii="Times New Roman" w:hAnsi="Times New Roman" w:cs="Times New Roman" w:hint="eastAsia"/>
          <w:sz w:val="20"/>
          <w:szCs w:val="20"/>
        </w:rPr>
        <w:t xml:space="preserve">Cycle cost estimated of subsequent therapies </w:t>
      </w:r>
      <w:r>
        <w:rPr>
          <w:rFonts w:ascii="Times New Roman" w:hAnsi="Times New Roman" w:cs="Times New Roman"/>
          <w:sz w:val="20"/>
          <w:szCs w:val="20"/>
        </w:rPr>
        <w:t>for initial treatment received</w:t>
      </w:r>
      <w:bookmarkEnd w:id="6"/>
      <w:r>
        <w:rPr>
          <w:rFonts w:ascii="Times New Roman" w:hAnsi="Times New Roman" w:cs="Times New Roman" w:hint="eastAsia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Costs are given as $.</w:t>
      </w:r>
    </w:p>
    <w:tbl>
      <w:tblPr>
        <w:tblStyle w:val="a7"/>
        <w:tblW w:w="852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52"/>
        <w:gridCol w:w="1425"/>
        <w:gridCol w:w="1391"/>
        <w:gridCol w:w="1385"/>
        <w:gridCol w:w="284"/>
        <w:gridCol w:w="141"/>
        <w:gridCol w:w="1418"/>
        <w:gridCol w:w="1332"/>
      </w:tblGrid>
      <w:tr w:rsidR="00600F25">
        <w:tc>
          <w:tcPr>
            <w:tcW w:w="1152" w:type="dxa"/>
            <w:vMerge w:val="restart"/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Regimen</w:t>
            </w:r>
          </w:p>
        </w:tc>
        <w:tc>
          <w:tcPr>
            <w:tcW w:w="1425" w:type="dxa"/>
            <w:vMerge w:val="restart"/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Regimen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cost</w:t>
            </w:r>
          </w:p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days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277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Reassigned percentages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）</w:t>
            </w:r>
          </w:p>
        </w:tc>
        <w:tc>
          <w:tcPr>
            <w:tcW w:w="284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1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Reassigned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cost</w:t>
            </w:r>
          </w:p>
        </w:tc>
      </w:tr>
      <w:tr w:rsidR="00600F25">
        <w:tc>
          <w:tcPr>
            <w:tcW w:w="115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Post-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KdD</w:t>
            </w:r>
            <w:proofErr w:type="spellEnd"/>
          </w:p>
        </w:tc>
        <w:tc>
          <w:tcPr>
            <w:tcW w:w="1385" w:type="dxa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Post-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284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Post-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KdD</w:t>
            </w:r>
            <w:proofErr w:type="spellEnd"/>
          </w:p>
        </w:tc>
        <w:tc>
          <w:tcPr>
            <w:tcW w:w="1332" w:type="dxa"/>
            <w:tcBorders>
              <w:bottom w:val="single" w:sz="4" w:space="0" w:color="000000" w:themeColor="text1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Post-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Kd</w:t>
            </w:r>
            <w:proofErr w:type="spellEnd"/>
          </w:p>
        </w:tc>
      </w:tr>
      <w:tr w:rsidR="00600F25">
        <w:tc>
          <w:tcPr>
            <w:tcW w:w="1152" w:type="dxa"/>
            <w:tcBorders>
              <w:top w:val="single" w:sz="4" w:space="0" w:color="000000" w:themeColor="text1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Vd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 w:themeColor="text1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1896.16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5.31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3.69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100.69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nil"/>
              <w:bottom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69.98</w:t>
            </w:r>
          </w:p>
        </w:tc>
      </w:tr>
      <w:tr w:rsidR="00600F25">
        <w:tc>
          <w:tcPr>
            <w:tcW w:w="1152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Rd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3219.26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5.31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170.96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118.81</w:t>
            </w:r>
          </w:p>
        </w:tc>
      </w:tr>
      <w:tr w:rsidR="00600F25">
        <w:tc>
          <w:tcPr>
            <w:tcW w:w="1152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VRd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6184.05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5.31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328.40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228.22</w:t>
            </w:r>
          </w:p>
        </w:tc>
      </w:tr>
      <w:tr w:rsidR="00600F25">
        <w:tc>
          <w:tcPr>
            <w:tcW w:w="1152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VCd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1885.76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5.31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100.14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69.59</w:t>
            </w:r>
          </w:p>
        </w:tc>
      </w:tr>
      <w:tr w:rsidR="00600F25">
        <w:tc>
          <w:tcPr>
            <w:tcW w:w="1152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KRd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4735.06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13.28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628.63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436.87</w:t>
            </w:r>
          </w:p>
        </w:tc>
      </w:tr>
      <w:tr w:rsidR="00600F25">
        <w:tc>
          <w:tcPr>
            <w:tcW w:w="1152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-d,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2499.65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50.45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1261.06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876.37</w:t>
            </w:r>
          </w:p>
        </w:tc>
      </w:tr>
      <w:tr w:rsidR="00600F25">
        <w:tc>
          <w:tcPr>
            <w:tcW w:w="1152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-M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1809.60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15.03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272.03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741.07</w:t>
            </w:r>
          </w:p>
        </w:tc>
      </w:tr>
      <w:tr w:rsidR="00600F25">
        <w:tc>
          <w:tcPr>
            <w:tcW w:w="1152" w:type="dxa"/>
            <w:tcBorders>
              <w:top w:val="nil"/>
              <w:bottom w:val="single" w:sz="4" w:space="0" w:color="000000" w:themeColor="text1"/>
              <w:right w:val="nil"/>
              <w:tl2br w:val="nil"/>
              <w:tr2bl w:val="nil"/>
            </w:tcBorders>
          </w:tcPr>
          <w:p w:rsidR="00600F25" w:rsidRDefault="00600F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 w:themeColor="text1"/>
              <w:right w:val="nil"/>
              <w:tl2br w:val="nil"/>
              <w:tr2bl w:val="nil"/>
            </w:tcBorders>
            <w:vAlign w:val="center"/>
          </w:tcPr>
          <w:p w:rsidR="00600F25" w:rsidRDefault="00600F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  <w:tl2br w:val="nil"/>
              <w:tr2bl w:val="nil"/>
            </w:tcBorders>
          </w:tcPr>
          <w:p w:rsidR="00600F25" w:rsidRDefault="00CF62A9" w:rsidP="008D575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Total </w:t>
            </w:r>
            <w:r w:rsidR="008D575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weighted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cost, /28 days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2,862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 w:themeColor="text1"/>
              <w:tl2br w:val="nil"/>
              <w:tr2bl w:val="nil"/>
            </w:tcBorders>
            <w:vAlign w:val="center"/>
          </w:tcPr>
          <w:p w:rsidR="00600F25" w:rsidRDefault="00CF62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2,541</w:t>
            </w:r>
          </w:p>
        </w:tc>
      </w:tr>
    </w:tbl>
    <w:p w:rsidR="004A1EA8" w:rsidRDefault="004A1EA8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5D0D06" w:rsidRDefault="005D0D06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600F25" w:rsidRDefault="00600F25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  <w:sectPr w:rsidR="00600F25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FE50D9" w:rsidRDefault="00FE50D9" w:rsidP="00FE50D9">
      <w:pPr>
        <w:rPr>
          <w:rFonts w:ascii="Times New Roman" w:hAnsi="Times New Roman" w:cs="Times New Roman"/>
          <w:sz w:val="20"/>
          <w:szCs w:val="20"/>
        </w:rPr>
      </w:pPr>
      <w:bookmarkStart w:id="7" w:name="OLE_LINK10"/>
      <w:bookmarkStart w:id="8" w:name="OLE_LINK11"/>
      <w:proofErr w:type="gramStart"/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Figure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sz w:val="20"/>
          <w:szCs w:val="20"/>
        </w:rPr>
        <w:t>3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bookmarkEnd w:id="7"/>
      <w:bookmarkEnd w:id="8"/>
      <w:r>
        <w:rPr>
          <w:rFonts w:ascii="Times New Roman" w:hAnsi="Times New Roman" w:cs="Times New Roman"/>
          <w:sz w:val="20"/>
          <w:szCs w:val="20"/>
        </w:rPr>
        <w:t>Cost-effectiveness acceptability curves.</w:t>
      </w:r>
    </w:p>
    <w:p w:rsidR="00FE50D9" w:rsidRDefault="00FE50D9" w:rsidP="00FE50D9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FE50D9" w:rsidRDefault="00FE50D9" w:rsidP="00FE50D9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8242300" cy="4460875"/>
            <wp:effectExtent l="19050" t="0" r="6350" b="0"/>
            <wp:docPr id="2" name="图片 1" descr="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Figure S2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864" cy="446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0D9" w:rsidRDefault="00FE50D9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p w:rsidR="00FE50D9" w:rsidRDefault="00FE50D9" w:rsidP="00FE50D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Figure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r w:rsidR="001F0CD9">
        <w:rPr>
          <w:rFonts w:ascii="Times New Roman" w:hAnsi="Times New Roman" w:cs="Times New Roman" w:hint="eastAsia"/>
          <w:b/>
          <w:sz w:val="20"/>
          <w:szCs w:val="20"/>
        </w:rPr>
        <w:t>4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FE50D9">
        <w:rPr>
          <w:rFonts w:ascii="Times New Roman" w:hAnsi="Times New Roman" w:cs="Times New Roman" w:hint="eastAsia"/>
          <w:sz w:val="20"/>
          <w:szCs w:val="20"/>
        </w:rPr>
        <w:t xml:space="preserve">Acceptability </w:t>
      </w:r>
      <w:r>
        <w:rPr>
          <w:rFonts w:ascii="Times New Roman" w:hAnsi="Times New Roman" w:cs="Times New Roman" w:hint="eastAsia"/>
          <w:sz w:val="20"/>
          <w:szCs w:val="20"/>
        </w:rPr>
        <w:t xml:space="preserve">curves show the effects of prices on the probability of cost-effectiveness.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KdD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daratumumab plus </w:t>
      </w:r>
      <w:proofErr w:type="spellStart"/>
      <w:r>
        <w:rPr>
          <w:rFonts w:ascii="Times New Roman" w:hAnsi="Times New Roman" w:cs="Times New Roman"/>
          <w:sz w:val="20"/>
          <w:szCs w:val="20"/>
        </w:rPr>
        <w:t>carfilzomid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dexamethasone;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QALY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quality-adjusted life-year;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WTP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, willingness to pay.</w:t>
      </w:r>
      <w:proofErr w:type="gramEnd"/>
    </w:p>
    <w:p w:rsidR="00FE50D9" w:rsidRPr="00FE50D9" w:rsidRDefault="00FE50D9" w:rsidP="00FE50D9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FE50D9" w:rsidRDefault="00FE50D9" w:rsidP="00FE50D9">
      <w:pPr>
        <w:widowControl/>
        <w:jc w:val="center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noProof/>
          <w:kern w:val="0"/>
          <w:sz w:val="20"/>
          <w:szCs w:val="20"/>
        </w:rPr>
        <w:drawing>
          <wp:inline distT="0" distB="0" distL="0" distR="0">
            <wp:extent cx="7569200" cy="4531044"/>
            <wp:effectExtent l="19050" t="0" r="0" b="0"/>
            <wp:docPr id="7" name="图片 6" descr="Figure 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53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p w:rsidR="00FE50D9" w:rsidRDefault="00FE50D9" w:rsidP="00FE50D9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Figure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sz w:val="20"/>
          <w:szCs w:val="20"/>
        </w:rPr>
        <w:t>5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Two-way sensitivity analysis on utilities of stable disease and progressed disease</w:t>
      </w:r>
    </w:p>
    <w:p w:rsidR="00FE50D9" w:rsidRDefault="00FE50D9" w:rsidP="00FE50D9">
      <w:pPr>
        <w:rPr>
          <w:rFonts w:ascii="Times New Roman" w:hAnsi="Times New Roman" w:cs="Times New Roman"/>
          <w:b/>
          <w:sz w:val="20"/>
          <w:szCs w:val="20"/>
        </w:rPr>
      </w:pPr>
    </w:p>
    <w:p w:rsidR="00FE50D9" w:rsidRDefault="00FE50D9" w:rsidP="00FE50D9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265545" cy="3524250"/>
            <wp:effectExtent l="19050" t="0" r="1817" b="0"/>
            <wp:docPr id="5" name="图片 5" descr="Figure S3. 2-Way Sensi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Figure S3. 2-Way Sensitivity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059" cy="352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960" w:rsidRDefault="00FE50D9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  <w:sectPr w:rsidR="00002960" w:rsidSect="00600F2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:rsidR="00002960" w:rsidRPr="00002960" w:rsidRDefault="00002960" w:rsidP="0086566C">
      <w:pPr>
        <w:widowControl/>
        <w:spacing w:afterLines="50"/>
        <w:jc w:val="left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0296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proofErr w:type="spellStart"/>
      <w:r w:rsidRPr="00002960">
        <w:rPr>
          <w:rFonts w:ascii="Times New Roman" w:hAnsi="Times New Roman" w:cs="Times New Roman"/>
          <w:b/>
          <w:sz w:val="20"/>
          <w:szCs w:val="20"/>
        </w:rPr>
        <w:t>S8</w:t>
      </w:r>
      <w:proofErr w:type="spellEnd"/>
      <w:r w:rsidRPr="00002960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002960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002960">
        <w:rPr>
          <w:rFonts w:ascii="Times New Roman" w:hAnsi="Times New Roman" w:cs="Times New Roman"/>
          <w:sz w:val="20"/>
          <w:szCs w:val="20"/>
        </w:rPr>
        <w:t>CHEERS 2022 Checklist</w:t>
      </w:r>
      <w:bookmarkStart w:id="9" w:name="cheers-2022-checklist"/>
    </w:p>
    <w:tbl>
      <w:tblPr>
        <w:tblW w:w="0" w:type="auto"/>
        <w:jc w:val="center"/>
        <w:tblLook w:val="04A0"/>
      </w:tblPr>
      <w:tblGrid>
        <w:gridCol w:w="2345"/>
        <w:gridCol w:w="465"/>
        <w:gridCol w:w="3720"/>
        <w:gridCol w:w="2516"/>
      </w:tblGrid>
      <w:tr w:rsidR="00002960" w:rsidRPr="00002960" w:rsidTr="0055073F">
        <w:trPr>
          <w:cantSplit/>
          <w:trHeight w:val="360"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FFFFFF"/>
                <w:kern w:val="0"/>
                <w:sz w:val="18"/>
                <w:szCs w:val="18"/>
                <w:lang w:eastAsia="en-US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FFFFFF"/>
                <w:kern w:val="0"/>
                <w:sz w:val="18"/>
                <w:szCs w:val="18"/>
                <w:lang w:eastAsia="en-US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FFFFFF"/>
                <w:kern w:val="0"/>
                <w:sz w:val="18"/>
                <w:szCs w:val="18"/>
                <w:lang w:eastAsia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FFFFFF"/>
                <w:kern w:val="0"/>
                <w:sz w:val="18"/>
                <w:szCs w:val="18"/>
                <w:lang w:eastAsia="en-US"/>
              </w:rPr>
              <w:t>Location where item is reported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Title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Identify the study as an economic evaluation and specify the interventions being compared.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Title, Row 1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Abstract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Provide a structured summary that highlights context, key methods, results, and alternative analyses.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Abstract, Row 15-32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Introduction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Background and objectives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Introduction, Row 73-75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Methods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Health economic analysis plan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Indicate whether a health economic analysis plan was developed and where available.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Methodological design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Study population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Model Patients and intervention  section of Material and methods,  Supplemental table </w:t>
            </w:r>
            <w:proofErr w:type="spellStart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S1</w:t>
            </w:r>
            <w:proofErr w:type="spellEnd"/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Setting and location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Provide relevant contextual information that may influence findings.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Model structure section of 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Comparators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the interventions or strategies being compared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Model Patients and intervention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Perspective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State the perspective(s) adopted by the study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Model structure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Time horizon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State the time horizon for the study and why appropriate.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Model structure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Discount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Report the discount rate(s) and reason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Methodological design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Selection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what outcomes were used as the measure(s) of benefit(s) and harm(s).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Methodological design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lastRenderedPageBreak/>
              <w:t>Measurement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how outcomes used to capture benefit(s) and harm(s) were measured.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Methodological design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Valuation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the population and methods used to measure and value outcomes.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Model Patients and intervention 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Measurement and valuation of resources and costs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how costs were valued.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Cost estimates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Currency, price date, and conversion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Report the dates of the estimated resource quantities and unit costs, plus the currency and year of conversion.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Cost estimates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Rationale and description of model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If </w:t>
            </w:r>
            <w:proofErr w:type="spellStart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modelling</w:t>
            </w:r>
            <w:proofErr w:type="spellEnd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 is used, describe in detail and why used. Report if the model is publicly available and where it can be accessed.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Model structure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Analytics and assumptions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Describe any methods for </w:t>
            </w:r>
            <w:proofErr w:type="spellStart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analysing</w:t>
            </w:r>
            <w:proofErr w:type="spellEnd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 or statistically transforming data, any extrapolation methods, and approaches for validating any model used.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Model structure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Characterising</w:t>
            </w:r>
            <w:proofErr w:type="spellEnd"/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 xml:space="preserve"> heterogeneity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any methods used for estimating how the results of the study vary for subgroups.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Not reported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Characterising</w:t>
            </w:r>
            <w:proofErr w:type="spellEnd"/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 xml:space="preserve"> distributional effects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Sensitivity analyses section of Material and methods, Table 1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Characterising</w:t>
            </w:r>
            <w:proofErr w:type="spellEnd"/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 xml:space="preserve">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Describe methods to </w:t>
            </w:r>
            <w:proofErr w:type="spellStart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characterise</w:t>
            </w:r>
            <w:proofErr w:type="spellEnd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 any sources of uncertainty in the analysis.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Sensitivity analyses section of Material and methods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Approach to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Not applicable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Results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Study parameters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Report all analytic inputs (such as values, ranges, references) including uncertainty or distributional assumptions.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Sensitivity analyses section of  Material and methods, Table 1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lastRenderedPageBreak/>
              <w:t>Summary of main results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Report the mean values for the main categories of costs and outcomes of interest and </w:t>
            </w:r>
            <w:proofErr w:type="spellStart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summarise</w:t>
            </w:r>
            <w:proofErr w:type="spellEnd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 them in the most appropriate overall measure.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Base-case results section of Results, Table 2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Effect of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Describe how </w:t>
            </w:r>
            <w:proofErr w:type="gramStart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uncertainty about analytic judgments, inputs, or projections affect</w:t>
            </w:r>
            <w:proofErr w:type="gramEnd"/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 xml:space="preserve"> findings. Report the effect of choice of discount rate and time horizon, if applicable.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Sensitivity analyses results section of Results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Effect of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Report on any difference patient/service recipient, general public, community, or stakeholder involvement made to the approach or findings of the study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Not applicable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Discussion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 xml:space="preserve">Study findings, limitations, </w:t>
            </w:r>
            <w:proofErr w:type="spellStart"/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generalisability</w:t>
            </w:r>
            <w:proofErr w:type="spellEnd"/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, and current knowledge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Report key findings, limitations, ethical or equity considerations not captured, and how these could affect patients, policy,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Discussion section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Other relevant information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Source of funding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Describe how the study was funded and any role of the funder in the identification, design, conduct, and reporting of the analysis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Funding section</w:t>
            </w:r>
          </w:p>
        </w:tc>
      </w:tr>
      <w:tr w:rsidR="00002960" w:rsidRPr="00002960" w:rsidTr="0055073F">
        <w:trPr>
          <w:cantSplit/>
          <w:trHeight w:val="360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b/>
                <w:color w:val="000000"/>
                <w:kern w:val="0"/>
                <w:sz w:val="18"/>
                <w:szCs w:val="18"/>
                <w:lang w:eastAsia="en-US"/>
              </w:rPr>
              <w:t>Conflicts of interest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960" w:rsidRPr="00002960" w:rsidRDefault="00002960" w:rsidP="00002960">
            <w:pPr>
              <w:widowControl/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  <w:kern w:val="0"/>
                <w:sz w:val="24"/>
                <w:szCs w:val="24"/>
                <w:lang w:eastAsia="en-US"/>
              </w:rPr>
            </w:pPr>
            <w:r w:rsidRPr="00002960">
              <w:rPr>
                <w:rFonts w:ascii="DejaVu Sans" w:eastAsia="DejaVu Sans" w:hAnsi="DejaVu Sans" w:cs="DejaVu Sans"/>
                <w:color w:val="000000"/>
                <w:kern w:val="0"/>
                <w:sz w:val="18"/>
                <w:szCs w:val="18"/>
                <w:lang w:eastAsia="en-US"/>
              </w:rPr>
              <w:t>Competing interests section</w:t>
            </w:r>
          </w:p>
        </w:tc>
      </w:tr>
    </w:tbl>
    <w:p w:rsidR="00002960" w:rsidRDefault="00002960" w:rsidP="00002960">
      <w:pPr>
        <w:pStyle w:val="FirstParagraph"/>
        <w:rPr>
          <w:lang w:eastAsia="zh-CN"/>
        </w:rPr>
      </w:pPr>
    </w:p>
    <w:bookmarkEnd w:id="9"/>
    <w:p w:rsidR="00002960" w:rsidRDefault="00832E84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832E84">
        <w:rPr>
          <w:rFonts w:ascii="Cambria" w:eastAsia="宋体" w:hAnsi="Cambria" w:cs="Times New Roman"/>
          <w:i/>
          <w:iCs/>
          <w:kern w:val="0"/>
          <w:sz w:val="24"/>
          <w:szCs w:val="24"/>
          <w:lang w:eastAsia="en-US"/>
        </w:rPr>
        <w:t>From:</w:t>
      </w:r>
      <w:r w:rsidRPr="00832E84">
        <w:rPr>
          <w:rFonts w:ascii="Cambria" w:eastAsia="宋体" w:hAnsi="Cambria" w:cs="Times New Roman"/>
          <w:kern w:val="0"/>
          <w:sz w:val="24"/>
          <w:szCs w:val="24"/>
          <w:lang w:eastAsia="en-US"/>
        </w:rPr>
        <w:t xml:space="preserve"> </w:t>
      </w:r>
      <w:proofErr w:type="spellStart"/>
      <w:r w:rsidRPr="00832E84">
        <w:rPr>
          <w:rFonts w:ascii="Cambria" w:eastAsia="宋体" w:hAnsi="Cambria" w:cs="Times New Roman"/>
          <w:kern w:val="0"/>
          <w:sz w:val="24"/>
          <w:szCs w:val="24"/>
          <w:lang w:eastAsia="en-US"/>
        </w:rPr>
        <w:t>Husereau</w:t>
      </w:r>
      <w:proofErr w:type="spellEnd"/>
      <w:r w:rsidRPr="00832E84">
        <w:rPr>
          <w:rFonts w:ascii="Cambria" w:eastAsia="宋体" w:hAnsi="Cambria" w:cs="Times New Roman"/>
          <w:kern w:val="0"/>
          <w:sz w:val="24"/>
          <w:szCs w:val="24"/>
          <w:lang w:eastAsia="en-US"/>
        </w:rPr>
        <w:t xml:space="preserve"> D, Dr</w:t>
      </w:r>
      <w:r>
        <w:rPr>
          <w:rFonts w:ascii="Cambria" w:eastAsia="宋体" w:hAnsi="Cambria" w:cs="Times New Roman"/>
          <w:kern w:val="0"/>
          <w:sz w:val="24"/>
          <w:szCs w:val="24"/>
          <w:lang w:eastAsia="en-US"/>
        </w:rPr>
        <w:t xml:space="preserve">ummond M, </w:t>
      </w:r>
      <w:proofErr w:type="spellStart"/>
      <w:r>
        <w:rPr>
          <w:rFonts w:ascii="Cambria" w:eastAsia="宋体" w:hAnsi="Cambria" w:cs="Times New Roman"/>
          <w:kern w:val="0"/>
          <w:sz w:val="24"/>
          <w:szCs w:val="24"/>
          <w:lang w:eastAsia="en-US"/>
        </w:rPr>
        <w:t>Augustovski</w:t>
      </w:r>
      <w:proofErr w:type="spellEnd"/>
      <w:r>
        <w:rPr>
          <w:rFonts w:ascii="Cambria" w:eastAsia="宋体" w:hAnsi="Cambria" w:cs="Times New Roman"/>
          <w:kern w:val="0"/>
          <w:sz w:val="24"/>
          <w:szCs w:val="24"/>
          <w:lang w:eastAsia="en-US"/>
        </w:rPr>
        <w:t xml:space="preserve"> F, et al.</w:t>
      </w:r>
      <w:r>
        <w:rPr>
          <w:rFonts w:ascii="Cambria" w:eastAsia="宋体" w:hAnsi="Cambria" w:cs="Times New Roman" w:hint="eastAsia"/>
          <w:kern w:val="0"/>
          <w:sz w:val="24"/>
          <w:szCs w:val="24"/>
        </w:rPr>
        <w:t xml:space="preserve"> </w:t>
      </w:r>
      <w:r w:rsidRPr="00832E84">
        <w:rPr>
          <w:rFonts w:ascii="Cambria" w:eastAsia="宋体" w:hAnsi="Cambria" w:cs="Times New Roman"/>
          <w:kern w:val="0"/>
          <w:sz w:val="24"/>
          <w:szCs w:val="24"/>
          <w:lang w:eastAsia="en-US"/>
        </w:rPr>
        <w:t xml:space="preserve">Consolidated Health Economic Evaluation Reporting Standards 2022 (CHEERS 2022) Explanation and Elaboration: A Report of the </w:t>
      </w:r>
      <w:proofErr w:type="spellStart"/>
      <w:r w:rsidRPr="00832E84">
        <w:rPr>
          <w:rFonts w:ascii="Cambria" w:eastAsia="宋体" w:hAnsi="Cambria" w:cs="Times New Roman"/>
          <w:kern w:val="0"/>
          <w:sz w:val="24"/>
          <w:szCs w:val="24"/>
          <w:lang w:eastAsia="en-US"/>
        </w:rPr>
        <w:t>ISPOR</w:t>
      </w:r>
      <w:proofErr w:type="spellEnd"/>
      <w:r w:rsidRPr="00832E84">
        <w:rPr>
          <w:rFonts w:ascii="Cambria" w:eastAsia="宋体" w:hAnsi="Cambria" w:cs="Times New Roman"/>
          <w:kern w:val="0"/>
          <w:sz w:val="24"/>
          <w:szCs w:val="24"/>
          <w:lang w:eastAsia="en-US"/>
        </w:rPr>
        <w:t xml:space="preserve"> CHEERS II Good Practices Task Force. Value Health 2022</w:t>
      </w:r>
      <w:proofErr w:type="gramStart"/>
      <w:r w:rsidRPr="00832E84">
        <w:rPr>
          <w:rFonts w:ascii="Cambria" w:eastAsia="宋体" w:hAnsi="Cambria" w:cs="Times New Roman"/>
          <w:kern w:val="0"/>
          <w:sz w:val="24"/>
          <w:szCs w:val="24"/>
          <w:lang w:eastAsia="en-US"/>
        </w:rPr>
        <w:t>;25</w:t>
      </w:r>
      <w:proofErr w:type="gramEnd"/>
      <w:r w:rsidRPr="00832E84">
        <w:rPr>
          <w:rFonts w:ascii="Cambria" w:eastAsia="宋体" w:hAnsi="Cambria" w:cs="Times New Roman"/>
          <w:kern w:val="0"/>
          <w:sz w:val="24"/>
          <w:szCs w:val="24"/>
          <w:lang w:eastAsia="en-US"/>
        </w:rPr>
        <w:t xml:space="preserve">. </w:t>
      </w:r>
      <w:hyperlink r:id="rId16">
        <w:proofErr w:type="spellStart"/>
        <w:r w:rsidRPr="00832E84">
          <w:rPr>
            <w:rFonts w:ascii="Cambria" w:eastAsia="宋体" w:hAnsi="Cambria" w:cs="Times New Roman"/>
            <w:color w:val="4F81BD"/>
            <w:kern w:val="0"/>
            <w:sz w:val="24"/>
            <w:szCs w:val="24"/>
            <w:lang w:eastAsia="en-US"/>
          </w:rPr>
          <w:t>doi:10.1016</w:t>
        </w:r>
        <w:proofErr w:type="spellEnd"/>
        <w:r w:rsidRPr="00832E84">
          <w:rPr>
            <w:rFonts w:ascii="Cambria" w:eastAsia="宋体" w:hAnsi="Cambria" w:cs="Times New Roman"/>
            <w:color w:val="4F81BD"/>
            <w:kern w:val="0"/>
            <w:sz w:val="24"/>
            <w:szCs w:val="24"/>
            <w:lang w:eastAsia="en-US"/>
          </w:rPr>
          <w:t>/</w:t>
        </w:r>
        <w:proofErr w:type="spellStart"/>
        <w:r w:rsidRPr="00832E84">
          <w:rPr>
            <w:rFonts w:ascii="Cambria" w:eastAsia="宋体" w:hAnsi="Cambria" w:cs="Times New Roman"/>
            <w:color w:val="4F81BD"/>
            <w:kern w:val="0"/>
            <w:sz w:val="24"/>
            <w:szCs w:val="24"/>
            <w:lang w:eastAsia="en-US"/>
          </w:rPr>
          <w:t>j.jval.2021.10.008</w:t>
        </w:r>
        <w:proofErr w:type="spellEnd"/>
      </w:hyperlink>
    </w:p>
    <w:p w:rsidR="00002960" w:rsidRDefault="00002960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:rsidR="00002960" w:rsidRDefault="00002960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sectPr w:rsidR="00002960" w:rsidSect="00002960">
      <w:pgSz w:w="11906" w:h="16838"/>
      <w:pgMar w:top="1440" w:right="1440" w:bottom="1440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1D8" w:rsidRDefault="003A51D8" w:rsidP="00600F25">
      <w:r>
        <w:separator/>
      </w:r>
    </w:p>
  </w:endnote>
  <w:endnote w:type="continuationSeparator" w:id="0">
    <w:p w:rsidR="003A51D8" w:rsidRDefault="003A51D8" w:rsidP="00600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ardianSans-Medium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haker2Lancet-Regular">
    <w:altName w:val="Segoe Print"/>
    <w:charset w:val="00"/>
    <w:family w:val="auto"/>
    <w:pitch w:val="default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DE" w:rsidRDefault="00887E14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923DDE" w:rsidRDefault="00887E14">
                <w:pPr>
                  <w:pStyle w:val="a5"/>
                </w:pPr>
                <w:fldSimple w:instr=" PAGE  \* MERGEFORMAT ">
                  <w:r w:rsidR="0086566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1D8" w:rsidRDefault="003A51D8" w:rsidP="00600F25">
      <w:r>
        <w:separator/>
      </w:r>
    </w:p>
  </w:footnote>
  <w:footnote w:type="continuationSeparator" w:id="0">
    <w:p w:rsidR="003A51D8" w:rsidRDefault="003A51D8" w:rsidP="00600F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DE" w:rsidRDefault="00923DDE">
    <w:pPr>
      <w:pStyle w:val="a6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DE" w:rsidRDefault="00923DDE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4818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hkZWUwMmI0MmY0MGJhYWRhMjcwYTYyYzdjZjAxM2QifQ=="/>
  </w:docVars>
  <w:rsids>
    <w:rsidRoot w:val="00934D39"/>
    <w:rsid w:val="00002960"/>
    <w:rsid w:val="00007431"/>
    <w:rsid w:val="000119CE"/>
    <w:rsid w:val="000124E4"/>
    <w:rsid w:val="00013FD2"/>
    <w:rsid w:val="0002369A"/>
    <w:rsid w:val="0003000D"/>
    <w:rsid w:val="000360CF"/>
    <w:rsid w:val="0009298D"/>
    <w:rsid w:val="000A03A1"/>
    <w:rsid w:val="000B178E"/>
    <w:rsid w:val="000F4B15"/>
    <w:rsid w:val="000F4E5A"/>
    <w:rsid w:val="00106435"/>
    <w:rsid w:val="00106F4B"/>
    <w:rsid w:val="00117744"/>
    <w:rsid w:val="0013565B"/>
    <w:rsid w:val="00141F05"/>
    <w:rsid w:val="00147367"/>
    <w:rsid w:val="00157AA1"/>
    <w:rsid w:val="00164A17"/>
    <w:rsid w:val="00173863"/>
    <w:rsid w:val="00191531"/>
    <w:rsid w:val="001A39BF"/>
    <w:rsid w:val="001C2B5E"/>
    <w:rsid w:val="001D6BE7"/>
    <w:rsid w:val="001E3F79"/>
    <w:rsid w:val="001F0CD9"/>
    <w:rsid w:val="001F3B73"/>
    <w:rsid w:val="0020374B"/>
    <w:rsid w:val="00203AD0"/>
    <w:rsid w:val="00211D89"/>
    <w:rsid w:val="00212FCD"/>
    <w:rsid w:val="00220165"/>
    <w:rsid w:val="00220E49"/>
    <w:rsid w:val="002215CA"/>
    <w:rsid w:val="002621E9"/>
    <w:rsid w:val="00262D35"/>
    <w:rsid w:val="00274478"/>
    <w:rsid w:val="002903FE"/>
    <w:rsid w:val="002B2108"/>
    <w:rsid w:val="002B4291"/>
    <w:rsid w:val="002E492B"/>
    <w:rsid w:val="002F3040"/>
    <w:rsid w:val="003037AB"/>
    <w:rsid w:val="0032295C"/>
    <w:rsid w:val="00346E3A"/>
    <w:rsid w:val="00374A66"/>
    <w:rsid w:val="00380EE0"/>
    <w:rsid w:val="00396C6D"/>
    <w:rsid w:val="003A0980"/>
    <w:rsid w:val="003A51D8"/>
    <w:rsid w:val="003B01F8"/>
    <w:rsid w:val="003B5C50"/>
    <w:rsid w:val="003B6B92"/>
    <w:rsid w:val="003B7DBB"/>
    <w:rsid w:val="003C27C1"/>
    <w:rsid w:val="003C4148"/>
    <w:rsid w:val="003C77A3"/>
    <w:rsid w:val="003D2565"/>
    <w:rsid w:val="003E51B0"/>
    <w:rsid w:val="003F0A2D"/>
    <w:rsid w:val="00406D0C"/>
    <w:rsid w:val="0041435F"/>
    <w:rsid w:val="00415B3D"/>
    <w:rsid w:val="00430935"/>
    <w:rsid w:val="00443BD9"/>
    <w:rsid w:val="00445053"/>
    <w:rsid w:val="004450C9"/>
    <w:rsid w:val="0045340B"/>
    <w:rsid w:val="0045736E"/>
    <w:rsid w:val="0048630F"/>
    <w:rsid w:val="00486579"/>
    <w:rsid w:val="004917BA"/>
    <w:rsid w:val="004A1EA8"/>
    <w:rsid w:val="004A4721"/>
    <w:rsid w:val="004B5040"/>
    <w:rsid w:val="004B52DE"/>
    <w:rsid w:val="004F2CD8"/>
    <w:rsid w:val="004F3FA9"/>
    <w:rsid w:val="004F5C6A"/>
    <w:rsid w:val="005053D6"/>
    <w:rsid w:val="00520C62"/>
    <w:rsid w:val="005325F2"/>
    <w:rsid w:val="00534CA5"/>
    <w:rsid w:val="0054028F"/>
    <w:rsid w:val="00545A62"/>
    <w:rsid w:val="00550CD8"/>
    <w:rsid w:val="005510ED"/>
    <w:rsid w:val="00586E37"/>
    <w:rsid w:val="005B269F"/>
    <w:rsid w:val="005C791F"/>
    <w:rsid w:val="005D097C"/>
    <w:rsid w:val="005D0D06"/>
    <w:rsid w:val="005D4931"/>
    <w:rsid w:val="005D4A28"/>
    <w:rsid w:val="005F470D"/>
    <w:rsid w:val="00600F25"/>
    <w:rsid w:val="006013F3"/>
    <w:rsid w:val="00604EE7"/>
    <w:rsid w:val="006054D5"/>
    <w:rsid w:val="0061109A"/>
    <w:rsid w:val="006335BD"/>
    <w:rsid w:val="0065439C"/>
    <w:rsid w:val="00660713"/>
    <w:rsid w:val="00684D92"/>
    <w:rsid w:val="00697DFA"/>
    <w:rsid w:val="006A2D6C"/>
    <w:rsid w:val="006A704D"/>
    <w:rsid w:val="006D5514"/>
    <w:rsid w:val="006E6A78"/>
    <w:rsid w:val="006E7A7B"/>
    <w:rsid w:val="00700A6B"/>
    <w:rsid w:val="00706A06"/>
    <w:rsid w:val="00713A16"/>
    <w:rsid w:val="00721560"/>
    <w:rsid w:val="00725AF0"/>
    <w:rsid w:val="00742ED2"/>
    <w:rsid w:val="00751AC1"/>
    <w:rsid w:val="00770283"/>
    <w:rsid w:val="007834DD"/>
    <w:rsid w:val="00790CA7"/>
    <w:rsid w:val="007916E9"/>
    <w:rsid w:val="00797B49"/>
    <w:rsid w:val="007A6018"/>
    <w:rsid w:val="007B0E15"/>
    <w:rsid w:val="007C27CB"/>
    <w:rsid w:val="007D0FAB"/>
    <w:rsid w:val="007D1C3A"/>
    <w:rsid w:val="0080342C"/>
    <w:rsid w:val="00832E84"/>
    <w:rsid w:val="008478EE"/>
    <w:rsid w:val="0085605D"/>
    <w:rsid w:val="00860B5B"/>
    <w:rsid w:val="0086566C"/>
    <w:rsid w:val="00866949"/>
    <w:rsid w:val="008718F1"/>
    <w:rsid w:val="00887E14"/>
    <w:rsid w:val="008907CB"/>
    <w:rsid w:val="0089214E"/>
    <w:rsid w:val="008A3DE2"/>
    <w:rsid w:val="008D0961"/>
    <w:rsid w:val="008D575E"/>
    <w:rsid w:val="008E029A"/>
    <w:rsid w:val="008E533D"/>
    <w:rsid w:val="008F61E6"/>
    <w:rsid w:val="00923DDE"/>
    <w:rsid w:val="00931EC5"/>
    <w:rsid w:val="0093225D"/>
    <w:rsid w:val="00934A26"/>
    <w:rsid w:val="00934D39"/>
    <w:rsid w:val="0094506E"/>
    <w:rsid w:val="00973AAD"/>
    <w:rsid w:val="00975A7B"/>
    <w:rsid w:val="0099635B"/>
    <w:rsid w:val="009A1D70"/>
    <w:rsid w:val="009A4B9A"/>
    <w:rsid w:val="009B2B9C"/>
    <w:rsid w:val="009C31FA"/>
    <w:rsid w:val="009C7E30"/>
    <w:rsid w:val="009D0986"/>
    <w:rsid w:val="009F6671"/>
    <w:rsid w:val="00A20F75"/>
    <w:rsid w:val="00A22FA6"/>
    <w:rsid w:val="00A23AB4"/>
    <w:rsid w:val="00A25E27"/>
    <w:rsid w:val="00A47B9F"/>
    <w:rsid w:val="00A60B8E"/>
    <w:rsid w:val="00A77010"/>
    <w:rsid w:val="00AA6A65"/>
    <w:rsid w:val="00AE5FE7"/>
    <w:rsid w:val="00B10549"/>
    <w:rsid w:val="00B1110D"/>
    <w:rsid w:val="00B13669"/>
    <w:rsid w:val="00B23C7D"/>
    <w:rsid w:val="00B2412D"/>
    <w:rsid w:val="00B331BA"/>
    <w:rsid w:val="00B46EBB"/>
    <w:rsid w:val="00B53C06"/>
    <w:rsid w:val="00B5562E"/>
    <w:rsid w:val="00B5589A"/>
    <w:rsid w:val="00B576BC"/>
    <w:rsid w:val="00B60C1D"/>
    <w:rsid w:val="00B63EA4"/>
    <w:rsid w:val="00B6662F"/>
    <w:rsid w:val="00B8590D"/>
    <w:rsid w:val="00B966EF"/>
    <w:rsid w:val="00BA0226"/>
    <w:rsid w:val="00BB233D"/>
    <w:rsid w:val="00BB4C41"/>
    <w:rsid w:val="00BC15E5"/>
    <w:rsid w:val="00BC4C4E"/>
    <w:rsid w:val="00BD3FE8"/>
    <w:rsid w:val="00BE1CF4"/>
    <w:rsid w:val="00BE3036"/>
    <w:rsid w:val="00C06E32"/>
    <w:rsid w:val="00C32CD8"/>
    <w:rsid w:val="00C33788"/>
    <w:rsid w:val="00C54D58"/>
    <w:rsid w:val="00C564E4"/>
    <w:rsid w:val="00C61870"/>
    <w:rsid w:val="00C731A6"/>
    <w:rsid w:val="00C77C53"/>
    <w:rsid w:val="00CA3D18"/>
    <w:rsid w:val="00CD191D"/>
    <w:rsid w:val="00CF62A9"/>
    <w:rsid w:val="00D03080"/>
    <w:rsid w:val="00D107A0"/>
    <w:rsid w:val="00D115C9"/>
    <w:rsid w:val="00D27746"/>
    <w:rsid w:val="00D56DC0"/>
    <w:rsid w:val="00D60F9A"/>
    <w:rsid w:val="00D66E83"/>
    <w:rsid w:val="00D737FB"/>
    <w:rsid w:val="00D767DA"/>
    <w:rsid w:val="00D808EC"/>
    <w:rsid w:val="00DC0DA9"/>
    <w:rsid w:val="00DC1FE0"/>
    <w:rsid w:val="00DD0F71"/>
    <w:rsid w:val="00DF6CF9"/>
    <w:rsid w:val="00E01731"/>
    <w:rsid w:val="00E037FE"/>
    <w:rsid w:val="00E14CA0"/>
    <w:rsid w:val="00E20867"/>
    <w:rsid w:val="00E446AE"/>
    <w:rsid w:val="00E54316"/>
    <w:rsid w:val="00E61625"/>
    <w:rsid w:val="00E919DB"/>
    <w:rsid w:val="00EA2D15"/>
    <w:rsid w:val="00EB058A"/>
    <w:rsid w:val="00EC7001"/>
    <w:rsid w:val="00ED1726"/>
    <w:rsid w:val="00EE18CC"/>
    <w:rsid w:val="00EE4001"/>
    <w:rsid w:val="00EE6DD1"/>
    <w:rsid w:val="00EF3CBC"/>
    <w:rsid w:val="00F02D1C"/>
    <w:rsid w:val="00F0651A"/>
    <w:rsid w:val="00F07F82"/>
    <w:rsid w:val="00F11FE4"/>
    <w:rsid w:val="00F133DB"/>
    <w:rsid w:val="00F16B08"/>
    <w:rsid w:val="00F16F52"/>
    <w:rsid w:val="00F4042F"/>
    <w:rsid w:val="00F47E3F"/>
    <w:rsid w:val="00F51D2E"/>
    <w:rsid w:val="00F61C7F"/>
    <w:rsid w:val="00F772A0"/>
    <w:rsid w:val="00F81352"/>
    <w:rsid w:val="00FA2AC1"/>
    <w:rsid w:val="00FB6D5C"/>
    <w:rsid w:val="00FC3F35"/>
    <w:rsid w:val="00FC6920"/>
    <w:rsid w:val="00FC7484"/>
    <w:rsid w:val="00FE1012"/>
    <w:rsid w:val="00FE2FFF"/>
    <w:rsid w:val="00FE50D9"/>
    <w:rsid w:val="02806505"/>
    <w:rsid w:val="0DE84C94"/>
    <w:rsid w:val="0FD22917"/>
    <w:rsid w:val="1F3A40D9"/>
    <w:rsid w:val="20CF121D"/>
    <w:rsid w:val="37601F18"/>
    <w:rsid w:val="54210DEC"/>
    <w:rsid w:val="5D952844"/>
    <w:rsid w:val="668C7675"/>
    <w:rsid w:val="680127E5"/>
    <w:rsid w:val="745B0FC3"/>
    <w:rsid w:val="772F3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2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0"/>
    <w:link w:val="1Char"/>
    <w:uiPriority w:val="9"/>
    <w:qFormat/>
    <w:rsid w:val="00002960"/>
    <w:pPr>
      <w:keepNext/>
      <w:keepLines/>
      <w:widowControl/>
      <w:spacing w:before="240" w:after="240"/>
      <w:jc w:val="left"/>
      <w:outlineLvl w:val="0"/>
    </w:pPr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Char"/>
    <w:uiPriority w:val="99"/>
    <w:semiHidden/>
    <w:unhideWhenUsed/>
    <w:qFormat/>
    <w:rsid w:val="00600F2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qFormat/>
    <w:rsid w:val="00600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rsid w:val="00600F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uiPriority w:val="59"/>
    <w:qFormat/>
    <w:rsid w:val="00600F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1"/>
    <w:link w:val="a6"/>
    <w:uiPriority w:val="99"/>
    <w:semiHidden/>
    <w:qFormat/>
    <w:rsid w:val="00600F25"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qFormat/>
    <w:rsid w:val="00600F25"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600F25"/>
    <w:rPr>
      <w:sz w:val="18"/>
      <w:szCs w:val="18"/>
    </w:rPr>
  </w:style>
  <w:style w:type="character" w:customStyle="1" w:styleId="1Char">
    <w:name w:val="标题 1 Char"/>
    <w:basedOn w:val="a1"/>
    <w:link w:val="1"/>
    <w:uiPriority w:val="9"/>
    <w:rsid w:val="00002960"/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paragraph" w:styleId="a0">
    <w:name w:val="Body Text"/>
    <w:basedOn w:val="a"/>
    <w:link w:val="Char2"/>
    <w:qFormat/>
    <w:rsid w:val="00002960"/>
    <w:pPr>
      <w:widowControl/>
      <w:spacing w:before="120" w:after="120"/>
      <w:jc w:val="left"/>
    </w:pPr>
    <w:rPr>
      <w:kern w:val="0"/>
      <w:sz w:val="24"/>
      <w:szCs w:val="24"/>
      <w:lang w:eastAsia="en-US"/>
    </w:rPr>
  </w:style>
  <w:style w:type="character" w:customStyle="1" w:styleId="Char2">
    <w:name w:val="正文文本 Char"/>
    <w:basedOn w:val="a1"/>
    <w:link w:val="a0"/>
    <w:rsid w:val="00002960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customStyle="1" w:styleId="FirstParagraph">
    <w:name w:val="First Paragraph"/>
    <w:basedOn w:val="a0"/>
    <w:next w:val="a0"/>
    <w:qFormat/>
    <w:rsid w:val="00002960"/>
  </w:style>
  <w:style w:type="character" w:styleId="a8">
    <w:name w:val="Hyperlink"/>
    <w:basedOn w:val="a1"/>
    <w:uiPriority w:val="99"/>
    <w:rsid w:val="00002960"/>
    <w:rPr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doi:10.1016/j.jval.2021.10.0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07A4BC-0612-4F69-91C0-308685DE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15</Pages>
  <Words>2378</Words>
  <Characters>13559</Characters>
  <Application>Microsoft Office Word</Application>
  <DocSecurity>0</DocSecurity>
  <Lines>112</Lines>
  <Paragraphs>31</Paragraphs>
  <ScaleCrop>false</ScaleCrop>
  <Company/>
  <LinksUpToDate>false</LinksUpToDate>
  <CharactersWithSpaces>15906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曾小慧</dc:creator>
  <cp:lastModifiedBy>曾小慧</cp:lastModifiedBy>
  <cp:revision>20</cp:revision>
  <dcterms:created xsi:type="dcterms:W3CDTF">2024-10-17T09:16:00Z</dcterms:created>
  <dcterms:modified xsi:type="dcterms:W3CDTF">2024-10-28T13:23:00Z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A380DE10CB78448F8EFFFCB50C990D7C_12</vt:lpwstr>
  </property>
</Properties>
</file>